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0"/>
        <w:ind w:left="160" w:right="10"/>
        <w:jc w:val="center"/>
      </w:pPr>
      <w:r>
        <w:rPr/>
        <w:t>ASSESSMENT</w:t>
      </w:r>
      <w:r>
        <w:rPr>
          <w:spacing w:val="-1"/>
        </w:rPr>
        <w:t> </w:t>
      </w:r>
      <w:r>
        <w:rPr/>
        <w:t>OF</w:t>
      </w:r>
      <w:r>
        <w:rPr>
          <w:spacing w:val="-4"/>
        </w:rPr>
        <w:t> </w:t>
      </w:r>
      <w:r>
        <w:rPr/>
        <w:t>WATER</w:t>
      </w:r>
      <w:r>
        <w:rPr>
          <w:spacing w:val="-1"/>
        </w:rPr>
        <w:t> </w:t>
      </w:r>
      <w:r>
        <w:rPr/>
        <w:t>POVERTY</w:t>
      </w:r>
      <w:r>
        <w:rPr>
          <w:spacing w:val="-1"/>
        </w:rPr>
        <w:t> </w:t>
      </w:r>
      <w:r>
        <w:rPr/>
        <w:t>IN</w:t>
      </w:r>
      <w:r>
        <w:rPr>
          <w:spacing w:val="-1"/>
        </w:rPr>
        <w:t> </w:t>
      </w:r>
      <w:r>
        <w:rPr/>
        <w:t>MINNA,</w:t>
      </w:r>
      <w:r>
        <w:rPr>
          <w:spacing w:val="-1"/>
        </w:rPr>
        <w:t> </w:t>
      </w:r>
      <w:r>
        <w:rPr>
          <w:spacing w:val="-2"/>
        </w:rPr>
        <w:t>NIGERIA</w:t>
      </w:r>
    </w:p>
    <w:p>
      <w:pPr>
        <w:pStyle w:val="BodyText"/>
        <w:rPr>
          <w:b/>
        </w:rPr>
      </w:pPr>
    </w:p>
    <w:p>
      <w:pPr>
        <w:pStyle w:val="BodyText"/>
        <w:rPr>
          <w:b/>
        </w:rPr>
      </w:pPr>
    </w:p>
    <w:p>
      <w:pPr>
        <w:pStyle w:val="BodyText"/>
        <w:spacing w:before="118"/>
        <w:rPr>
          <w:b/>
        </w:rPr>
      </w:pPr>
    </w:p>
    <w:p>
      <w:pPr>
        <w:pStyle w:val="BodyText"/>
        <w:ind w:left="267" w:right="102"/>
        <w:jc w:val="both"/>
      </w:pPr>
      <w:r>
        <w:rPr/>
        <w:t>Water is explicitly linked with economic progress and developmental trajectories of most countries</w:t>
      </w:r>
      <w:r>
        <w:rPr>
          <w:spacing w:val="-5"/>
        </w:rPr>
        <w:t> </w:t>
      </w:r>
      <w:r>
        <w:rPr/>
        <w:t>and</w:t>
      </w:r>
      <w:r>
        <w:rPr>
          <w:spacing w:val="-5"/>
        </w:rPr>
        <w:t> </w:t>
      </w:r>
      <w:r>
        <w:rPr/>
        <w:t>regions</w:t>
      </w:r>
      <w:r>
        <w:rPr>
          <w:spacing w:val="-4"/>
        </w:rPr>
        <w:t> </w:t>
      </w:r>
      <w:r>
        <w:rPr/>
        <w:t>of</w:t>
      </w:r>
      <w:r>
        <w:rPr>
          <w:spacing w:val="-6"/>
        </w:rPr>
        <w:t> </w:t>
      </w:r>
      <w:r>
        <w:rPr/>
        <w:t>the</w:t>
      </w:r>
      <w:r>
        <w:rPr>
          <w:spacing w:val="-6"/>
        </w:rPr>
        <w:t> </w:t>
      </w:r>
      <w:r>
        <w:rPr/>
        <w:t>world.</w:t>
      </w:r>
      <w:r>
        <w:rPr>
          <w:spacing w:val="-4"/>
        </w:rPr>
        <w:t> </w:t>
      </w:r>
      <w:r>
        <w:rPr/>
        <w:t>However,</w:t>
      </w:r>
      <w:r>
        <w:rPr>
          <w:spacing w:val="-6"/>
        </w:rPr>
        <w:t> </w:t>
      </w:r>
      <w:r>
        <w:rPr/>
        <w:t>inspite</w:t>
      </w:r>
      <w:r>
        <w:rPr>
          <w:spacing w:val="-3"/>
        </w:rPr>
        <w:t> </w:t>
      </w:r>
      <w:r>
        <w:rPr/>
        <w:t>of</w:t>
      </w:r>
      <w:r>
        <w:rPr>
          <w:spacing w:val="-6"/>
        </w:rPr>
        <w:t> </w:t>
      </w:r>
      <w:r>
        <w:rPr/>
        <w:t>its</w:t>
      </w:r>
      <w:r>
        <w:rPr>
          <w:spacing w:val="-5"/>
        </w:rPr>
        <w:t> </w:t>
      </w:r>
      <w:r>
        <w:rPr/>
        <w:t>significant</w:t>
      </w:r>
      <w:r>
        <w:rPr>
          <w:spacing w:val="-4"/>
        </w:rPr>
        <w:t> </w:t>
      </w:r>
      <w:r>
        <w:rPr/>
        <w:t>contribution</w:t>
      </w:r>
      <w:r>
        <w:rPr>
          <w:spacing w:val="-5"/>
        </w:rPr>
        <w:t> </w:t>
      </w:r>
      <w:r>
        <w:rPr/>
        <w:t>to</w:t>
      </w:r>
      <w:r>
        <w:rPr>
          <w:spacing w:val="-4"/>
        </w:rPr>
        <w:t> </w:t>
      </w:r>
      <w:r>
        <w:rPr/>
        <w:t>quality of life, public health and socio-economic development, water scarcity has continuously remained one of the most excruciating problems around the globe. In view of the disproportionate nature of water scarcity, both in space and time, coupled with urban population growth dynamics this thesis assesses the level of water stress at household and neighbourhood level in Minna urban, Nigeria within the framework of water poverty methodology, with a view to identify the priority areas requiring policy interventions. By utilizing cluster sampling technique, data on household water sources, water stress features and adaptation measures were obtained through questionnaire administered on 378 households in 8 selected neighbourhoods in the study area. These were complemented with data</w:t>
      </w:r>
      <w:r>
        <w:rPr>
          <w:spacing w:val="-15"/>
        </w:rPr>
        <w:t> </w:t>
      </w:r>
      <w:r>
        <w:rPr/>
        <w:t>from</w:t>
      </w:r>
      <w:r>
        <w:rPr>
          <w:spacing w:val="-14"/>
        </w:rPr>
        <w:t> </w:t>
      </w:r>
      <w:r>
        <w:rPr/>
        <w:t>the</w:t>
      </w:r>
      <w:r>
        <w:rPr>
          <w:spacing w:val="-15"/>
        </w:rPr>
        <w:t> </w:t>
      </w:r>
      <w:r>
        <w:rPr/>
        <w:t>Niger</w:t>
      </w:r>
      <w:r>
        <w:rPr>
          <w:spacing w:val="-15"/>
        </w:rPr>
        <w:t> </w:t>
      </w:r>
      <w:r>
        <w:rPr/>
        <w:t>State</w:t>
      </w:r>
      <w:r>
        <w:rPr>
          <w:spacing w:val="-13"/>
        </w:rPr>
        <w:t> </w:t>
      </w:r>
      <w:r>
        <w:rPr/>
        <w:t>Water</w:t>
      </w:r>
      <w:r>
        <w:rPr>
          <w:spacing w:val="-15"/>
        </w:rPr>
        <w:t> </w:t>
      </w:r>
      <w:r>
        <w:rPr/>
        <w:t>and</w:t>
      </w:r>
      <w:r>
        <w:rPr>
          <w:spacing w:val="-14"/>
        </w:rPr>
        <w:t> </w:t>
      </w:r>
      <w:r>
        <w:rPr/>
        <w:t>Sewerage</w:t>
      </w:r>
      <w:r>
        <w:rPr>
          <w:spacing w:val="-15"/>
        </w:rPr>
        <w:t> </w:t>
      </w:r>
      <w:r>
        <w:rPr/>
        <w:t>Corporation</w:t>
      </w:r>
      <w:r>
        <w:rPr>
          <w:spacing w:val="-14"/>
        </w:rPr>
        <w:t> </w:t>
      </w:r>
      <w:r>
        <w:rPr/>
        <w:t>(NSWSC)</w:t>
      </w:r>
      <w:r>
        <w:rPr>
          <w:spacing w:val="-15"/>
        </w:rPr>
        <w:t> </w:t>
      </w:r>
      <w:r>
        <w:rPr/>
        <w:t>on</w:t>
      </w:r>
      <w:r>
        <w:rPr>
          <w:spacing w:val="-14"/>
        </w:rPr>
        <w:t> </w:t>
      </w:r>
      <w:r>
        <w:rPr/>
        <w:t>public</w:t>
      </w:r>
      <w:r>
        <w:rPr>
          <w:spacing w:val="-15"/>
        </w:rPr>
        <w:t> </w:t>
      </w:r>
      <w:r>
        <w:rPr/>
        <w:t>water</w:t>
      </w:r>
      <w:r>
        <w:rPr>
          <w:spacing w:val="-14"/>
        </w:rPr>
        <w:t> </w:t>
      </w:r>
      <w:r>
        <w:rPr/>
        <w:t>supply network in the study area. The data were analysed using descriptive (frequency and percentage) and inferential statistics (ANOVA, cross-tabulation, linear scaling technique, correlation,</w:t>
      </w:r>
      <w:r>
        <w:rPr>
          <w:spacing w:val="-1"/>
        </w:rPr>
        <w:t> </w:t>
      </w:r>
      <w:r>
        <w:rPr/>
        <w:t>principal component</w:t>
      </w:r>
      <w:r>
        <w:rPr>
          <w:spacing w:val="-1"/>
        </w:rPr>
        <w:t> </w:t>
      </w:r>
      <w:r>
        <w:rPr/>
        <w:t>analysis</w:t>
      </w:r>
      <w:r>
        <w:rPr>
          <w:spacing w:val="-1"/>
        </w:rPr>
        <w:t> </w:t>
      </w:r>
      <w:r>
        <w:rPr/>
        <w:t>and</w:t>
      </w:r>
      <w:r>
        <w:rPr>
          <w:spacing w:val="-1"/>
        </w:rPr>
        <w:t> </w:t>
      </w:r>
      <w:r>
        <w:rPr/>
        <w:t>independent</w:t>
      </w:r>
      <w:r>
        <w:rPr>
          <w:spacing w:val="-1"/>
        </w:rPr>
        <w:t> </w:t>
      </w:r>
      <w:r>
        <w:rPr/>
        <w:t>T-Test). Findings from</w:t>
      </w:r>
      <w:r>
        <w:rPr>
          <w:spacing w:val="-1"/>
        </w:rPr>
        <w:t> </w:t>
      </w:r>
      <w:r>
        <w:rPr/>
        <w:t>the</w:t>
      </w:r>
      <w:r>
        <w:rPr>
          <w:spacing w:val="-2"/>
        </w:rPr>
        <w:t> </w:t>
      </w:r>
      <w:r>
        <w:rPr/>
        <w:t>study revealed that households in the study</w:t>
      </w:r>
      <w:r>
        <w:rPr>
          <w:spacing w:val="-4"/>
        </w:rPr>
        <w:t> </w:t>
      </w:r>
      <w:r>
        <w:rPr/>
        <w:t>area are characterized by</w:t>
      </w:r>
      <w:r>
        <w:rPr>
          <w:spacing w:val="-2"/>
        </w:rPr>
        <w:t> </w:t>
      </w:r>
      <w:r>
        <w:rPr/>
        <w:t>low level of access to public water supply and rely on other informal non-network water sources to augment improved water</w:t>
      </w:r>
      <w:r>
        <w:rPr>
          <w:spacing w:val="-5"/>
        </w:rPr>
        <w:t> </w:t>
      </w:r>
      <w:r>
        <w:rPr/>
        <w:t>source.</w:t>
      </w:r>
      <w:r>
        <w:rPr>
          <w:spacing w:val="-6"/>
        </w:rPr>
        <w:t> </w:t>
      </w:r>
      <w:r>
        <w:rPr/>
        <w:t>The</w:t>
      </w:r>
      <w:r>
        <w:rPr>
          <w:spacing w:val="-5"/>
        </w:rPr>
        <w:t> </w:t>
      </w:r>
      <w:r>
        <w:rPr/>
        <w:t>empirical</w:t>
      </w:r>
      <w:r>
        <w:rPr>
          <w:spacing w:val="-6"/>
        </w:rPr>
        <w:t> </w:t>
      </w:r>
      <w:r>
        <w:rPr/>
        <w:t>findings</w:t>
      </w:r>
      <w:r>
        <w:rPr>
          <w:spacing w:val="-4"/>
        </w:rPr>
        <w:t> </w:t>
      </w:r>
      <w:r>
        <w:rPr/>
        <w:t>also</w:t>
      </w:r>
      <w:r>
        <w:rPr>
          <w:spacing w:val="-6"/>
        </w:rPr>
        <w:t> </w:t>
      </w:r>
      <w:r>
        <w:rPr/>
        <w:t>indicated</w:t>
      </w:r>
      <w:r>
        <w:rPr>
          <w:spacing w:val="-6"/>
        </w:rPr>
        <w:t> </w:t>
      </w:r>
      <w:r>
        <w:rPr/>
        <w:t>that</w:t>
      </w:r>
      <w:r>
        <w:rPr>
          <w:spacing w:val="-6"/>
        </w:rPr>
        <w:t> </w:t>
      </w:r>
      <w:r>
        <w:rPr/>
        <w:t>water</w:t>
      </w:r>
      <w:r>
        <w:rPr>
          <w:spacing w:val="-7"/>
        </w:rPr>
        <w:t> </w:t>
      </w:r>
      <w:r>
        <w:rPr/>
        <w:t>poverty</w:t>
      </w:r>
      <w:r>
        <w:rPr>
          <w:spacing w:val="-11"/>
        </w:rPr>
        <w:t> </w:t>
      </w:r>
      <w:r>
        <w:rPr/>
        <w:t>levels</w:t>
      </w:r>
      <w:r>
        <w:rPr>
          <w:spacing w:val="-6"/>
        </w:rPr>
        <w:t> </w:t>
      </w:r>
      <w:r>
        <w:rPr/>
        <w:t>vary</w:t>
      </w:r>
      <w:r>
        <w:rPr>
          <w:spacing w:val="-9"/>
        </w:rPr>
        <w:t> </w:t>
      </w:r>
      <w:r>
        <w:rPr/>
        <w:t>among</w:t>
      </w:r>
      <w:r>
        <w:rPr>
          <w:spacing w:val="-9"/>
        </w:rPr>
        <w:t> </w:t>
      </w:r>
      <w:r>
        <w:rPr/>
        <w:t>the neighbourhoods in the study area and manifest in spatial terms with Tudun wada south neighbourhood exhibiting the best water situation while F-Layout has the worst water situation. The study further revealed that storage of water in drums (100 liters and above), rain water harvest and installation of storage tanks were the three (3) top ranked most effective household adaptive strategies in coping with water poverty in the study area. As a recommendation, policy makers as a matter of priority should give first level priority attention to improving water use across all the neighbourhoods in the study area.</w:t>
      </w:r>
      <w:r>
        <w:rPr>
          <w:spacing w:val="40"/>
        </w:rPr>
        <w:t> </w:t>
      </w:r>
      <w:r>
        <w:rPr/>
        <w:t>This is followed by accessibility to water, which requires second level priority in term of water improvement</w:t>
      </w:r>
      <w:r>
        <w:rPr>
          <w:spacing w:val="-1"/>
        </w:rPr>
        <w:t> </w:t>
      </w:r>
      <w:r>
        <w:rPr/>
        <w:t>in F-Layout, Kpakungu,</w:t>
      </w:r>
      <w:r>
        <w:rPr>
          <w:spacing w:val="-1"/>
        </w:rPr>
        <w:t> </w:t>
      </w:r>
      <w:r>
        <w:rPr/>
        <w:t>Maitumbi, Saukakahuta</w:t>
      </w:r>
      <w:r>
        <w:rPr>
          <w:spacing w:val="-1"/>
        </w:rPr>
        <w:t> </w:t>
      </w:r>
      <w:r>
        <w:rPr/>
        <w:t>and</w:t>
      </w:r>
      <w:r>
        <w:rPr>
          <w:spacing w:val="-1"/>
        </w:rPr>
        <w:t> </w:t>
      </w:r>
      <w:r>
        <w:rPr/>
        <w:t>Tudun-Fulani.</w:t>
      </w:r>
      <w:r>
        <w:rPr>
          <w:spacing w:val="-1"/>
        </w:rPr>
        <w:t> </w:t>
      </w:r>
      <w:r>
        <w:rPr/>
        <w:t>Resource is the third priority</w:t>
      </w:r>
      <w:r>
        <w:rPr>
          <w:spacing w:val="-2"/>
        </w:rPr>
        <w:t> </w:t>
      </w:r>
      <w:r>
        <w:rPr/>
        <w:t>area for attention and would be advantageous to F-Layout, Saukakahuta and Tudun-Fulani.</w:t>
      </w:r>
    </w:p>
    <w:p>
      <w:pPr>
        <w:spacing w:after="0"/>
        <w:jc w:val="both"/>
        <w:sectPr>
          <w:footerReference w:type="default" r:id="rId5"/>
          <w:type w:val="continuous"/>
          <w:pgSz w:w="12240" w:h="15840"/>
          <w:pgMar w:header="0" w:footer="1068" w:top="1340" w:bottom="1260" w:left="1720" w:right="1300"/>
          <w:pgNumType w:start="1"/>
        </w:sectPr>
      </w:pPr>
    </w:p>
    <w:p>
      <w:pPr>
        <w:spacing w:before="164"/>
        <w:ind w:left="160" w:right="8" w:firstLine="0"/>
        <w:jc w:val="center"/>
        <w:rPr>
          <w:b/>
          <w:sz w:val="24"/>
        </w:rPr>
      </w:pPr>
      <w:r>
        <w:rPr>
          <w:b/>
          <w:sz w:val="24"/>
        </w:rPr>
        <w:t>CHAPTER</w:t>
      </w:r>
      <w:r>
        <w:rPr>
          <w:b/>
          <w:spacing w:val="-4"/>
          <w:sz w:val="24"/>
        </w:rPr>
        <w:t> </w:t>
      </w:r>
      <w:r>
        <w:rPr>
          <w:b/>
          <w:spacing w:val="-5"/>
          <w:sz w:val="24"/>
        </w:rPr>
        <w:t>ONE</w:t>
      </w:r>
    </w:p>
    <w:p>
      <w:pPr>
        <w:pStyle w:val="BodyText"/>
        <w:spacing w:before="21"/>
        <w:rPr>
          <w:b/>
        </w:rPr>
      </w:pPr>
    </w:p>
    <w:p>
      <w:pPr>
        <w:pStyle w:val="ListParagraph"/>
        <w:numPr>
          <w:ilvl w:val="1"/>
          <w:numId w:val="1"/>
        </w:numPr>
        <w:tabs>
          <w:tab w:pos="3728" w:val="left" w:leader="none"/>
        </w:tabs>
        <w:spacing w:line="240" w:lineRule="auto" w:before="1" w:after="0"/>
        <w:ind w:left="3728" w:right="0" w:hanging="3461"/>
        <w:jc w:val="left"/>
        <w:rPr>
          <w:b/>
          <w:sz w:val="24"/>
        </w:rPr>
      </w:pPr>
      <w:r>
        <w:rPr>
          <w:b/>
          <w:spacing w:val="-2"/>
          <w:sz w:val="24"/>
        </w:rPr>
        <w:t>INTRODUCTION</w:t>
      </w:r>
    </w:p>
    <w:p>
      <w:pPr>
        <w:pStyle w:val="BodyText"/>
        <w:spacing w:before="21"/>
        <w:rPr>
          <w:b/>
        </w:rPr>
      </w:pPr>
    </w:p>
    <w:p>
      <w:pPr>
        <w:pStyle w:val="ListParagraph"/>
        <w:numPr>
          <w:ilvl w:val="1"/>
          <w:numId w:val="1"/>
        </w:numPr>
        <w:tabs>
          <w:tab w:pos="987" w:val="left" w:leader="none"/>
        </w:tabs>
        <w:spacing w:line="240" w:lineRule="auto" w:before="0" w:after="0"/>
        <w:ind w:left="987" w:right="0" w:hanging="720"/>
        <w:jc w:val="left"/>
        <w:rPr>
          <w:b/>
          <w:sz w:val="24"/>
        </w:rPr>
      </w:pPr>
      <w:r>
        <w:rPr>
          <w:b/>
          <w:sz w:val="24"/>
        </w:rPr>
        <w:t>Background to</w:t>
      </w:r>
      <w:r>
        <w:rPr>
          <w:b/>
          <w:spacing w:val="-1"/>
          <w:sz w:val="24"/>
        </w:rPr>
        <w:t> </w:t>
      </w:r>
      <w:r>
        <w:rPr>
          <w:b/>
          <w:sz w:val="24"/>
        </w:rPr>
        <w:t>the</w:t>
      </w:r>
      <w:r>
        <w:rPr>
          <w:b/>
          <w:spacing w:val="-1"/>
          <w:sz w:val="24"/>
        </w:rPr>
        <w:t> </w:t>
      </w:r>
      <w:r>
        <w:rPr>
          <w:b/>
          <w:spacing w:val="-2"/>
          <w:sz w:val="24"/>
        </w:rPr>
        <w:t>Study</w:t>
      </w:r>
    </w:p>
    <w:p>
      <w:pPr>
        <w:pStyle w:val="BodyText"/>
        <w:spacing w:before="17"/>
        <w:rPr>
          <w:b/>
        </w:rPr>
      </w:pPr>
    </w:p>
    <w:p>
      <w:pPr>
        <w:pStyle w:val="BodyText"/>
        <w:spacing w:line="480" w:lineRule="auto"/>
        <w:ind w:left="267" w:right="105"/>
        <w:jc w:val="both"/>
      </w:pPr>
      <w:r>
        <w:rPr/>
        <w:t>It has been widely</w:t>
      </w:r>
      <w:r>
        <w:rPr>
          <w:spacing w:val="-5"/>
        </w:rPr>
        <w:t> </w:t>
      </w:r>
      <w:r>
        <w:rPr/>
        <w:t>acknowledged that water</w:t>
      </w:r>
      <w:r>
        <w:rPr>
          <w:spacing w:val="-2"/>
        </w:rPr>
        <w:t> </w:t>
      </w:r>
      <w:r>
        <w:rPr/>
        <w:t>is explicitly</w:t>
      </w:r>
      <w:r>
        <w:rPr>
          <w:spacing w:val="-8"/>
        </w:rPr>
        <w:t> </w:t>
      </w:r>
      <w:r>
        <w:rPr/>
        <w:t>linked with economic</w:t>
      </w:r>
      <w:r>
        <w:rPr>
          <w:spacing w:val="-1"/>
        </w:rPr>
        <w:t> </w:t>
      </w:r>
      <w:r>
        <w:rPr/>
        <w:t>progress and developmental trajectories of</w:t>
      </w:r>
      <w:r>
        <w:rPr>
          <w:spacing w:val="-1"/>
        </w:rPr>
        <w:t> </w:t>
      </w:r>
      <w:r>
        <w:rPr/>
        <w:t>most countries and regions of</w:t>
      </w:r>
      <w:r>
        <w:rPr>
          <w:spacing w:val="-1"/>
        </w:rPr>
        <w:t> </w:t>
      </w:r>
      <w:r>
        <w:rPr/>
        <w:t>the</w:t>
      </w:r>
      <w:r>
        <w:rPr>
          <w:spacing w:val="-1"/>
        </w:rPr>
        <w:t> </w:t>
      </w:r>
      <w:r>
        <w:rPr/>
        <w:t>world. It has remained a</w:t>
      </w:r>
      <w:r>
        <w:rPr>
          <w:spacing w:val="-1"/>
        </w:rPr>
        <w:t> </w:t>
      </w:r>
      <w:r>
        <w:rPr/>
        <w:t>top priority on international agenda and merits public policy consideration. Several policy initiatives have been developed over time to address water crisis at the global, regional and country</w:t>
      </w:r>
      <w:r>
        <w:rPr>
          <w:spacing w:val="-15"/>
        </w:rPr>
        <w:t> </w:t>
      </w:r>
      <w:r>
        <w:rPr/>
        <w:t>level.</w:t>
      </w:r>
      <w:r>
        <w:rPr>
          <w:spacing w:val="-15"/>
        </w:rPr>
        <w:t> </w:t>
      </w:r>
      <w:r>
        <w:rPr/>
        <w:t>Among</w:t>
      </w:r>
      <w:r>
        <w:rPr>
          <w:spacing w:val="-15"/>
        </w:rPr>
        <w:t> </w:t>
      </w:r>
      <w:r>
        <w:rPr/>
        <w:t>these</w:t>
      </w:r>
      <w:r>
        <w:rPr>
          <w:spacing w:val="-15"/>
        </w:rPr>
        <w:t> </w:t>
      </w:r>
      <w:r>
        <w:rPr/>
        <w:t>initiatives</w:t>
      </w:r>
      <w:r>
        <w:rPr>
          <w:spacing w:val="-15"/>
        </w:rPr>
        <w:t> </w:t>
      </w:r>
      <w:r>
        <w:rPr/>
        <w:t>are:</w:t>
      </w:r>
      <w:r>
        <w:rPr>
          <w:spacing w:val="-15"/>
        </w:rPr>
        <w:t> </w:t>
      </w:r>
      <w:r>
        <w:rPr/>
        <w:t>United</w:t>
      </w:r>
      <w:r>
        <w:rPr>
          <w:spacing w:val="-15"/>
        </w:rPr>
        <w:t> </w:t>
      </w:r>
      <w:r>
        <w:rPr/>
        <w:t>Nations</w:t>
      </w:r>
      <w:r>
        <w:rPr>
          <w:spacing w:val="-15"/>
        </w:rPr>
        <w:t> </w:t>
      </w:r>
      <w:r>
        <w:rPr/>
        <w:t>Water</w:t>
      </w:r>
      <w:r>
        <w:rPr>
          <w:spacing w:val="-15"/>
        </w:rPr>
        <w:t> </w:t>
      </w:r>
      <w:r>
        <w:rPr/>
        <w:t>for</w:t>
      </w:r>
      <w:r>
        <w:rPr>
          <w:spacing w:val="-15"/>
        </w:rPr>
        <w:t> </w:t>
      </w:r>
      <w:r>
        <w:rPr/>
        <w:t>Life</w:t>
      </w:r>
      <w:r>
        <w:rPr>
          <w:spacing w:val="-15"/>
        </w:rPr>
        <w:t> </w:t>
      </w:r>
      <w:r>
        <w:rPr/>
        <w:t>Decade</w:t>
      </w:r>
      <w:r>
        <w:rPr>
          <w:spacing w:val="-15"/>
        </w:rPr>
        <w:t> </w:t>
      </w:r>
      <w:r>
        <w:rPr/>
        <w:t>1981-1990; The Dublin Principles of 1991; UNCED Rio Declaration 1992 on Agenda 21; International Hydrological Programme (2014-2021); Cooperation in International Waters in Africa (CIWA); African Water Facility (AWF); Sustainable Development Goal 6; the New Water Law of South Africa as well as the National Water Supply and Sanitation Policy (2000) in Nigeria). Despite these laudable initiatives, and the significant contribution of water to quality of life, public health and socio-economic development (Agnew and Woodhouse, 2011;</w:t>
      </w:r>
      <w:r>
        <w:rPr>
          <w:spacing w:val="-5"/>
        </w:rPr>
        <w:t> </w:t>
      </w:r>
      <w:r>
        <w:rPr/>
        <w:t>Hanjra</w:t>
      </w:r>
      <w:r>
        <w:rPr>
          <w:spacing w:val="-5"/>
        </w:rPr>
        <w:t> </w:t>
      </w:r>
      <w:r>
        <w:rPr>
          <w:i/>
        </w:rPr>
        <w:t>et</w:t>
      </w:r>
      <w:r>
        <w:rPr>
          <w:i/>
          <w:spacing w:val="-5"/>
        </w:rPr>
        <w:t> </w:t>
      </w:r>
      <w:r>
        <w:rPr>
          <w:i/>
        </w:rPr>
        <w:t>al.</w:t>
      </w:r>
      <w:r>
        <w:rPr/>
        <w:t>,</w:t>
      </w:r>
      <w:r>
        <w:rPr>
          <w:spacing w:val="-5"/>
        </w:rPr>
        <w:t> </w:t>
      </w:r>
      <w:r>
        <w:rPr/>
        <w:t>2009;</w:t>
      </w:r>
      <w:r>
        <w:rPr>
          <w:spacing w:val="-3"/>
        </w:rPr>
        <w:t> </w:t>
      </w:r>
      <w:r>
        <w:rPr/>
        <w:t>Ishaku</w:t>
      </w:r>
      <w:r>
        <w:rPr>
          <w:spacing w:val="-5"/>
        </w:rPr>
        <w:t> </w:t>
      </w:r>
      <w:r>
        <w:rPr>
          <w:i/>
        </w:rPr>
        <w:t>et</w:t>
      </w:r>
      <w:r>
        <w:rPr>
          <w:i/>
          <w:spacing w:val="-3"/>
        </w:rPr>
        <w:t> </w:t>
      </w:r>
      <w:r>
        <w:rPr>
          <w:i/>
        </w:rPr>
        <w:t>al.</w:t>
      </w:r>
      <w:r>
        <w:rPr/>
        <w:t>,</w:t>
      </w:r>
      <w:r>
        <w:rPr>
          <w:spacing w:val="-6"/>
        </w:rPr>
        <w:t> </w:t>
      </w:r>
      <w:r>
        <w:rPr/>
        <w:t>2011;</w:t>
      </w:r>
      <w:r>
        <w:rPr>
          <w:spacing w:val="-5"/>
        </w:rPr>
        <w:t> </w:t>
      </w:r>
      <w:r>
        <w:rPr/>
        <w:t>Jimenez-Cisneros</w:t>
      </w:r>
      <w:r>
        <w:rPr>
          <w:spacing w:val="-5"/>
        </w:rPr>
        <w:t> </w:t>
      </w:r>
      <w:r>
        <w:rPr>
          <w:i/>
        </w:rPr>
        <w:t>et</w:t>
      </w:r>
      <w:r>
        <w:rPr>
          <w:i/>
          <w:spacing w:val="-5"/>
        </w:rPr>
        <w:t> </w:t>
      </w:r>
      <w:r>
        <w:rPr>
          <w:i/>
        </w:rPr>
        <w:t>al.</w:t>
      </w:r>
      <w:r>
        <w:rPr/>
        <w:t>,</w:t>
      </w:r>
      <w:r>
        <w:rPr>
          <w:spacing w:val="-6"/>
        </w:rPr>
        <w:t> </w:t>
      </w:r>
      <w:r>
        <w:rPr/>
        <w:t>2014;</w:t>
      </w:r>
      <w:r>
        <w:rPr>
          <w:spacing w:val="-5"/>
        </w:rPr>
        <w:t> </w:t>
      </w:r>
      <w:r>
        <w:rPr/>
        <w:t>Rockstrum</w:t>
      </w:r>
      <w:r>
        <w:rPr>
          <w:spacing w:val="-4"/>
        </w:rPr>
        <w:t> </w:t>
      </w:r>
      <w:r>
        <w:rPr/>
        <w:t>and Falkenmark, 2015), water scarcity has continuously remained one of the most excruciating problems around the globe.</w:t>
      </w:r>
    </w:p>
    <w:p>
      <w:pPr>
        <w:pStyle w:val="BodyText"/>
      </w:pPr>
    </w:p>
    <w:p>
      <w:pPr>
        <w:pStyle w:val="BodyText"/>
        <w:spacing w:line="480" w:lineRule="auto"/>
        <w:ind w:left="267" w:right="107"/>
        <w:jc w:val="both"/>
      </w:pPr>
      <w:r>
        <w:rPr/>
        <w:t>The</w:t>
      </w:r>
      <w:r>
        <w:rPr>
          <w:spacing w:val="-3"/>
        </w:rPr>
        <w:t> </w:t>
      </w:r>
      <w:r>
        <w:rPr/>
        <w:t>Global</w:t>
      </w:r>
      <w:r>
        <w:rPr>
          <w:spacing w:val="-2"/>
        </w:rPr>
        <w:t> </w:t>
      </w:r>
      <w:r>
        <w:rPr/>
        <w:t>Risks</w:t>
      </w:r>
      <w:r>
        <w:rPr>
          <w:spacing w:val="-2"/>
        </w:rPr>
        <w:t> </w:t>
      </w:r>
      <w:r>
        <w:rPr/>
        <w:t>Report of</w:t>
      </w:r>
      <w:r>
        <w:rPr>
          <w:spacing w:val="-2"/>
        </w:rPr>
        <w:t> </w:t>
      </w:r>
      <w:r>
        <w:rPr/>
        <w:t>the</w:t>
      </w:r>
      <w:r>
        <w:rPr>
          <w:spacing w:val="-4"/>
        </w:rPr>
        <w:t> </w:t>
      </w:r>
      <w:r>
        <w:rPr/>
        <w:t>World</w:t>
      </w:r>
      <w:r>
        <w:rPr>
          <w:spacing w:val="-2"/>
        </w:rPr>
        <w:t> </w:t>
      </w:r>
      <w:r>
        <w:rPr/>
        <w:t>Economic</w:t>
      </w:r>
      <w:r>
        <w:rPr>
          <w:spacing w:val="-1"/>
        </w:rPr>
        <w:t> </w:t>
      </w:r>
      <w:r>
        <w:rPr/>
        <w:t>Forum</w:t>
      </w:r>
      <w:r>
        <w:rPr>
          <w:spacing w:val="-2"/>
        </w:rPr>
        <w:t> </w:t>
      </w:r>
      <w:r>
        <w:rPr/>
        <w:t>identified</w:t>
      </w:r>
      <w:r>
        <w:rPr>
          <w:spacing w:val="-2"/>
        </w:rPr>
        <w:t> </w:t>
      </w:r>
      <w:r>
        <w:rPr/>
        <w:t>water</w:t>
      </w:r>
      <w:r>
        <w:rPr>
          <w:spacing w:val="-2"/>
        </w:rPr>
        <w:t> </w:t>
      </w:r>
      <w:r>
        <w:rPr/>
        <w:t>crisis</w:t>
      </w:r>
      <w:r>
        <w:rPr>
          <w:spacing w:val="-2"/>
        </w:rPr>
        <w:t> </w:t>
      </w:r>
      <w:r>
        <w:rPr/>
        <w:t>as</w:t>
      </w:r>
      <w:r>
        <w:rPr>
          <w:spacing w:val="-2"/>
        </w:rPr>
        <w:t> </w:t>
      </w:r>
      <w:r>
        <w:rPr/>
        <w:t>one</w:t>
      </w:r>
      <w:r>
        <w:rPr>
          <w:spacing w:val="-3"/>
        </w:rPr>
        <w:t> </w:t>
      </w:r>
      <w:r>
        <w:rPr/>
        <w:t>of</w:t>
      </w:r>
      <w:r>
        <w:rPr>
          <w:spacing w:val="-2"/>
        </w:rPr>
        <w:t> </w:t>
      </w:r>
      <w:r>
        <w:rPr/>
        <w:t>the top five high impact risks bedeviling human society in current times (World Economic Forum, 2017). For example, between 1.5 and 2.5 billion people in world were estimated to have lived under some degree of water scarcity around the year 2000 (Alcamo </w:t>
      </w:r>
      <w:r>
        <w:rPr>
          <w:i/>
        </w:rPr>
        <w:t>et al.</w:t>
      </w:r>
      <w:r>
        <w:rPr/>
        <w:t>, 2007; Kummu</w:t>
      </w:r>
      <w:r>
        <w:rPr>
          <w:spacing w:val="-5"/>
        </w:rPr>
        <w:t> </w:t>
      </w:r>
      <w:r>
        <w:rPr>
          <w:i/>
        </w:rPr>
        <w:t>et</w:t>
      </w:r>
      <w:r>
        <w:rPr>
          <w:i/>
          <w:spacing w:val="-2"/>
        </w:rPr>
        <w:t> </w:t>
      </w:r>
      <w:r>
        <w:rPr>
          <w:i/>
        </w:rPr>
        <w:t>al.</w:t>
      </w:r>
      <w:r>
        <w:rPr/>
        <w:t>,</w:t>
      </w:r>
      <w:r>
        <w:rPr>
          <w:spacing w:val="-4"/>
        </w:rPr>
        <w:t> </w:t>
      </w:r>
      <w:r>
        <w:rPr/>
        <w:t>2010;</w:t>
      </w:r>
      <w:r>
        <w:rPr>
          <w:spacing w:val="-2"/>
        </w:rPr>
        <w:t> </w:t>
      </w:r>
      <w:r>
        <w:rPr/>
        <w:t>Gosling</w:t>
      </w:r>
      <w:r>
        <w:rPr>
          <w:spacing w:val="-5"/>
        </w:rPr>
        <w:t> </w:t>
      </w:r>
      <w:r>
        <w:rPr/>
        <w:t>and</w:t>
      </w:r>
      <w:r>
        <w:rPr>
          <w:spacing w:val="-3"/>
        </w:rPr>
        <w:t> </w:t>
      </w:r>
      <w:r>
        <w:rPr/>
        <w:t>Arnell,</w:t>
      </w:r>
      <w:r>
        <w:rPr>
          <w:spacing w:val="-4"/>
        </w:rPr>
        <w:t> </w:t>
      </w:r>
      <w:r>
        <w:rPr/>
        <w:t>2016;</w:t>
      </w:r>
      <w:r>
        <w:rPr>
          <w:spacing w:val="-1"/>
        </w:rPr>
        <w:t> </w:t>
      </w:r>
      <w:r>
        <w:rPr/>
        <w:t>Kummu</w:t>
      </w:r>
      <w:r>
        <w:rPr>
          <w:spacing w:val="-3"/>
        </w:rPr>
        <w:t> </w:t>
      </w:r>
      <w:r>
        <w:rPr>
          <w:i/>
        </w:rPr>
        <w:t>et</w:t>
      </w:r>
      <w:r>
        <w:rPr>
          <w:i/>
          <w:spacing w:val="-2"/>
        </w:rPr>
        <w:t> </w:t>
      </w:r>
      <w:r>
        <w:rPr>
          <w:i/>
        </w:rPr>
        <w:t>al.</w:t>
      </w:r>
      <w:r>
        <w:rPr/>
        <w:t>,</w:t>
      </w:r>
      <w:r>
        <w:rPr>
          <w:spacing w:val="-4"/>
        </w:rPr>
        <w:t> </w:t>
      </w:r>
      <w:r>
        <w:rPr/>
        <w:t>2016),</w:t>
      </w:r>
      <w:r>
        <w:rPr>
          <w:spacing w:val="-3"/>
        </w:rPr>
        <w:t> </w:t>
      </w:r>
      <w:r>
        <w:rPr/>
        <w:t>and</w:t>
      </w:r>
      <w:r>
        <w:rPr>
          <w:spacing w:val="-4"/>
        </w:rPr>
        <w:t> </w:t>
      </w:r>
      <w:r>
        <w:rPr/>
        <w:t>it</w:t>
      </w:r>
      <w:r>
        <w:rPr>
          <w:spacing w:val="-2"/>
        </w:rPr>
        <w:t> </w:t>
      </w:r>
      <w:r>
        <w:rPr/>
        <w:t>is</w:t>
      </w:r>
      <w:r>
        <w:rPr>
          <w:spacing w:val="-2"/>
        </w:rPr>
        <w:t> </w:t>
      </w:r>
      <w:r>
        <w:rPr/>
        <w:t>projected</w:t>
      </w:r>
      <w:r>
        <w:rPr>
          <w:spacing w:val="-3"/>
        </w:rPr>
        <w:t> </w:t>
      </w:r>
      <w:r>
        <w:rPr>
          <w:spacing w:val="-4"/>
        </w:rPr>
        <w:t>that</w:t>
      </w:r>
    </w:p>
    <w:p>
      <w:pPr>
        <w:spacing w:after="0" w:line="480" w:lineRule="auto"/>
        <w:jc w:val="both"/>
        <w:sectPr>
          <w:pgSz w:w="12240" w:h="15840"/>
          <w:pgMar w:header="0" w:footer="1068" w:top="1820" w:bottom="1260" w:left="1720" w:right="1300"/>
        </w:sectPr>
      </w:pPr>
    </w:p>
    <w:p>
      <w:pPr>
        <w:pStyle w:val="BodyText"/>
        <w:spacing w:line="480" w:lineRule="auto" w:before="63"/>
        <w:ind w:left="267" w:right="104"/>
        <w:jc w:val="both"/>
      </w:pPr>
      <w:r>
        <w:rPr/>
        <w:t>by year 2025, about 1.8 billion people will reside in countries with </w:t>
      </w:r>
      <w:r>
        <w:rPr>
          <w:i/>
        </w:rPr>
        <w:t>absolute </w:t>
      </w:r>
      <w:r>
        <w:rPr/>
        <w:t>water scarcity, with</w:t>
      </w:r>
      <w:r>
        <w:rPr>
          <w:spacing w:val="-7"/>
        </w:rPr>
        <w:t> </w:t>
      </w:r>
      <w:r>
        <w:rPr/>
        <w:t>two-third</w:t>
      </w:r>
      <w:r>
        <w:rPr>
          <w:spacing w:val="-8"/>
        </w:rPr>
        <w:t> </w:t>
      </w:r>
      <w:r>
        <w:rPr/>
        <w:t>of</w:t>
      </w:r>
      <w:r>
        <w:rPr>
          <w:spacing w:val="-8"/>
        </w:rPr>
        <w:t> </w:t>
      </w:r>
      <w:r>
        <w:rPr/>
        <w:t>the</w:t>
      </w:r>
      <w:r>
        <w:rPr>
          <w:spacing w:val="-8"/>
        </w:rPr>
        <w:t> </w:t>
      </w:r>
      <w:r>
        <w:rPr/>
        <w:t>world’s</w:t>
      </w:r>
      <w:r>
        <w:rPr>
          <w:spacing w:val="-7"/>
        </w:rPr>
        <w:t> </w:t>
      </w:r>
      <w:r>
        <w:rPr/>
        <w:t>population</w:t>
      </w:r>
      <w:r>
        <w:rPr>
          <w:spacing w:val="-7"/>
        </w:rPr>
        <w:t> </w:t>
      </w:r>
      <w:r>
        <w:rPr/>
        <w:t>likely</w:t>
      </w:r>
      <w:r>
        <w:rPr>
          <w:spacing w:val="-12"/>
        </w:rPr>
        <w:t> </w:t>
      </w:r>
      <w:r>
        <w:rPr/>
        <w:t>to</w:t>
      </w:r>
      <w:r>
        <w:rPr>
          <w:spacing w:val="-7"/>
        </w:rPr>
        <w:t> </w:t>
      </w:r>
      <w:r>
        <w:rPr/>
        <w:t>live</w:t>
      </w:r>
      <w:r>
        <w:rPr>
          <w:spacing w:val="-6"/>
        </w:rPr>
        <w:t> </w:t>
      </w:r>
      <w:r>
        <w:rPr/>
        <w:t>under</w:t>
      </w:r>
      <w:r>
        <w:rPr>
          <w:spacing w:val="-8"/>
        </w:rPr>
        <w:t> </w:t>
      </w:r>
      <w:r>
        <w:rPr/>
        <w:t>water-stressed</w:t>
      </w:r>
      <w:r>
        <w:rPr>
          <w:spacing w:val="-5"/>
        </w:rPr>
        <w:t> </w:t>
      </w:r>
      <w:r>
        <w:rPr/>
        <w:t>conditions</w:t>
      </w:r>
      <w:r>
        <w:rPr>
          <w:spacing w:val="-6"/>
        </w:rPr>
        <w:t> </w:t>
      </w:r>
      <w:r>
        <w:rPr/>
        <w:t>by</w:t>
      </w:r>
      <w:r>
        <w:rPr>
          <w:spacing w:val="-12"/>
        </w:rPr>
        <w:t> </w:t>
      </w:r>
      <w:r>
        <w:rPr/>
        <w:t>the year 2040 (UN-Water and FAO, 2007; Reigh </w:t>
      </w:r>
      <w:r>
        <w:rPr>
          <w:i/>
        </w:rPr>
        <w:t>et al.</w:t>
      </w:r>
      <w:r>
        <w:rPr/>
        <w:t>, 2013; Liu </w:t>
      </w:r>
      <w:r>
        <w:rPr>
          <w:i/>
        </w:rPr>
        <w:t>et al.</w:t>
      </w:r>
      <w:r>
        <w:rPr/>
        <w:t>, 2015). The United Nations</w:t>
      </w:r>
      <w:r>
        <w:rPr>
          <w:spacing w:val="-1"/>
        </w:rPr>
        <w:t> </w:t>
      </w:r>
      <w:r>
        <w:rPr/>
        <w:t>General</w:t>
      </w:r>
      <w:r>
        <w:rPr>
          <w:spacing w:val="-1"/>
        </w:rPr>
        <w:t> </w:t>
      </w:r>
      <w:r>
        <w:rPr/>
        <w:t>Assembly</w:t>
      </w:r>
      <w:r>
        <w:rPr>
          <w:spacing w:val="-6"/>
        </w:rPr>
        <w:t> </w:t>
      </w:r>
      <w:r>
        <w:rPr/>
        <w:t>acknowledged</w:t>
      </w:r>
      <w:r>
        <w:rPr>
          <w:spacing w:val="-1"/>
        </w:rPr>
        <w:t> </w:t>
      </w:r>
      <w:r>
        <w:rPr/>
        <w:t>the</w:t>
      </w:r>
      <w:r>
        <w:rPr>
          <w:spacing w:val="-2"/>
        </w:rPr>
        <w:t> </w:t>
      </w:r>
      <w:r>
        <w:rPr/>
        <w:t>human</w:t>
      </w:r>
      <w:r>
        <w:rPr>
          <w:spacing w:val="-2"/>
        </w:rPr>
        <w:t> </w:t>
      </w:r>
      <w:r>
        <w:rPr/>
        <w:t>right</w:t>
      </w:r>
      <w:r>
        <w:rPr>
          <w:spacing w:val="-1"/>
        </w:rPr>
        <w:t> </w:t>
      </w:r>
      <w:r>
        <w:rPr/>
        <w:t>to </w:t>
      </w:r>
      <w:r>
        <w:rPr>
          <w:i/>
        </w:rPr>
        <w:t>safe</w:t>
      </w:r>
      <w:r>
        <w:rPr>
          <w:i/>
          <w:spacing w:val="-1"/>
        </w:rPr>
        <w:t> </w:t>
      </w:r>
      <w:r>
        <w:rPr/>
        <w:t>and</w:t>
      </w:r>
      <w:r>
        <w:rPr>
          <w:spacing w:val="-1"/>
        </w:rPr>
        <w:t> </w:t>
      </w:r>
      <w:r>
        <w:rPr>
          <w:i/>
        </w:rPr>
        <w:t>accessible </w:t>
      </w:r>
      <w:r>
        <w:rPr/>
        <w:t>water</w:t>
      </w:r>
      <w:r>
        <w:rPr>
          <w:spacing w:val="-3"/>
        </w:rPr>
        <w:t> </w:t>
      </w:r>
      <w:r>
        <w:rPr/>
        <w:t>on</w:t>
      </w:r>
      <w:r>
        <w:rPr>
          <w:spacing w:val="-1"/>
        </w:rPr>
        <w:t> </w:t>
      </w:r>
      <w:r>
        <w:rPr/>
        <w:t>a </w:t>
      </w:r>
      <w:r>
        <w:rPr>
          <w:i/>
        </w:rPr>
        <w:t>sustainable </w:t>
      </w:r>
      <w:r>
        <w:rPr/>
        <w:t>basis. The absence of such right to water erodes human dignity and signifies water scarcity and water poverty (SADC, 2008; Sanusi, 2010; Naiga </w:t>
      </w:r>
      <w:r>
        <w:rPr>
          <w:i/>
        </w:rPr>
        <w:t>et al.</w:t>
      </w:r>
      <w:r>
        <w:rPr/>
        <w:t>, 2015). In recognition</w:t>
      </w:r>
      <w:r>
        <w:rPr>
          <w:spacing w:val="-9"/>
        </w:rPr>
        <w:t> </w:t>
      </w:r>
      <w:r>
        <w:rPr/>
        <w:t>of</w:t>
      </w:r>
      <w:r>
        <w:rPr>
          <w:spacing w:val="-10"/>
        </w:rPr>
        <w:t> </w:t>
      </w:r>
      <w:r>
        <w:rPr/>
        <w:t>water</w:t>
      </w:r>
      <w:r>
        <w:rPr>
          <w:spacing w:val="-11"/>
        </w:rPr>
        <w:t> </w:t>
      </w:r>
      <w:r>
        <w:rPr/>
        <w:t>scarcity</w:t>
      </w:r>
      <w:r>
        <w:rPr>
          <w:spacing w:val="-12"/>
        </w:rPr>
        <w:t> </w:t>
      </w:r>
      <w:r>
        <w:rPr/>
        <w:t>as</w:t>
      </w:r>
      <w:r>
        <w:rPr>
          <w:spacing w:val="-9"/>
        </w:rPr>
        <w:t> </w:t>
      </w:r>
      <w:r>
        <w:rPr/>
        <w:t>a</w:t>
      </w:r>
      <w:r>
        <w:rPr>
          <w:spacing w:val="-11"/>
        </w:rPr>
        <w:t> </w:t>
      </w:r>
      <w:r>
        <w:rPr/>
        <w:t>form</w:t>
      </w:r>
      <w:r>
        <w:rPr>
          <w:spacing w:val="-10"/>
        </w:rPr>
        <w:t> </w:t>
      </w:r>
      <w:r>
        <w:rPr/>
        <w:t>of</w:t>
      </w:r>
      <w:r>
        <w:rPr>
          <w:spacing w:val="-10"/>
        </w:rPr>
        <w:t> </w:t>
      </w:r>
      <w:r>
        <w:rPr/>
        <w:t>human</w:t>
      </w:r>
      <w:r>
        <w:rPr>
          <w:spacing w:val="-8"/>
        </w:rPr>
        <w:t> </w:t>
      </w:r>
      <w:r>
        <w:rPr/>
        <w:t>deprivation,</w:t>
      </w:r>
      <w:r>
        <w:rPr>
          <w:spacing w:val="-10"/>
        </w:rPr>
        <w:t> </w:t>
      </w:r>
      <w:r>
        <w:rPr/>
        <w:t>the</w:t>
      </w:r>
      <w:r>
        <w:rPr>
          <w:spacing w:val="-7"/>
        </w:rPr>
        <w:t> </w:t>
      </w:r>
      <w:r>
        <w:rPr/>
        <w:t>United</w:t>
      </w:r>
      <w:r>
        <w:rPr>
          <w:spacing w:val="-8"/>
        </w:rPr>
        <w:t> </w:t>
      </w:r>
      <w:r>
        <w:rPr/>
        <w:t>Nations</w:t>
      </w:r>
      <w:r>
        <w:rPr>
          <w:spacing w:val="-8"/>
        </w:rPr>
        <w:t> </w:t>
      </w:r>
      <w:r>
        <w:rPr/>
        <w:t>Sustainable Development Goal (SDG) 6.4 aspires to significantly reduce the proportion of people suffering from water scarcity by 2030.</w:t>
      </w:r>
    </w:p>
    <w:p>
      <w:pPr>
        <w:pStyle w:val="BodyText"/>
        <w:spacing w:before="1"/>
      </w:pPr>
    </w:p>
    <w:p>
      <w:pPr>
        <w:pStyle w:val="BodyText"/>
        <w:spacing w:line="480" w:lineRule="auto"/>
        <w:ind w:left="267" w:right="103"/>
        <w:jc w:val="both"/>
      </w:pPr>
      <w:r>
        <w:rPr/>
        <w:t>While water scarcity is a global concern, it remains pervasive in Africa – a continent with over 800 million people. It has been observed that 54% of the entire continent is arid, and over 300 million of its inhabitants are living in water scarce environments (Rached </w:t>
      </w:r>
      <w:r>
        <w:rPr>
          <w:i/>
        </w:rPr>
        <w:t>et al., </w:t>
      </w:r>
      <w:r>
        <w:rPr/>
        <w:t>1996; NEPAD, 2006; Akpor and Muchie, 2011). More than </w:t>
      </w:r>
      <w:r>
        <w:rPr>
          <w:rFonts w:ascii="Cambria Math" w:hAnsi="Cambria Math"/>
        </w:rPr>
        <w:t>2</w:t>
      </w:r>
      <w:r>
        <w:rPr>
          <w:rFonts w:ascii="Cambria Math" w:hAnsi="Cambria Math"/>
          <w:position w:val="1"/>
        </w:rPr>
        <w:t>⁄</w:t>
      </w:r>
      <w:r>
        <w:rPr>
          <w:rFonts w:ascii="Cambria Math" w:hAnsi="Cambria Math"/>
        </w:rPr>
        <w:t>3 </w:t>
      </w:r>
      <w:r>
        <w:rPr/>
        <w:t>of African households (especially women and children who are considered vulnerable) are also considered “water poor”</w:t>
      </w:r>
      <w:r>
        <w:rPr>
          <w:spacing w:val="-9"/>
        </w:rPr>
        <w:t> </w:t>
      </w:r>
      <w:r>
        <w:rPr/>
        <w:t>as</w:t>
      </w:r>
      <w:r>
        <w:rPr>
          <w:spacing w:val="-7"/>
        </w:rPr>
        <w:t> </w:t>
      </w:r>
      <w:r>
        <w:rPr/>
        <w:t>they</w:t>
      </w:r>
      <w:r>
        <w:rPr>
          <w:spacing w:val="-12"/>
        </w:rPr>
        <w:t> </w:t>
      </w:r>
      <w:r>
        <w:rPr/>
        <w:t>trekked</w:t>
      </w:r>
      <w:r>
        <w:rPr>
          <w:spacing w:val="-6"/>
        </w:rPr>
        <w:t> </w:t>
      </w:r>
      <w:r>
        <w:rPr/>
        <w:t>over</w:t>
      </w:r>
      <w:r>
        <w:rPr>
          <w:spacing w:val="-7"/>
        </w:rPr>
        <w:t> </w:t>
      </w:r>
      <w:r>
        <w:rPr/>
        <w:t>1</w:t>
      </w:r>
      <w:r>
        <w:rPr>
          <w:spacing w:val="-7"/>
        </w:rPr>
        <w:t> </w:t>
      </w:r>
      <w:r>
        <w:rPr/>
        <w:t>hour</w:t>
      </w:r>
      <w:r>
        <w:rPr>
          <w:spacing w:val="-8"/>
        </w:rPr>
        <w:t> </w:t>
      </w:r>
      <w:r>
        <w:rPr/>
        <w:t>from</w:t>
      </w:r>
      <w:r>
        <w:rPr>
          <w:spacing w:val="-7"/>
        </w:rPr>
        <w:t> </w:t>
      </w:r>
      <w:r>
        <w:rPr/>
        <w:t>their</w:t>
      </w:r>
      <w:r>
        <w:rPr>
          <w:spacing w:val="-8"/>
        </w:rPr>
        <w:t> </w:t>
      </w:r>
      <w:r>
        <w:rPr/>
        <w:t>home</w:t>
      </w:r>
      <w:r>
        <w:rPr>
          <w:spacing w:val="-5"/>
        </w:rPr>
        <w:t> </w:t>
      </w:r>
      <w:r>
        <w:rPr/>
        <w:t>per</w:t>
      </w:r>
      <w:r>
        <w:rPr>
          <w:spacing w:val="-8"/>
        </w:rPr>
        <w:t> </w:t>
      </w:r>
      <w:r>
        <w:rPr/>
        <w:t>water</w:t>
      </w:r>
      <w:r>
        <w:rPr>
          <w:spacing w:val="-8"/>
        </w:rPr>
        <w:t> </w:t>
      </w:r>
      <w:r>
        <w:rPr/>
        <w:t>collection</w:t>
      </w:r>
      <w:r>
        <w:rPr>
          <w:spacing w:val="-7"/>
        </w:rPr>
        <w:t> </w:t>
      </w:r>
      <w:r>
        <w:rPr/>
        <w:t>trip</w:t>
      </w:r>
      <w:r>
        <w:rPr>
          <w:spacing w:val="-5"/>
        </w:rPr>
        <w:t> </w:t>
      </w:r>
      <w:r>
        <w:rPr/>
        <w:t>to</w:t>
      </w:r>
      <w:r>
        <w:rPr>
          <w:spacing w:val="-7"/>
        </w:rPr>
        <w:t> </w:t>
      </w:r>
      <w:r>
        <w:rPr/>
        <w:t>fetch</w:t>
      </w:r>
      <w:r>
        <w:rPr>
          <w:spacing w:val="-8"/>
        </w:rPr>
        <w:t> </w:t>
      </w:r>
      <w:r>
        <w:rPr/>
        <w:t>water</w:t>
      </w:r>
      <w:r>
        <w:rPr>
          <w:spacing w:val="-8"/>
        </w:rPr>
        <w:t> </w:t>
      </w:r>
      <w:r>
        <w:rPr/>
        <w:t>for consumption purposes (Montgomery</w:t>
      </w:r>
      <w:r>
        <w:rPr>
          <w:spacing w:val="-1"/>
        </w:rPr>
        <w:t> </w:t>
      </w:r>
      <w:r>
        <w:rPr/>
        <w:t>and Elimelech, 2009; Sorenson </w:t>
      </w:r>
      <w:r>
        <w:rPr>
          <w:i/>
        </w:rPr>
        <w:t>et al.</w:t>
      </w:r>
      <w:r>
        <w:rPr/>
        <w:t>, 2011; Pickering and Davies, 2012). Evidence has further shown that only 58% of African dwellers have access</w:t>
      </w:r>
      <w:r>
        <w:rPr>
          <w:spacing w:val="-9"/>
        </w:rPr>
        <w:t> </w:t>
      </w:r>
      <w:r>
        <w:rPr/>
        <w:t>to</w:t>
      </w:r>
      <w:r>
        <w:rPr>
          <w:spacing w:val="-9"/>
        </w:rPr>
        <w:t> </w:t>
      </w:r>
      <w:r>
        <w:rPr/>
        <w:t>improved</w:t>
      </w:r>
      <w:r>
        <w:rPr>
          <w:spacing w:val="-10"/>
        </w:rPr>
        <w:t> </w:t>
      </w:r>
      <w:r>
        <w:rPr/>
        <w:t>water</w:t>
      </w:r>
      <w:r>
        <w:rPr>
          <w:spacing w:val="-9"/>
        </w:rPr>
        <w:t> </w:t>
      </w:r>
      <w:r>
        <w:rPr/>
        <w:t>sources,</w:t>
      </w:r>
      <w:r>
        <w:rPr>
          <w:spacing w:val="-10"/>
        </w:rPr>
        <w:t> </w:t>
      </w:r>
      <w:r>
        <w:rPr/>
        <w:t>and</w:t>
      </w:r>
      <w:r>
        <w:rPr>
          <w:spacing w:val="-10"/>
        </w:rPr>
        <w:t> </w:t>
      </w:r>
      <w:r>
        <w:rPr/>
        <w:t>these</w:t>
      </w:r>
      <w:r>
        <w:rPr>
          <w:spacing w:val="-11"/>
        </w:rPr>
        <w:t> </w:t>
      </w:r>
      <w:r>
        <w:rPr/>
        <w:t>levels</w:t>
      </w:r>
      <w:r>
        <w:rPr>
          <w:spacing w:val="-7"/>
        </w:rPr>
        <w:t> </w:t>
      </w:r>
      <w:r>
        <w:rPr/>
        <w:t>are</w:t>
      </w:r>
      <w:r>
        <w:rPr>
          <w:spacing w:val="-11"/>
        </w:rPr>
        <w:t> </w:t>
      </w:r>
      <w:r>
        <w:rPr/>
        <w:t>declining</w:t>
      </w:r>
      <w:r>
        <w:rPr>
          <w:spacing w:val="-12"/>
        </w:rPr>
        <w:t> </w:t>
      </w:r>
      <w:r>
        <w:rPr/>
        <w:t>in</w:t>
      </w:r>
      <w:r>
        <w:rPr>
          <w:spacing w:val="-9"/>
        </w:rPr>
        <w:t> </w:t>
      </w:r>
      <w:r>
        <w:rPr/>
        <w:t>many</w:t>
      </w:r>
      <w:r>
        <w:rPr>
          <w:spacing w:val="-14"/>
        </w:rPr>
        <w:t> </w:t>
      </w:r>
      <w:r>
        <w:rPr/>
        <w:t>cities</w:t>
      </w:r>
      <w:r>
        <w:rPr>
          <w:spacing w:val="-6"/>
        </w:rPr>
        <w:t> </w:t>
      </w:r>
      <w:r>
        <w:rPr/>
        <w:t>(World</w:t>
      </w:r>
      <w:r>
        <w:rPr>
          <w:spacing w:val="-10"/>
        </w:rPr>
        <w:t> </w:t>
      </w:r>
      <w:r>
        <w:rPr/>
        <w:t>Bank, 2014a;</w:t>
      </w:r>
      <w:r>
        <w:rPr>
          <w:spacing w:val="-3"/>
        </w:rPr>
        <w:t> </w:t>
      </w:r>
      <w:r>
        <w:rPr/>
        <w:t>World</w:t>
      </w:r>
      <w:r>
        <w:rPr>
          <w:spacing w:val="-3"/>
        </w:rPr>
        <w:t> </w:t>
      </w:r>
      <w:r>
        <w:rPr/>
        <w:t>Bank,</w:t>
      </w:r>
      <w:r>
        <w:rPr>
          <w:spacing w:val="-3"/>
        </w:rPr>
        <w:t> </w:t>
      </w:r>
      <w:r>
        <w:rPr/>
        <w:t>2014b).</w:t>
      </w:r>
      <w:r>
        <w:rPr>
          <w:spacing w:val="-3"/>
        </w:rPr>
        <w:t> </w:t>
      </w:r>
      <w:r>
        <w:rPr/>
        <w:t>The</w:t>
      </w:r>
      <w:r>
        <w:rPr>
          <w:spacing w:val="-5"/>
        </w:rPr>
        <w:t> </w:t>
      </w:r>
      <w:r>
        <w:rPr/>
        <w:t>unbalanced</w:t>
      </w:r>
      <w:r>
        <w:rPr>
          <w:spacing w:val="-3"/>
        </w:rPr>
        <w:t> </w:t>
      </w:r>
      <w:r>
        <w:rPr/>
        <w:t>nature</w:t>
      </w:r>
      <w:r>
        <w:rPr>
          <w:spacing w:val="-5"/>
        </w:rPr>
        <w:t> </w:t>
      </w:r>
      <w:r>
        <w:rPr/>
        <w:t>of</w:t>
      </w:r>
      <w:r>
        <w:rPr>
          <w:spacing w:val="-3"/>
        </w:rPr>
        <w:t> </w:t>
      </w:r>
      <w:r>
        <w:rPr/>
        <w:t>water</w:t>
      </w:r>
      <w:r>
        <w:rPr>
          <w:spacing w:val="-5"/>
        </w:rPr>
        <w:t> </w:t>
      </w:r>
      <w:r>
        <w:rPr/>
        <w:t>scarcity</w:t>
      </w:r>
      <w:r>
        <w:rPr>
          <w:spacing w:val="-11"/>
        </w:rPr>
        <w:t> </w:t>
      </w:r>
      <w:r>
        <w:rPr/>
        <w:t>in</w:t>
      </w:r>
      <w:r>
        <w:rPr>
          <w:spacing w:val="-3"/>
        </w:rPr>
        <w:t> </w:t>
      </w:r>
      <w:r>
        <w:rPr/>
        <w:t>African</w:t>
      </w:r>
      <w:r>
        <w:rPr>
          <w:spacing w:val="-3"/>
        </w:rPr>
        <w:t> </w:t>
      </w:r>
      <w:r>
        <w:rPr/>
        <w:t>countries is also worrisome, as regional disparities exist in terms of water supply and distribution. The WHO-UNICEF</w:t>
      </w:r>
      <w:r>
        <w:rPr>
          <w:spacing w:val="-8"/>
        </w:rPr>
        <w:t> </w:t>
      </w:r>
      <w:r>
        <w:rPr/>
        <w:t>(2010)</w:t>
      </w:r>
      <w:r>
        <w:rPr>
          <w:spacing w:val="-6"/>
        </w:rPr>
        <w:t> </w:t>
      </w:r>
      <w:r>
        <w:rPr/>
        <w:t>for</w:t>
      </w:r>
      <w:r>
        <w:rPr>
          <w:spacing w:val="-7"/>
        </w:rPr>
        <w:t> </w:t>
      </w:r>
      <w:r>
        <w:rPr/>
        <w:t>instance,</w:t>
      </w:r>
      <w:r>
        <w:rPr>
          <w:spacing w:val="-5"/>
        </w:rPr>
        <w:t> </w:t>
      </w:r>
      <w:r>
        <w:rPr/>
        <w:t>identified</w:t>
      </w:r>
      <w:r>
        <w:rPr>
          <w:spacing w:val="-6"/>
        </w:rPr>
        <w:t> </w:t>
      </w:r>
      <w:r>
        <w:rPr/>
        <w:t>water</w:t>
      </w:r>
      <w:r>
        <w:rPr>
          <w:spacing w:val="-7"/>
        </w:rPr>
        <w:t> </w:t>
      </w:r>
      <w:r>
        <w:rPr/>
        <w:t>scarcity</w:t>
      </w:r>
      <w:r>
        <w:rPr>
          <w:spacing w:val="-10"/>
        </w:rPr>
        <w:t> </w:t>
      </w:r>
      <w:r>
        <w:rPr/>
        <w:t>to</w:t>
      </w:r>
      <w:r>
        <w:rPr>
          <w:spacing w:val="-5"/>
        </w:rPr>
        <w:t> </w:t>
      </w:r>
      <w:r>
        <w:rPr/>
        <w:t>be</w:t>
      </w:r>
      <w:r>
        <w:rPr>
          <w:spacing w:val="-7"/>
        </w:rPr>
        <w:t> </w:t>
      </w:r>
      <w:r>
        <w:rPr/>
        <w:t>more</w:t>
      </w:r>
      <w:r>
        <w:rPr>
          <w:spacing w:val="-7"/>
        </w:rPr>
        <w:t> </w:t>
      </w:r>
      <w:r>
        <w:rPr/>
        <w:t>pronounced</w:t>
      </w:r>
      <w:r>
        <w:rPr>
          <w:spacing w:val="-6"/>
        </w:rPr>
        <w:t> </w:t>
      </w:r>
      <w:r>
        <w:rPr/>
        <w:t>in</w:t>
      </w:r>
      <w:r>
        <w:rPr>
          <w:spacing w:val="-5"/>
        </w:rPr>
        <w:t> </w:t>
      </w:r>
      <w:r>
        <w:rPr/>
        <w:t>Sub- Saharan region relative to other regions in Africa, with piped water into dwellings, plots or yards declining between 1990 and 2008 from 43% to 35% in urban areas.</w:t>
      </w:r>
    </w:p>
    <w:p>
      <w:pPr>
        <w:spacing w:after="0" w:line="480" w:lineRule="auto"/>
        <w:jc w:val="both"/>
        <w:sectPr>
          <w:pgSz w:w="12240" w:h="15840"/>
          <w:pgMar w:header="0" w:footer="1068" w:top="1340" w:bottom="1260" w:left="1720" w:right="1300"/>
        </w:sectPr>
      </w:pPr>
    </w:p>
    <w:p>
      <w:pPr>
        <w:pStyle w:val="BodyText"/>
        <w:spacing w:line="480" w:lineRule="auto" w:before="63"/>
        <w:ind w:left="267" w:right="106"/>
        <w:jc w:val="both"/>
      </w:pPr>
      <w:r>
        <w:rPr/>
        <w:t>As</w:t>
      </w:r>
      <w:r>
        <w:rPr>
          <w:spacing w:val="-15"/>
        </w:rPr>
        <w:t> </w:t>
      </w:r>
      <w:r>
        <w:rPr/>
        <w:t>a</w:t>
      </w:r>
      <w:r>
        <w:rPr>
          <w:spacing w:val="-15"/>
        </w:rPr>
        <w:t> </w:t>
      </w:r>
      <w:r>
        <w:rPr/>
        <w:t>nation</w:t>
      </w:r>
      <w:r>
        <w:rPr>
          <w:spacing w:val="-14"/>
        </w:rPr>
        <w:t> </w:t>
      </w:r>
      <w:r>
        <w:rPr/>
        <w:t>in</w:t>
      </w:r>
      <w:r>
        <w:rPr>
          <w:spacing w:val="-14"/>
        </w:rPr>
        <w:t> </w:t>
      </w:r>
      <w:r>
        <w:rPr/>
        <w:t>Africa,</w:t>
      </w:r>
      <w:r>
        <w:rPr>
          <w:spacing w:val="-12"/>
        </w:rPr>
        <w:t> </w:t>
      </w:r>
      <w:r>
        <w:rPr/>
        <w:t>Nigeria</w:t>
      </w:r>
      <w:r>
        <w:rPr>
          <w:spacing w:val="-15"/>
        </w:rPr>
        <w:t> </w:t>
      </w:r>
      <w:r>
        <w:rPr/>
        <w:t>with</w:t>
      </w:r>
      <w:r>
        <w:rPr>
          <w:spacing w:val="-14"/>
        </w:rPr>
        <w:t> </w:t>
      </w:r>
      <w:r>
        <w:rPr/>
        <w:t>over</w:t>
      </w:r>
      <w:r>
        <w:rPr>
          <w:spacing w:val="-15"/>
        </w:rPr>
        <w:t> </w:t>
      </w:r>
      <w:r>
        <w:rPr/>
        <w:t>180</w:t>
      </w:r>
      <w:r>
        <w:rPr>
          <w:spacing w:val="-14"/>
        </w:rPr>
        <w:t> </w:t>
      </w:r>
      <w:r>
        <w:rPr/>
        <w:t>million</w:t>
      </w:r>
      <w:r>
        <w:rPr>
          <w:spacing w:val="-14"/>
        </w:rPr>
        <w:t> </w:t>
      </w:r>
      <w:r>
        <w:rPr/>
        <w:t>inhabitants,</w:t>
      </w:r>
      <w:r>
        <w:rPr>
          <w:spacing w:val="-14"/>
        </w:rPr>
        <w:t> </w:t>
      </w:r>
      <w:r>
        <w:rPr/>
        <w:t>also</w:t>
      </w:r>
      <w:r>
        <w:rPr>
          <w:spacing w:val="-14"/>
        </w:rPr>
        <w:t> </w:t>
      </w:r>
      <w:r>
        <w:rPr/>
        <w:t>suffers</w:t>
      </w:r>
      <w:r>
        <w:rPr>
          <w:spacing w:val="-15"/>
        </w:rPr>
        <w:t> </w:t>
      </w:r>
      <w:r>
        <w:rPr/>
        <w:t>from</w:t>
      </w:r>
      <w:r>
        <w:rPr>
          <w:spacing w:val="-13"/>
        </w:rPr>
        <w:t> </w:t>
      </w:r>
      <w:r>
        <w:rPr/>
        <w:t>acute</w:t>
      </w:r>
      <w:r>
        <w:rPr>
          <w:spacing w:val="-15"/>
        </w:rPr>
        <w:t> </w:t>
      </w:r>
      <w:r>
        <w:rPr/>
        <w:t>water supply. This dimension of water scarcity is alarming and has been well documented. For example, Nigerians represent one in every ten persons in the world who suffers from unimproved water supply (WHO-UNICEF/JMP, 2017; MICS, 2017). The Wash-Norm survey (2018) conducted by the Federal Government of Nigeria in conjunction with the National Bureau of Statistics reported that between 2000 and 2017, only 21% of Nigerian population had access to drinking water from improved source, provided collection time is not</w:t>
      </w:r>
      <w:r>
        <w:rPr>
          <w:spacing w:val="-4"/>
        </w:rPr>
        <w:t> </w:t>
      </w:r>
      <w:r>
        <w:rPr/>
        <w:t>more</w:t>
      </w:r>
      <w:r>
        <w:rPr>
          <w:spacing w:val="-6"/>
        </w:rPr>
        <w:t> </w:t>
      </w:r>
      <w:r>
        <w:rPr/>
        <w:t>than</w:t>
      </w:r>
      <w:r>
        <w:rPr>
          <w:spacing w:val="-3"/>
        </w:rPr>
        <w:t> </w:t>
      </w:r>
      <w:r>
        <w:rPr/>
        <w:t>30</w:t>
      </w:r>
      <w:r>
        <w:rPr>
          <w:spacing w:val="-5"/>
        </w:rPr>
        <w:t> </w:t>
      </w:r>
      <w:r>
        <w:rPr/>
        <w:t>minutes</w:t>
      </w:r>
      <w:r>
        <w:rPr>
          <w:spacing w:val="-3"/>
        </w:rPr>
        <w:t> </w:t>
      </w:r>
      <w:r>
        <w:rPr/>
        <w:t>for</w:t>
      </w:r>
      <w:r>
        <w:rPr>
          <w:spacing w:val="-4"/>
        </w:rPr>
        <w:t> </w:t>
      </w:r>
      <w:r>
        <w:rPr/>
        <w:t>a</w:t>
      </w:r>
      <w:r>
        <w:rPr>
          <w:spacing w:val="-6"/>
        </w:rPr>
        <w:t> </w:t>
      </w:r>
      <w:r>
        <w:rPr/>
        <w:t>round</w:t>
      </w:r>
      <w:r>
        <w:rPr>
          <w:spacing w:val="-2"/>
        </w:rPr>
        <w:t> </w:t>
      </w:r>
      <w:r>
        <w:rPr/>
        <w:t>trip</w:t>
      </w:r>
      <w:r>
        <w:rPr>
          <w:spacing w:val="-5"/>
        </w:rPr>
        <w:t> </w:t>
      </w:r>
      <w:r>
        <w:rPr/>
        <w:t>including</w:t>
      </w:r>
      <w:r>
        <w:rPr>
          <w:spacing w:val="-7"/>
        </w:rPr>
        <w:t> </w:t>
      </w:r>
      <w:r>
        <w:rPr/>
        <w:t>queuing.</w:t>
      </w:r>
      <w:r>
        <w:rPr>
          <w:spacing w:val="-4"/>
        </w:rPr>
        <w:t> </w:t>
      </w:r>
      <w:r>
        <w:rPr/>
        <w:t>Progress</w:t>
      </w:r>
      <w:r>
        <w:rPr>
          <w:spacing w:val="-4"/>
        </w:rPr>
        <w:t> </w:t>
      </w:r>
      <w:r>
        <w:rPr/>
        <w:t>in</w:t>
      </w:r>
      <w:r>
        <w:rPr>
          <w:spacing w:val="-4"/>
        </w:rPr>
        <w:t> </w:t>
      </w:r>
      <w:r>
        <w:rPr/>
        <w:t>access</w:t>
      </w:r>
      <w:r>
        <w:rPr>
          <w:spacing w:val="-4"/>
        </w:rPr>
        <w:t> </w:t>
      </w:r>
      <w:r>
        <w:rPr/>
        <w:t>to</w:t>
      </w:r>
      <w:r>
        <w:rPr>
          <w:spacing w:val="-4"/>
        </w:rPr>
        <w:t> </w:t>
      </w:r>
      <w:r>
        <w:rPr/>
        <w:t>improved water</w:t>
      </w:r>
      <w:r>
        <w:rPr>
          <w:spacing w:val="-15"/>
        </w:rPr>
        <w:t> </w:t>
      </w:r>
      <w:r>
        <w:rPr/>
        <w:t>supply</w:t>
      </w:r>
      <w:r>
        <w:rPr>
          <w:spacing w:val="-15"/>
        </w:rPr>
        <w:t> </w:t>
      </w:r>
      <w:r>
        <w:rPr/>
        <w:t>in</w:t>
      </w:r>
      <w:r>
        <w:rPr>
          <w:spacing w:val="-15"/>
        </w:rPr>
        <w:t> </w:t>
      </w:r>
      <w:r>
        <w:rPr/>
        <w:t>Nigeria</w:t>
      </w:r>
      <w:r>
        <w:rPr>
          <w:spacing w:val="-15"/>
        </w:rPr>
        <w:t> </w:t>
      </w:r>
      <w:r>
        <w:rPr/>
        <w:t>has</w:t>
      </w:r>
      <w:r>
        <w:rPr>
          <w:spacing w:val="-15"/>
        </w:rPr>
        <w:t> </w:t>
      </w:r>
      <w:r>
        <w:rPr/>
        <w:t>been</w:t>
      </w:r>
      <w:r>
        <w:rPr>
          <w:spacing w:val="-15"/>
        </w:rPr>
        <w:t> </w:t>
      </w:r>
      <w:r>
        <w:rPr/>
        <w:t>on</w:t>
      </w:r>
      <w:r>
        <w:rPr>
          <w:spacing w:val="-15"/>
        </w:rPr>
        <w:t> </w:t>
      </w:r>
      <w:r>
        <w:rPr/>
        <w:t>the</w:t>
      </w:r>
      <w:r>
        <w:rPr>
          <w:spacing w:val="-15"/>
        </w:rPr>
        <w:t> </w:t>
      </w:r>
      <w:r>
        <w:rPr/>
        <w:t>decline</w:t>
      </w:r>
      <w:r>
        <w:rPr>
          <w:spacing w:val="-15"/>
        </w:rPr>
        <w:t> </w:t>
      </w:r>
      <w:r>
        <w:rPr/>
        <w:t>for</w:t>
      </w:r>
      <w:r>
        <w:rPr>
          <w:spacing w:val="-15"/>
        </w:rPr>
        <w:t> </w:t>
      </w:r>
      <w:r>
        <w:rPr/>
        <w:t>nearly</w:t>
      </w:r>
      <w:r>
        <w:rPr>
          <w:spacing w:val="-15"/>
        </w:rPr>
        <w:t> </w:t>
      </w:r>
      <w:r>
        <w:rPr/>
        <w:t>two</w:t>
      </w:r>
      <w:r>
        <w:rPr>
          <w:spacing w:val="-15"/>
        </w:rPr>
        <w:t> </w:t>
      </w:r>
      <w:r>
        <w:rPr/>
        <w:t>decades,</w:t>
      </w:r>
      <w:r>
        <w:rPr>
          <w:spacing w:val="-15"/>
        </w:rPr>
        <w:t> </w:t>
      </w:r>
      <w:r>
        <w:rPr/>
        <w:t>with</w:t>
      </w:r>
      <w:r>
        <w:rPr>
          <w:spacing w:val="-15"/>
        </w:rPr>
        <w:t> </w:t>
      </w:r>
      <w:r>
        <w:rPr/>
        <w:t>access</w:t>
      </w:r>
      <w:r>
        <w:rPr>
          <w:spacing w:val="-13"/>
        </w:rPr>
        <w:t> </w:t>
      </w:r>
      <w:r>
        <w:rPr/>
        <w:t>to</w:t>
      </w:r>
      <w:r>
        <w:rPr>
          <w:spacing w:val="-14"/>
        </w:rPr>
        <w:t> </w:t>
      </w:r>
      <w:r>
        <w:rPr/>
        <w:t>reliable water sources in Nigeria’s urban centres dropping from 78% in 1990 to barely</w:t>
      </w:r>
      <w:r>
        <w:rPr>
          <w:spacing w:val="-3"/>
        </w:rPr>
        <w:t> </w:t>
      </w:r>
      <w:r>
        <w:rPr/>
        <w:t>64%</w:t>
      </w:r>
      <w:r>
        <w:rPr>
          <w:spacing w:val="-1"/>
        </w:rPr>
        <w:t> </w:t>
      </w:r>
      <w:r>
        <w:rPr/>
        <w:t>in 2017 (WHO-UNICEF/JMP,</w:t>
      </w:r>
      <w:r>
        <w:rPr>
          <w:spacing w:val="-4"/>
        </w:rPr>
        <w:t> </w:t>
      </w:r>
      <w:r>
        <w:rPr/>
        <w:t>2017;</w:t>
      </w:r>
      <w:r>
        <w:rPr>
          <w:spacing w:val="-4"/>
        </w:rPr>
        <w:t> </w:t>
      </w:r>
      <w:r>
        <w:rPr/>
        <w:t>MICS,</w:t>
      </w:r>
      <w:r>
        <w:rPr>
          <w:spacing w:val="-4"/>
        </w:rPr>
        <w:t> </w:t>
      </w:r>
      <w:r>
        <w:rPr/>
        <w:t>2017).</w:t>
      </w:r>
      <w:r>
        <w:rPr>
          <w:spacing w:val="40"/>
        </w:rPr>
        <w:t> </w:t>
      </w:r>
      <w:r>
        <w:rPr/>
        <w:t>Given</w:t>
      </w:r>
      <w:r>
        <w:rPr>
          <w:spacing w:val="-4"/>
        </w:rPr>
        <w:t> </w:t>
      </w:r>
      <w:r>
        <w:rPr/>
        <w:t>the</w:t>
      </w:r>
      <w:r>
        <w:rPr>
          <w:spacing w:val="-4"/>
        </w:rPr>
        <w:t> </w:t>
      </w:r>
      <w:r>
        <w:rPr/>
        <w:t>ever-increasing</w:t>
      </w:r>
      <w:r>
        <w:rPr>
          <w:spacing w:val="-6"/>
        </w:rPr>
        <w:t> </w:t>
      </w:r>
      <w:r>
        <w:rPr/>
        <w:t>population</w:t>
      </w:r>
      <w:r>
        <w:rPr>
          <w:spacing w:val="-4"/>
        </w:rPr>
        <w:t> </w:t>
      </w:r>
      <w:r>
        <w:rPr/>
        <w:t>growth</w:t>
      </w:r>
      <w:r>
        <w:rPr>
          <w:spacing w:val="-4"/>
        </w:rPr>
        <w:t> </w:t>
      </w:r>
      <w:r>
        <w:rPr/>
        <w:t>of the</w:t>
      </w:r>
      <w:r>
        <w:rPr>
          <w:spacing w:val="-8"/>
        </w:rPr>
        <w:t> </w:t>
      </w:r>
      <w:r>
        <w:rPr/>
        <w:t>country</w:t>
      </w:r>
      <w:r>
        <w:rPr>
          <w:spacing w:val="-12"/>
        </w:rPr>
        <w:t> </w:t>
      </w:r>
      <w:r>
        <w:rPr/>
        <w:t>at</w:t>
      </w:r>
      <w:r>
        <w:rPr>
          <w:spacing w:val="-7"/>
        </w:rPr>
        <w:t> </w:t>
      </w:r>
      <w:r>
        <w:rPr/>
        <w:t>3.8%</w:t>
      </w:r>
      <w:r>
        <w:rPr>
          <w:spacing w:val="-6"/>
        </w:rPr>
        <w:t> </w:t>
      </w:r>
      <w:r>
        <w:rPr/>
        <w:t>(NPC,</w:t>
      </w:r>
      <w:r>
        <w:rPr>
          <w:spacing w:val="-7"/>
        </w:rPr>
        <w:t> </w:t>
      </w:r>
      <w:r>
        <w:rPr/>
        <w:t>2006)</w:t>
      </w:r>
      <w:r>
        <w:rPr>
          <w:spacing w:val="-7"/>
        </w:rPr>
        <w:t> </w:t>
      </w:r>
      <w:r>
        <w:rPr/>
        <w:t>the</w:t>
      </w:r>
      <w:r>
        <w:rPr>
          <w:spacing w:val="-8"/>
        </w:rPr>
        <w:t> </w:t>
      </w:r>
      <w:r>
        <w:rPr/>
        <w:t>constant</w:t>
      </w:r>
      <w:r>
        <w:rPr>
          <w:spacing w:val="-4"/>
        </w:rPr>
        <w:t> </w:t>
      </w:r>
      <w:r>
        <w:rPr/>
        <w:t>growing</w:t>
      </w:r>
      <w:r>
        <w:rPr>
          <w:spacing w:val="-10"/>
        </w:rPr>
        <w:t> </w:t>
      </w:r>
      <w:r>
        <w:rPr/>
        <w:t>demand</w:t>
      </w:r>
      <w:r>
        <w:rPr>
          <w:spacing w:val="-7"/>
        </w:rPr>
        <w:t> </w:t>
      </w:r>
      <w:r>
        <w:rPr/>
        <w:t>for</w:t>
      </w:r>
      <w:r>
        <w:rPr>
          <w:spacing w:val="-6"/>
        </w:rPr>
        <w:t> </w:t>
      </w:r>
      <w:r>
        <w:rPr/>
        <w:t>water</w:t>
      </w:r>
      <w:r>
        <w:rPr>
          <w:spacing w:val="-6"/>
        </w:rPr>
        <w:t> </w:t>
      </w:r>
      <w:r>
        <w:rPr/>
        <w:t>is</w:t>
      </w:r>
      <w:r>
        <w:rPr>
          <w:spacing w:val="-7"/>
        </w:rPr>
        <w:t> </w:t>
      </w:r>
      <w:r>
        <w:rPr/>
        <w:t>bound</w:t>
      </w:r>
      <w:r>
        <w:rPr>
          <w:spacing w:val="-7"/>
        </w:rPr>
        <w:t> </w:t>
      </w:r>
      <w:r>
        <w:rPr/>
        <w:t>to</w:t>
      </w:r>
      <w:r>
        <w:rPr>
          <w:spacing w:val="-7"/>
        </w:rPr>
        <w:t> </w:t>
      </w:r>
      <w:r>
        <w:rPr/>
        <w:t>outstrip water availability in the near future. It has therefore been envisaged that if this current situation remains unabated, only</w:t>
      </w:r>
      <w:r>
        <w:rPr>
          <w:spacing w:val="-3"/>
        </w:rPr>
        <w:t> </w:t>
      </w:r>
      <w:r>
        <w:rPr/>
        <w:t>15-20% of urban residents in Nigeria will be able to enjoy direct water supply in their residence by the year 2025 (Macheve </w:t>
      </w:r>
      <w:r>
        <w:rPr>
          <w:i/>
        </w:rPr>
        <w:t>et al.</w:t>
      </w:r>
      <w:r>
        <w:rPr/>
        <w:t>, 2015).</w:t>
      </w:r>
    </w:p>
    <w:p>
      <w:pPr>
        <w:pStyle w:val="BodyText"/>
        <w:spacing w:before="2"/>
      </w:pPr>
    </w:p>
    <w:p>
      <w:pPr>
        <w:pStyle w:val="BodyText"/>
        <w:spacing w:line="480" w:lineRule="auto"/>
        <w:ind w:left="267" w:right="107"/>
        <w:jc w:val="both"/>
      </w:pPr>
      <w:r>
        <w:rPr/>
        <w:t>Against the background of the disproportionate nature of water scarcity, both in space and time,</w:t>
      </w:r>
      <w:r>
        <w:rPr>
          <w:spacing w:val="-1"/>
        </w:rPr>
        <w:t> </w:t>
      </w:r>
      <w:r>
        <w:rPr/>
        <w:t>coupled</w:t>
      </w:r>
      <w:r>
        <w:rPr>
          <w:spacing w:val="-2"/>
        </w:rPr>
        <w:t> </w:t>
      </w:r>
      <w:r>
        <w:rPr/>
        <w:t>with</w:t>
      </w:r>
      <w:r>
        <w:rPr>
          <w:spacing w:val="-1"/>
        </w:rPr>
        <w:t> </w:t>
      </w:r>
      <w:r>
        <w:rPr/>
        <w:t>urban population</w:t>
      </w:r>
      <w:r>
        <w:rPr>
          <w:spacing w:val="-1"/>
        </w:rPr>
        <w:t> </w:t>
      </w:r>
      <w:r>
        <w:rPr/>
        <w:t>growth</w:t>
      </w:r>
      <w:r>
        <w:rPr>
          <w:spacing w:val="-1"/>
        </w:rPr>
        <w:t> </w:t>
      </w:r>
      <w:r>
        <w:rPr/>
        <w:t>dynamics,</w:t>
      </w:r>
      <w:r>
        <w:rPr>
          <w:spacing w:val="-1"/>
        </w:rPr>
        <w:t> </w:t>
      </w:r>
      <w:r>
        <w:rPr/>
        <w:t>it</w:t>
      </w:r>
      <w:r>
        <w:rPr>
          <w:spacing w:val="-1"/>
        </w:rPr>
        <w:t> </w:t>
      </w:r>
      <w:r>
        <w:rPr/>
        <w:t>is</w:t>
      </w:r>
      <w:r>
        <w:rPr>
          <w:spacing w:val="-1"/>
        </w:rPr>
        <w:t> </w:t>
      </w:r>
      <w:r>
        <w:rPr/>
        <w:t>important</w:t>
      </w:r>
      <w:r>
        <w:rPr>
          <w:spacing w:val="-1"/>
        </w:rPr>
        <w:t> </w:t>
      </w:r>
      <w:r>
        <w:rPr/>
        <w:t>to</w:t>
      </w:r>
      <w:r>
        <w:rPr>
          <w:spacing w:val="-1"/>
        </w:rPr>
        <w:t> </w:t>
      </w:r>
      <w:r>
        <w:rPr/>
        <w:t>assess</w:t>
      </w:r>
      <w:r>
        <w:rPr>
          <w:spacing w:val="-1"/>
        </w:rPr>
        <w:t> </w:t>
      </w:r>
      <w:r>
        <w:rPr/>
        <w:t>the</w:t>
      </w:r>
      <w:r>
        <w:rPr>
          <w:spacing w:val="-2"/>
        </w:rPr>
        <w:t> </w:t>
      </w:r>
      <w:r>
        <w:rPr/>
        <w:t>extent</w:t>
      </w:r>
      <w:r>
        <w:rPr>
          <w:spacing w:val="-1"/>
        </w:rPr>
        <w:t> </w:t>
      </w:r>
      <w:r>
        <w:rPr/>
        <w:t>to which</w:t>
      </w:r>
      <w:r>
        <w:rPr>
          <w:spacing w:val="-6"/>
        </w:rPr>
        <w:t> </w:t>
      </w:r>
      <w:r>
        <w:rPr/>
        <w:t>urban</w:t>
      </w:r>
      <w:r>
        <w:rPr>
          <w:spacing w:val="-6"/>
        </w:rPr>
        <w:t> </w:t>
      </w:r>
      <w:r>
        <w:rPr/>
        <w:t>households</w:t>
      </w:r>
      <w:r>
        <w:rPr>
          <w:spacing w:val="-3"/>
        </w:rPr>
        <w:t> </w:t>
      </w:r>
      <w:r>
        <w:rPr/>
        <w:t>are</w:t>
      </w:r>
      <w:r>
        <w:rPr>
          <w:spacing w:val="-5"/>
        </w:rPr>
        <w:t> </w:t>
      </w:r>
      <w:r>
        <w:rPr/>
        <w:t>water</w:t>
      </w:r>
      <w:r>
        <w:rPr>
          <w:spacing w:val="-7"/>
        </w:rPr>
        <w:t> </w:t>
      </w:r>
      <w:r>
        <w:rPr/>
        <w:t>stressed</w:t>
      </w:r>
      <w:r>
        <w:rPr>
          <w:spacing w:val="-3"/>
        </w:rPr>
        <w:t> </w:t>
      </w:r>
      <w:r>
        <w:rPr/>
        <w:t>at</w:t>
      </w:r>
      <w:r>
        <w:rPr>
          <w:spacing w:val="-5"/>
        </w:rPr>
        <w:t> </w:t>
      </w:r>
      <w:r>
        <w:rPr/>
        <w:t>both</w:t>
      </w:r>
      <w:r>
        <w:rPr>
          <w:spacing w:val="-3"/>
        </w:rPr>
        <w:t> </w:t>
      </w:r>
      <w:r>
        <w:rPr/>
        <w:t>household</w:t>
      </w:r>
      <w:r>
        <w:rPr>
          <w:spacing w:val="-5"/>
        </w:rPr>
        <w:t> </w:t>
      </w:r>
      <w:r>
        <w:rPr/>
        <w:t>and</w:t>
      </w:r>
      <w:r>
        <w:rPr>
          <w:spacing w:val="-4"/>
        </w:rPr>
        <w:t> </w:t>
      </w:r>
      <w:r>
        <w:rPr/>
        <w:t>neighbourhood</w:t>
      </w:r>
      <w:r>
        <w:rPr>
          <w:spacing w:val="-7"/>
        </w:rPr>
        <w:t> </w:t>
      </w:r>
      <w:r>
        <w:rPr/>
        <w:t>scale.</w:t>
      </w:r>
      <w:r>
        <w:rPr>
          <w:spacing w:val="-6"/>
        </w:rPr>
        <w:t> </w:t>
      </w:r>
      <w:r>
        <w:rPr/>
        <w:t>Any effort</w:t>
      </w:r>
      <w:r>
        <w:rPr>
          <w:spacing w:val="-2"/>
        </w:rPr>
        <w:t> </w:t>
      </w:r>
      <w:r>
        <w:rPr/>
        <w:t>geared</w:t>
      </w:r>
      <w:r>
        <w:rPr>
          <w:spacing w:val="-5"/>
        </w:rPr>
        <w:t> </w:t>
      </w:r>
      <w:r>
        <w:rPr/>
        <w:t>towards</w:t>
      </w:r>
      <w:r>
        <w:rPr>
          <w:spacing w:val="-4"/>
        </w:rPr>
        <w:t> </w:t>
      </w:r>
      <w:r>
        <w:rPr/>
        <w:t>alleviating</w:t>
      </w:r>
      <w:r>
        <w:rPr>
          <w:spacing w:val="-6"/>
        </w:rPr>
        <w:t> </w:t>
      </w:r>
      <w:r>
        <w:rPr/>
        <w:t>water</w:t>
      </w:r>
      <w:r>
        <w:rPr>
          <w:spacing w:val="-6"/>
        </w:rPr>
        <w:t> </w:t>
      </w:r>
      <w:r>
        <w:rPr/>
        <w:t>poverty</w:t>
      </w:r>
      <w:r>
        <w:rPr>
          <w:spacing w:val="-9"/>
        </w:rPr>
        <w:t> </w:t>
      </w:r>
      <w:r>
        <w:rPr/>
        <w:t>largely</w:t>
      </w:r>
      <w:r>
        <w:rPr>
          <w:spacing w:val="-10"/>
        </w:rPr>
        <w:t> </w:t>
      </w:r>
      <w:r>
        <w:rPr/>
        <w:t>depends</w:t>
      </w:r>
      <w:r>
        <w:rPr>
          <w:spacing w:val="-5"/>
        </w:rPr>
        <w:t> </w:t>
      </w:r>
      <w:r>
        <w:rPr/>
        <w:t>on</w:t>
      </w:r>
      <w:r>
        <w:rPr>
          <w:spacing w:val="-3"/>
        </w:rPr>
        <w:t> </w:t>
      </w:r>
      <w:r>
        <w:rPr/>
        <w:t>adequate</w:t>
      </w:r>
      <w:r>
        <w:rPr>
          <w:spacing w:val="-4"/>
        </w:rPr>
        <w:t> </w:t>
      </w:r>
      <w:r>
        <w:rPr/>
        <w:t>evidence</w:t>
      </w:r>
      <w:r>
        <w:rPr>
          <w:spacing w:val="-6"/>
        </w:rPr>
        <w:t> </w:t>
      </w:r>
      <w:r>
        <w:rPr/>
        <w:t>on</w:t>
      </w:r>
      <w:r>
        <w:rPr>
          <w:spacing w:val="-3"/>
        </w:rPr>
        <w:t> </w:t>
      </w:r>
      <w:r>
        <w:rPr/>
        <w:t>the </w:t>
      </w:r>
      <w:r>
        <w:rPr>
          <w:spacing w:val="-2"/>
        </w:rPr>
        <w:t>extent</w:t>
      </w:r>
      <w:r>
        <w:rPr>
          <w:spacing w:val="-7"/>
        </w:rPr>
        <w:t> </w:t>
      </w:r>
      <w:r>
        <w:rPr>
          <w:spacing w:val="-2"/>
        </w:rPr>
        <w:t>of</w:t>
      </w:r>
      <w:r>
        <w:rPr>
          <w:spacing w:val="-8"/>
        </w:rPr>
        <w:t> </w:t>
      </w:r>
      <w:r>
        <w:rPr>
          <w:spacing w:val="-2"/>
        </w:rPr>
        <w:t>water</w:t>
      </w:r>
      <w:r>
        <w:rPr>
          <w:spacing w:val="-8"/>
        </w:rPr>
        <w:t> </w:t>
      </w:r>
      <w:r>
        <w:rPr>
          <w:spacing w:val="-2"/>
        </w:rPr>
        <w:t>stress</w:t>
      </w:r>
      <w:r>
        <w:rPr>
          <w:spacing w:val="-5"/>
        </w:rPr>
        <w:t> </w:t>
      </w:r>
      <w:r>
        <w:rPr>
          <w:spacing w:val="-2"/>
        </w:rPr>
        <w:t>at</w:t>
      </w:r>
      <w:r>
        <w:rPr>
          <w:spacing w:val="-5"/>
        </w:rPr>
        <w:t> </w:t>
      </w:r>
      <w:r>
        <w:rPr>
          <w:spacing w:val="-2"/>
        </w:rPr>
        <w:t>such</w:t>
      </w:r>
      <w:r>
        <w:rPr>
          <w:spacing w:val="-7"/>
        </w:rPr>
        <w:t> </w:t>
      </w:r>
      <w:r>
        <w:rPr>
          <w:spacing w:val="-2"/>
        </w:rPr>
        <w:t>smallest</w:t>
      </w:r>
      <w:r>
        <w:rPr>
          <w:spacing w:val="-5"/>
        </w:rPr>
        <w:t> </w:t>
      </w:r>
      <w:r>
        <w:rPr>
          <w:spacing w:val="-2"/>
        </w:rPr>
        <w:t>scale</w:t>
      </w:r>
      <w:r>
        <w:rPr>
          <w:spacing w:val="-7"/>
        </w:rPr>
        <w:t> </w:t>
      </w:r>
      <w:r>
        <w:rPr>
          <w:spacing w:val="-2"/>
        </w:rPr>
        <w:t>of</w:t>
      </w:r>
      <w:r>
        <w:rPr>
          <w:spacing w:val="-8"/>
        </w:rPr>
        <w:t> </w:t>
      </w:r>
      <w:r>
        <w:rPr>
          <w:spacing w:val="-2"/>
        </w:rPr>
        <w:t>analysis,</w:t>
      </w:r>
      <w:r>
        <w:rPr>
          <w:spacing w:val="-7"/>
        </w:rPr>
        <w:t> </w:t>
      </w:r>
      <w:r>
        <w:rPr>
          <w:spacing w:val="-2"/>
        </w:rPr>
        <w:t>to</w:t>
      </w:r>
      <w:r>
        <w:rPr>
          <w:spacing w:val="-5"/>
        </w:rPr>
        <w:t> </w:t>
      </w:r>
      <w:r>
        <w:rPr>
          <w:spacing w:val="-2"/>
        </w:rPr>
        <w:t>provide</w:t>
      </w:r>
      <w:r>
        <w:rPr>
          <w:spacing w:val="-8"/>
        </w:rPr>
        <w:t> </w:t>
      </w:r>
      <w:r>
        <w:rPr>
          <w:spacing w:val="-2"/>
        </w:rPr>
        <w:t>the</w:t>
      </w:r>
      <w:r>
        <w:rPr>
          <w:spacing w:val="-7"/>
        </w:rPr>
        <w:t> </w:t>
      </w:r>
      <w:r>
        <w:rPr>
          <w:spacing w:val="-2"/>
        </w:rPr>
        <w:t>pathway</w:t>
      </w:r>
      <w:r>
        <w:rPr>
          <w:spacing w:val="-9"/>
        </w:rPr>
        <w:t> </w:t>
      </w:r>
      <w:r>
        <w:rPr>
          <w:spacing w:val="-2"/>
        </w:rPr>
        <w:t>for</w:t>
      </w:r>
      <w:r>
        <w:rPr>
          <w:spacing w:val="-8"/>
        </w:rPr>
        <w:t> </w:t>
      </w:r>
      <w:r>
        <w:rPr>
          <w:spacing w:val="-2"/>
        </w:rPr>
        <w:t>appropriate </w:t>
      </w:r>
      <w:r>
        <w:rPr/>
        <w:t>water policy interventions. This is the focal point of this thesis: to assess the level of water stress</w:t>
      </w:r>
      <w:r>
        <w:rPr>
          <w:spacing w:val="-15"/>
        </w:rPr>
        <w:t> </w:t>
      </w:r>
      <w:r>
        <w:rPr/>
        <w:t>at</w:t>
      </w:r>
      <w:r>
        <w:rPr>
          <w:spacing w:val="-15"/>
        </w:rPr>
        <w:t> </w:t>
      </w:r>
      <w:r>
        <w:rPr/>
        <w:t>household</w:t>
      </w:r>
      <w:r>
        <w:rPr>
          <w:spacing w:val="-15"/>
        </w:rPr>
        <w:t> </w:t>
      </w:r>
      <w:r>
        <w:rPr/>
        <w:t>and</w:t>
      </w:r>
      <w:r>
        <w:rPr>
          <w:spacing w:val="-15"/>
        </w:rPr>
        <w:t> </w:t>
      </w:r>
      <w:r>
        <w:rPr/>
        <w:t>neighbourhood</w:t>
      </w:r>
      <w:r>
        <w:rPr>
          <w:spacing w:val="-15"/>
        </w:rPr>
        <w:t> </w:t>
      </w:r>
      <w:r>
        <w:rPr/>
        <w:t>level</w:t>
      </w:r>
      <w:r>
        <w:rPr>
          <w:spacing w:val="-15"/>
        </w:rPr>
        <w:t> </w:t>
      </w:r>
      <w:r>
        <w:rPr/>
        <w:t>in</w:t>
      </w:r>
      <w:r>
        <w:rPr>
          <w:spacing w:val="-15"/>
        </w:rPr>
        <w:t> </w:t>
      </w:r>
      <w:r>
        <w:rPr/>
        <w:t>Minna,</w:t>
      </w:r>
      <w:r>
        <w:rPr>
          <w:spacing w:val="-15"/>
        </w:rPr>
        <w:t> </w:t>
      </w:r>
      <w:r>
        <w:rPr/>
        <w:t>Nigeria</w:t>
      </w:r>
      <w:r>
        <w:rPr>
          <w:spacing w:val="-15"/>
        </w:rPr>
        <w:t> </w:t>
      </w:r>
      <w:r>
        <w:rPr/>
        <w:t>within</w:t>
      </w:r>
      <w:r>
        <w:rPr>
          <w:spacing w:val="-15"/>
        </w:rPr>
        <w:t> </w:t>
      </w:r>
      <w:r>
        <w:rPr/>
        <w:t>the</w:t>
      </w:r>
      <w:r>
        <w:rPr>
          <w:spacing w:val="-15"/>
        </w:rPr>
        <w:t> </w:t>
      </w:r>
      <w:r>
        <w:rPr/>
        <w:t>framework</w:t>
      </w:r>
      <w:r>
        <w:rPr>
          <w:spacing w:val="-15"/>
        </w:rPr>
        <w:t> </w:t>
      </w:r>
      <w:r>
        <w:rPr/>
        <w:t>of</w:t>
      </w:r>
      <w:r>
        <w:rPr>
          <w:spacing w:val="-15"/>
        </w:rPr>
        <w:t> </w:t>
      </w:r>
      <w:r>
        <w:rPr/>
        <w:t>water poverty methodology.</w:t>
      </w:r>
    </w:p>
    <w:p>
      <w:pPr>
        <w:spacing w:after="0" w:line="480" w:lineRule="auto"/>
        <w:jc w:val="both"/>
        <w:sectPr>
          <w:pgSz w:w="12240" w:h="15840"/>
          <w:pgMar w:header="0" w:footer="1068" w:top="1340" w:bottom="1260" w:left="1720" w:right="1300"/>
        </w:sectPr>
      </w:pPr>
    </w:p>
    <w:p>
      <w:pPr>
        <w:pStyle w:val="BodyText"/>
        <w:spacing w:line="480" w:lineRule="auto" w:before="63"/>
        <w:ind w:left="267" w:right="103"/>
        <w:jc w:val="both"/>
      </w:pPr>
      <w:r>
        <w:rPr/>
        <w:t>In</w:t>
      </w:r>
      <w:r>
        <w:rPr>
          <w:spacing w:val="-11"/>
        </w:rPr>
        <w:t> </w:t>
      </w:r>
      <w:r>
        <w:rPr/>
        <w:t>linking</w:t>
      </w:r>
      <w:r>
        <w:rPr>
          <w:spacing w:val="-12"/>
        </w:rPr>
        <w:t> </w:t>
      </w:r>
      <w:r>
        <w:rPr/>
        <w:t>water</w:t>
      </w:r>
      <w:r>
        <w:rPr>
          <w:spacing w:val="-13"/>
        </w:rPr>
        <w:t> </w:t>
      </w:r>
      <w:r>
        <w:rPr/>
        <w:t>stress</w:t>
      </w:r>
      <w:r>
        <w:rPr>
          <w:spacing w:val="-12"/>
        </w:rPr>
        <w:t> </w:t>
      </w:r>
      <w:r>
        <w:rPr/>
        <w:t>to</w:t>
      </w:r>
      <w:r>
        <w:rPr>
          <w:spacing w:val="-9"/>
        </w:rPr>
        <w:t> </w:t>
      </w:r>
      <w:r>
        <w:rPr/>
        <w:t>the</w:t>
      </w:r>
      <w:r>
        <w:rPr>
          <w:spacing w:val="-13"/>
        </w:rPr>
        <w:t> </w:t>
      </w:r>
      <w:r>
        <w:rPr/>
        <w:t>related</w:t>
      </w:r>
      <w:r>
        <w:rPr>
          <w:spacing w:val="-13"/>
        </w:rPr>
        <w:t> </w:t>
      </w:r>
      <w:r>
        <w:rPr/>
        <w:t>poverty</w:t>
      </w:r>
      <w:r>
        <w:rPr>
          <w:spacing w:val="-15"/>
        </w:rPr>
        <w:t> </w:t>
      </w:r>
      <w:r>
        <w:rPr/>
        <w:t>at</w:t>
      </w:r>
      <w:r>
        <w:rPr>
          <w:spacing w:val="-9"/>
        </w:rPr>
        <w:t> </w:t>
      </w:r>
      <w:r>
        <w:rPr/>
        <w:t>household</w:t>
      </w:r>
      <w:r>
        <w:rPr>
          <w:spacing w:val="-12"/>
        </w:rPr>
        <w:t> </w:t>
      </w:r>
      <w:r>
        <w:rPr/>
        <w:t>and</w:t>
      </w:r>
      <w:r>
        <w:rPr>
          <w:spacing w:val="-12"/>
        </w:rPr>
        <w:t> </w:t>
      </w:r>
      <w:r>
        <w:rPr/>
        <w:t>neighbourhood</w:t>
      </w:r>
      <w:r>
        <w:rPr>
          <w:spacing w:val="-10"/>
        </w:rPr>
        <w:t> </w:t>
      </w:r>
      <w:r>
        <w:rPr/>
        <w:t>level,</w:t>
      </w:r>
      <w:r>
        <w:rPr>
          <w:spacing w:val="-12"/>
        </w:rPr>
        <w:t> </w:t>
      </w:r>
      <w:r>
        <w:rPr/>
        <w:t>the</w:t>
      </w:r>
      <w:r>
        <w:rPr>
          <w:spacing w:val="-11"/>
        </w:rPr>
        <w:t> </w:t>
      </w:r>
      <w:r>
        <w:rPr/>
        <w:t>water poverty assessment framework beyond other assessment metrics has been progressively recognized</w:t>
      </w:r>
      <w:r>
        <w:rPr>
          <w:spacing w:val="-13"/>
        </w:rPr>
        <w:t> </w:t>
      </w:r>
      <w:r>
        <w:rPr/>
        <w:t>as</w:t>
      </w:r>
      <w:r>
        <w:rPr>
          <w:spacing w:val="-13"/>
        </w:rPr>
        <w:t> </w:t>
      </w:r>
      <w:r>
        <w:rPr/>
        <w:t>a</w:t>
      </w:r>
      <w:r>
        <w:rPr>
          <w:spacing w:val="-14"/>
        </w:rPr>
        <w:t> </w:t>
      </w:r>
      <w:r>
        <w:rPr/>
        <w:t>robust</w:t>
      </w:r>
      <w:r>
        <w:rPr>
          <w:spacing w:val="-13"/>
        </w:rPr>
        <w:t> </w:t>
      </w:r>
      <w:r>
        <w:rPr/>
        <w:t>quantitative</w:t>
      </w:r>
      <w:r>
        <w:rPr>
          <w:spacing w:val="-12"/>
        </w:rPr>
        <w:t> </w:t>
      </w:r>
      <w:r>
        <w:rPr/>
        <w:t>and</w:t>
      </w:r>
      <w:r>
        <w:rPr>
          <w:spacing w:val="-13"/>
        </w:rPr>
        <w:t> </w:t>
      </w:r>
      <w:r>
        <w:rPr/>
        <w:t>monitoring</w:t>
      </w:r>
      <w:r>
        <w:rPr>
          <w:spacing w:val="-14"/>
        </w:rPr>
        <w:t> </w:t>
      </w:r>
      <w:r>
        <w:rPr/>
        <w:t>tool</w:t>
      </w:r>
      <w:r>
        <w:rPr>
          <w:spacing w:val="-12"/>
        </w:rPr>
        <w:t> </w:t>
      </w:r>
      <w:r>
        <w:rPr/>
        <w:t>(Sullivan,</w:t>
      </w:r>
      <w:r>
        <w:rPr>
          <w:spacing w:val="-13"/>
        </w:rPr>
        <w:t> </w:t>
      </w:r>
      <w:r>
        <w:rPr/>
        <w:t>2002;</w:t>
      </w:r>
      <w:r>
        <w:rPr>
          <w:spacing w:val="-14"/>
        </w:rPr>
        <w:t> </w:t>
      </w:r>
      <w:r>
        <w:rPr/>
        <w:t>Sullivan</w:t>
      </w:r>
      <w:r>
        <w:rPr>
          <w:spacing w:val="-13"/>
        </w:rPr>
        <w:t> </w:t>
      </w:r>
      <w:r>
        <w:rPr>
          <w:i/>
        </w:rPr>
        <w:t>et</w:t>
      </w:r>
      <w:r>
        <w:rPr>
          <w:i/>
          <w:spacing w:val="-13"/>
        </w:rPr>
        <w:t> </w:t>
      </w:r>
      <w:r>
        <w:rPr>
          <w:i/>
        </w:rPr>
        <w:t>al.,</w:t>
      </w:r>
      <w:r>
        <w:rPr>
          <w:i/>
          <w:spacing w:val="-13"/>
        </w:rPr>
        <w:t> </w:t>
      </w:r>
      <w:r>
        <w:rPr/>
        <w:t>2003; Sullivan, </w:t>
      </w:r>
      <w:r>
        <w:rPr>
          <w:i/>
        </w:rPr>
        <w:t>et al., </w:t>
      </w:r>
      <w:r>
        <w:rPr/>
        <w:t>2006; Damkjaer and Taylor, 2017) for providing new insight into the complexities of water issues, by</w:t>
      </w:r>
      <w:r>
        <w:rPr>
          <w:spacing w:val="-3"/>
        </w:rPr>
        <w:t> </w:t>
      </w:r>
      <w:r>
        <w:rPr/>
        <w:t>integrating the concept of environmental sustainability</w:t>
      </w:r>
      <w:r>
        <w:rPr>
          <w:spacing w:val="-3"/>
        </w:rPr>
        <w:t> </w:t>
      </w:r>
      <w:r>
        <w:rPr/>
        <w:t>and social adaptive capacity with different physical and economic drivers of water scarcity (Garriga and Foguet, 2010; Sullivan and Jemmali, 2014; Hung </w:t>
      </w:r>
      <w:r>
        <w:rPr>
          <w:i/>
        </w:rPr>
        <w:t>et al., </w:t>
      </w:r>
      <w:r>
        <w:rPr/>
        <w:t>2017).</w:t>
      </w:r>
    </w:p>
    <w:p>
      <w:pPr>
        <w:pStyle w:val="BodyText"/>
        <w:spacing w:before="8"/>
      </w:pPr>
    </w:p>
    <w:p>
      <w:pPr>
        <w:pStyle w:val="Heading1"/>
        <w:numPr>
          <w:ilvl w:val="1"/>
          <w:numId w:val="1"/>
        </w:numPr>
        <w:tabs>
          <w:tab w:pos="987" w:val="left" w:leader="none"/>
        </w:tabs>
        <w:spacing w:line="240" w:lineRule="auto" w:before="0" w:after="0"/>
        <w:ind w:left="987" w:right="0" w:hanging="720"/>
        <w:jc w:val="left"/>
      </w:pPr>
      <w:r>
        <w:rPr/>
        <w:t>Statement</w:t>
      </w:r>
      <w:r>
        <w:rPr>
          <w:spacing w:val="-2"/>
        </w:rPr>
        <w:t> </w:t>
      </w:r>
      <w:r>
        <w:rPr/>
        <w:t>of</w:t>
      </w:r>
      <w:r>
        <w:rPr>
          <w:spacing w:val="-2"/>
        </w:rPr>
        <w:t> </w:t>
      </w:r>
      <w:r>
        <w:rPr/>
        <w:t>the</w:t>
      </w:r>
      <w:r>
        <w:rPr>
          <w:spacing w:val="-2"/>
        </w:rPr>
        <w:t> </w:t>
      </w:r>
      <w:r>
        <w:rPr/>
        <w:t>Research </w:t>
      </w:r>
      <w:r>
        <w:rPr>
          <w:spacing w:val="-2"/>
        </w:rPr>
        <w:t>Problem</w:t>
      </w:r>
    </w:p>
    <w:p>
      <w:pPr>
        <w:pStyle w:val="BodyText"/>
        <w:spacing w:before="15"/>
        <w:rPr>
          <w:b/>
        </w:rPr>
      </w:pPr>
    </w:p>
    <w:p>
      <w:pPr>
        <w:pStyle w:val="BodyText"/>
        <w:spacing w:line="480" w:lineRule="auto"/>
        <w:ind w:left="267" w:right="105"/>
        <w:jc w:val="both"/>
      </w:pPr>
      <w:r>
        <w:rPr/>
        <w:t>The National Bureau of Statistics (NBS, 2006) survey has shown that improved water coverage in Nigeria range from 30.7% to 73.5%, and significantly varies between the northern and southern regions. However, these limits are way outside the target of Sustainable Development Goal (SDG) 6.1 which requires extending the improved water coverage</w:t>
      </w:r>
      <w:r>
        <w:rPr>
          <w:spacing w:val="-15"/>
        </w:rPr>
        <w:t> </w:t>
      </w:r>
      <w:r>
        <w:rPr/>
        <w:t>by</w:t>
      </w:r>
      <w:r>
        <w:rPr>
          <w:spacing w:val="-15"/>
        </w:rPr>
        <w:t> </w:t>
      </w:r>
      <w:r>
        <w:rPr/>
        <w:t>100%</w:t>
      </w:r>
      <w:r>
        <w:rPr>
          <w:spacing w:val="-15"/>
        </w:rPr>
        <w:t> </w:t>
      </w:r>
      <w:r>
        <w:rPr/>
        <w:t>to</w:t>
      </w:r>
      <w:r>
        <w:rPr>
          <w:spacing w:val="-15"/>
        </w:rPr>
        <w:t> </w:t>
      </w:r>
      <w:r>
        <w:rPr/>
        <w:t>currently</w:t>
      </w:r>
      <w:r>
        <w:rPr>
          <w:spacing w:val="-15"/>
        </w:rPr>
        <w:t> </w:t>
      </w:r>
      <w:r>
        <w:rPr/>
        <w:t>un-served</w:t>
      </w:r>
      <w:r>
        <w:rPr>
          <w:spacing w:val="-14"/>
        </w:rPr>
        <w:t> </w:t>
      </w:r>
      <w:r>
        <w:rPr/>
        <w:t>population</w:t>
      </w:r>
      <w:r>
        <w:rPr>
          <w:spacing w:val="-13"/>
        </w:rPr>
        <w:t> </w:t>
      </w:r>
      <w:r>
        <w:rPr/>
        <w:t>with</w:t>
      </w:r>
      <w:r>
        <w:rPr>
          <w:spacing w:val="-14"/>
        </w:rPr>
        <w:t> </w:t>
      </w:r>
      <w:r>
        <w:rPr/>
        <w:t>a</w:t>
      </w:r>
      <w:r>
        <w:rPr>
          <w:spacing w:val="-13"/>
        </w:rPr>
        <w:t> </w:t>
      </w:r>
      <w:r>
        <w:rPr/>
        <w:t>focus</w:t>
      </w:r>
      <w:r>
        <w:rPr>
          <w:spacing w:val="-12"/>
        </w:rPr>
        <w:t> </w:t>
      </w:r>
      <w:r>
        <w:rPr/>
        <w:t>on</w:t>
      </w:r>
      <w:r>
        <w:rPr>
          <w:spacing w:val="-14"/>
        </w:rPr>
        <w:t> </w:t>
      </w:r>
      <w:r>
        <w:rPr/>
        <w:t>equitable</w:t>
      </w:r>
      <w:r>
        <w:rPr>
          <w:spacing w:val="-15"/>
        </w:rPr>
        <w:t> </w:t>
      </w:r>
      <w:r>
        <w:rPr/>
        <w:t>access,</w:t>
      </w:r>
      <w:r>
        <w:rPr>
          <w:spacing w:val="-10"/>
        </w:rPr>
        <w:t> </w:t>
      </w:r>
      <w:r>
        <w:rPr/>
        <w:t>quality and sustainable water by the year 2030.</w:t>
      </w:r>
    </w:p>
    <w:p>
      <w:pPr>
        <w:pStyle w:val="BodyText"/>
      </w:pPr>
    </w:p>
    <w:p>
      <w:pPr>
        <w:pStyle w:val="BodyText"/>
        <w:spacing w:line="480" w:lineRule="auto" w:before="1"/>
        <w:ind w:left="267" w:right="106"/>
        <w:jc w:val="both"/>
      </w:pPr>
      <w:r>
        <w:rPr/>
        <w:t>This limited water coverage is also characterized by low levels of access, intermittent and poor</w:t>
      </w:r>
      <w:r>
        <w:rPr>
          <w:spacing w:val="-3"/>
        </w:rPr>
        <w:t> </w:t>
      </w:r>
      <w:r>
        <w:rPr/>
        <w:t>quality</w:t>
      </w:r>
      <w:r>
        <w:rPr>
          <w:spacing w:val="-10"/>
        </w:rPr>
        <w:t> </w:t>
      </w:r>
      <w:r>
        <w:rPr/>
        <w:t>of</w:t>
      </w:r>
      <w:r>
        <w:rPr>
          <w:spacing w:val="-2"/>
        </w:rPr>
        <w:t> </w:t>
      </w:r>
      <w:r>
        <w:rPr/>
        <w:t>water</w:t>
      </w:r>
      <w:r>
        <w:rPr>
          <w:spacing w:val="-4"/>
        </w:rPr>
        <w:t> </w:t>
      </w:r>
      <w:r>
        <w:rPr/>
        <w:t>supply</w:t>
      </w:r>
      <w:r>
        <w:rPr>
          <w:spacing w:val="-10"/>
        </w:rPr>
        <w:t> </w:t>
      </w:r>
      <w:r>
        <w:rPr/>
        <w:t>services</w:t>
      </w:r>
      <w:r>
        <w:rPr>
          <w:spacing w:val="-2"/>
        </w:rPr>
        <w:t> </w:t>
      </w:r>
      <w:r>
        <w:rPr/>
        <w:t>especially</w:t>
      </w:r>
      <w:r>
        <w:rPr>
          <w:spacing w:val="-10"/>
        </w:rPr>
        <w:t> </w:t>
      </w:r>
      <w:r>
        <w:rPr/>
        <w:t>in</w:t>
      </w:r>
      <w:r>
        <w:rPr>
          <w:spacing w:val="-1"/>
        </w:rPr>
        <w:t> </w:t>
      </w:r>
      <w:r>
        <w:rPr/>
        <w:t>urban</w:t>
      </w:r>
      <w:r>
        <w:rPr>
          <w:spacing w:val="-2"/>
        </w:rPr>
        <w:t> </w:t>
      </w:r>
      <w:r>
        <w:rPr/>
        <w:t>centres</w:t>
      </w:r>
      <w:r>
        <w:rPr>
          <w:spacing w:val="-1"/>
        </w:rPr>
        <w:t> </w:t>
      </w:r>
      <w:r>
        <w:rPr/>
        <w:t>(Akpor</w:t>
      </w:r>
      <w:r>
        <w:rPr>
          <w:spacing w:val="-4"/>
        </w:rPr>
        <w:t> </w:t>
      </w:r>
      <w:r>
        <w:rPr/>
        <w:t>and</w:t>
      </w:r>
      <w:r>
        <w:rPr>
          <w:spacing w:val="-2"/>
        </w:rPr>
        <w:t> </w:t>
      </w:r>
      <w:r>
        <w:rPr/>
        <w:t>Muchie,</w:t>
      </w:r>
      <w:r>
        <w:rPr>
          <w:spacing w:val="-2"/>
        </w:rPr>
        <w:t> </w:t>
      </w:r>
      <w:r>
        <w:rPr/>
        <w:t>2011). While</w:t>
      </w:r>
      <w:r>
        <w:rPr>
          <w:spacing w:val="-2"/>
        </w:rPr>
        <w:t> </w:t>
      </w:r>
      <w:r>
        <w:rPr/>
        <w:t>urban</w:t>
      </w:r>
      <w:r>
        <w:rPr>
          <w:spacing w:val="-1"/>
        </w:rPr>
        <w:t> </w:t>
      </w:r>
      <w:r>
        <w:rPr/>
        <w:t>residents</w:t>
      </w:r>
      <w:r>
        <w:rPr>
          <w:spacing w:val="-1"/>
        </w:rPr>
        <w:t> </w:t>
      </w:r>
      <w:r>
        <w:rPr/>
        <w:t>who</w:t>
      </w:r>
      <w:r>
        <w:rPr>
          <w:spacing w:val="-1"/>
        </w:rPr>
        <w:t> </w:t>
      </w:r>
      <w:r>
        <w:rPr/>
        <w:t>are</w:t>
      </w:r>
      <w:r>
        <w:rPr>
          <w:spacing w:val="-3"/>
        </w:rPr>
        <w:t> </w:t>
      </w:r>
      <w:r>
        <w:rPr/>
        <w:t>outside</w:t>
      </w:r>
      <w:r>
        <w:rPr>
          <w:spacing w:val="-2"/>
        </w:rPr>
        <w:t> </w:t>
      </w:r>
      <w:r>
        <w:rPr/>
        <w:t>the reach of</w:t>
      </w:r>
      <w:r>
        <w:rPr>
          <w:spacing w:val="-2"/>
        </w:rPr>
        <w:t> </w:t>
      </w:r>
      <w:r>
        <w:rPr/>
        <w:t>public</w:t>
      </w:r>
      <w:r>
        <w:rPr>
          <w:spacing w:val="-2"/>
        </w:rPr>
        <w:t> </w:t>
      </w:r>
      <w:r>
        <w:rPr/>
        <w:t>water coverage are</w:t>
      </w:r>
      <w:r>
        <w:rPr>
          <w:spacing w:val="-1"/>
        </w:rPr>
        <w:t> </w:t>
      </w:r>
      <w:r>
        <w:rPr/>
        <w:t>“de-watered”, their</w:t>
      </w:r>
      <w:r>
        <w:rPr>
          <w:spacing w:val="-4"/>
        </w:rPr>
        <w:t> </w:t>
      </w:r>
      <w:r>
        <w:rPr/>
        <w:t>water</w:t>
      </w:r>
      <w:r>
        <w:rPr>
          <w:spacing w:val="-5"/>
        </w:rPr>
        <w:t> </w:t>
      </w:r>
      <w:r>
        <w:rPr/>
        <w:t>needs</w:t>
      </w:r>
      <w:r>
        <w:rPr>
          <w:spacing w:val="-3"/>
        </w:rPr>
        <w:t> </w:t>
      </w:r>
      <w:r>
        <w:rPr/>
        <w:t>are</w:t>
      </w:r>
      <w:r>
        <w:rPr>
          <w:spacing w:val="-5"/>
        </w:rPr>
        <w:t> </w:t>
      </w:r>
      <w:r>
        <w:rPr/>
        <w:t>exclusively</w:t>
      </w:r>
      <w:r>
        <w:rPr>
          <w:spacing w:val="-7"/>
        </w:rPr>
        <w:t> </w:t>
      </w:r>
      <w:r>
        <w:rPr/>
        <w:t>in</w:t>
      </w:r>
      <w:r>
        <w:rPr>
          <w:spacing w:val="-3"/>
        </w:rPr>
        <w:t> </w:t>
      </w:r>
      <w:r>
        <w:rPr/>
        <w:t>form</w:t>
      </w:r>
      <w:r>
        <w:rPr>
          <w:spacing w:val="-3"/>
        </w:rPr>
        <w:t> </w:t>
      </w:r>
      <w:r>
        <w:rPr/>
        <w:t>of</w:t>
      </w:r>
      <w:r>
        <w:rPr>
          <w:spacing w:val="-3"/>
        </w:rPr>
        <w:t> </w:t>
      </w:r>
      <w:r>
        <w:rPr/>
        <w:t>informal</w:t>
      </w:r>
      <w:r>
        <w:rPr>
          <w:spacing w:val="-3"/>
        </w:rPr>
        <w:t> </w:t>
      </w:r>
      <w:r>
        <w:rPr/>
        <w:t>non-network</w:t>
      </w:r>
      <w:r>
        <w:rPr>
          <w:spacing w:val="-4"/>
        </w:rPr>
        <w:t> </w:t>
      </w:r>
      <w:r>
        <w:rPr/>
        <w:t>delivery</w:t>
      </w:r>
      <w:r>
        <w:rPr>
          <w:spacing w:val="-6"/>
        </w:rPr>
        <w:t> </w:t>
      </w:r>
      <w:r>
        <w:rPr/>
        <w:t>service.</w:t>
      </w:r>
      <w:r>
        <w:rPr>
          <w:spacing w:val="-3"/>
        </w:rPr>
        <w:t> </w:t>
      </w:r>
      <w:r>
        <w:rPr/>
        <w:t>The</w:t>
      </w:r>
      <w:r>
        <w:rPr>
          <w:spacing w:val="-5"/>
        </w:rPr>
        <w:t> </w:t>
      </w:r>
      <w:r>
        <w:rPr/>
        <w:t>low coverage of public water supply also shifts the burden of safe and reliable water supply to virtually all urban households, who consequently engage in a variety of strategies to cope with</w:t>
      </w:r>
      <w:r>
        <w:rPr>
          <w:spacing w:val="-7"/>
        </w:rPr>
        <w:t> </w:t>
      </w:r>
      <w:r>
        <w:rPr/>
        <w:t>the</w:t>
      </w:r>
      <w:r>
        <w:rPr>
          <w:spacing w:val="-8"/>
        </w:rPr>
        <w:t> </w:t>
      </w:r>
      <w:r>
        <w:rPr/>
        <w:t>lack</w:t>
      </w:r>
      <w:r>
        <w:rPr>
          <w:spacing w:val="-7"/>
        </w:rPr>
        <w:t> </w:t>
      </w:r>
      <w:r>
        <w:rPr/>
        <w:t>of</w:t>
      </w:r>
      <w:r>
        <w:rPr>
          <w:spacing w:val="-8"/>
        </w:rPr>
        <w:t> </w:t>
      </w:r>
      <w:r>
        <w:rPr/>
        <w:t>access</w:t>
      </w:r>
      <w:r>
        <w:rPr>
          <w:spacing w:val="-7"/>
        </w:rPr>
        <w:t> </w:t>
      </w:r>
      <w:r>
        <w:rPr/>
        <w:t>to</w:t>
      </w:r>
      <w:r>
        <w:rPr>
          <w:spacing w:val="-4"/>
        </w:rPr>
        <w:t> </w:t>
      </w:r>
      <w:r>
        <w:rPr/>
        <w:t>water</w:t>
      </w:r>
      <w:r>
        <w:rPr>
          <w:spacing w:val="-8"/>
        </w:rPr>
        <w:t> </w:t>
      </w:r>
      <w:r>
        <w:rPr/>
        <w:t>supply.</w:t>
      </w:r>
      <w:r>
        <w:rPr>
          <w:spacing w:val="-6"/>
        </w:rPr>
        <w:t> </w:t>
      </w:r>
      <w:r>
        <w:rPr/>
        <w:t>As</w:t>
      </w:r>
      <w:r>
        <w:rPr>
          <w:spacing w:val="-8"/>
        </w:rPr>
        <w:t> </w:t>
      </w:r>
      <w:r>
        <w:rPr/>
        <w:t>rightly</w:t>
      </w:r>
      <w:r>
        <w:rPr>
          <w:spacing w:val="-10"/>
        </w:rPr>
        <w:t> </w:t>
      </w:r>
      <w:r>
        <w:rPr/>
        <w:t>noted</w:t>
      </w:r>
      <w:r>
        <w:rPr>
          <w:spacing w:val="-8"/>
        </w:rPr>
        <w:t> </w:t>
      </w:r>
      <w:r>
        <w:rPr/>
        <w:t>by</w:t>
      </w:r>
      <w:r>
        <w:rPr>
          <w:spacing w:val="-12"/>
        </w:rPr>
        <w:t> </w:t>
      </w:r>
      <w:r>
        <w:rPr/>
        <w:t>Macheve</w:t>
      </w:r>
      <w:r>
        <w:rPr>
          <w:spacing w:val="-6"/>
        </w:rPr>
        <w:t> </w:t>
      </w:r>
      <w:r>
        <w:rPr>
          <w:i/>
        </w:rPr>
        <w:t>et</w:t>
      </w:r>
      <w:r>
        <w:rPr>
          <w:i/>
          <w:spacing w:val="-7"/>
        </w:rPr>
        <w:t> </w:t>
      </w:r>
      <w:r>
        <w:rPr>
          <w:i/>
        </w:rPr>
        <w:t>al.</w:t>
      </w:r>
      <w:r>
        <w:rPr>
          <w:i/>
          <w:spacing w:val="-6"/>
        </w:rPr>
        <w:t> </w:t>
      </w:r>
      <w:r>
        <w:rPr/>
        <w:t>(2015)</w:t>
      </w:r>
      <w:r>
        <w:rPr>
          <w:spacing w:val="-8"/>
        </w:rPr>
        <w:t> </w:t>
      </w:r>
      <w:r>
        <w:rPr/>
        <w:t>the</w:t>
      </w:r>
      <w:r>
        <w:rPr>
          <w:spacing w:val="-8"/>
        </w:rPr>
        <w:t> </w:t>
      </w:r>
      <w:r>
        <w:rPr/>
        <w:t>cost</w:t>
      </w:r>
      <w:r>
        <w:rPr>
          <w:spacing w:val="-7"/>
        </w:rPr>
        <w:t> </w:t>
      </w:r>
      <w:r>
        <w:rPr/>
        <w:t>of coping</w:t>
      </w:r>
      <w:r>
        <w:rPr>
          <w:spacing w:val="-11"/>
        </w:rPr>
        <w:t> </w:t>
      </w:r>
      <w:r>
        <w:rPr/>
        <w:t>with</w:t>
      </w:r>
      <w:r>
        <w:rPr>
          <w:spacing w:val="-6"/>
        </w:rPr>
        <w:t> </w:t>
      </w:r>
      <w:r>
        <w:rPr/>
        <w:t>lack</w:t>
      </w:r>
      <w:r>
        <w:rPr>
          <w:spacing w:val="-6"/>
        </w:rPr>
        <w:t> </w:t>
      </w:r>
      <w:r>
        <w:rPr/>
        <w:t>and</w:t>
      </w:r>
      <w:r>
        <w:rPr>
          <w:spacing w:val="-6"/>
        </w:rPr>
        <w:t> </w:t>
      </w:r>
      <w:r>
        <w:rPr/>
        <w:t>unreliable</w:t>
      </w:r>
      <w:r>
        <w:rPr>
          <w:spacing w:val="-7"/>
        </w:rPr>
        <w:t> </w:t>
      </w:r>
      <w:r>
        <w:rPr/>
        <w:t>water</w:t>
      </w:r>
      <w:r>
        <w:rPr>
          <w:spacing w:val="-7"/>
        </w:rPr>
        <w:t> </w:t>
      </w:r>
      <w:r>
        <w:rPr/>
        <w:t>supplies</w:t>
      </w:r>
      <w:r>
        <w:rPr>
          <w:spacing w:val="-6"/>
        </w:rPr>
        <w:t> </w:t>
      </w:r>
      <w:r>
        <w:rPr/>
        <w:t>to</w:t>
      </w:r>
      <w:r>
        <w:rPr>
          <w:spacing w:val="-6"/>
        </w:rPr>
        <w:t> </w:t>
      </w:r>
      <w:r>
        <w:rPr/>
        <w:t>Nigerian</w:t>
      </w:r>
      <w:r>
        <w:rPr>
          <w:spacing w:val="-6"/>
        </w:rPr>
        <w:t> </w:t>
      </w:r>
      <w:r>
        <w:rPr/>
        <w:t>households</w:t>
      </w:r>
      <w:r>
        <w:rPr>
          <w:spacing w:val="-5"/>
        </w:rPr>
        <w:t> </w:t>
      </w:r>
      <w:r>
        <w:rPr/>
        <w:t>is</w:t>
      </w:r>
      <w:r>
        <w:rPr>
          <w:spacing w:val="-6"/>
        </w:rPr>
        <w:t> </w:t>
      </w:r>
      <w:r>
        <w:rPr/>
        <w:t>estimated</w:t>
      </w:r>
      <w:r>
        <w:rPr>
          <w:spacing w:val="-5"/>
        </w:rPr>
        <w:t> </w:t>
      </w:r>
      <w:r>
        <w:rPr/>
        <w:t>at</w:t>
      </w:r>
      <w:r>
        <w:rPr>
          <w:spacing w:val="-6"/>
        </w:rPr>
        <w:t> </w:t>
      </w:r>
      <w:r>
        <w:rPr>
          <w:spacing w:val="-2"/>
        </w:rPr>
        <w:t>US700</w:t>
      </w:r>
    </w:p>
    <w:p>
      <w:pPr>
        <w:pStyle w:val="BodyText"/>
        <w:ind w:left="267"/>
        <w:jc w:val="both"/>
      </w:pPr>
      <w:r>
        <w:rPr/>
        <w:t>million</w:t>
      </w:r>
      <w:r>
        <w:rPr>
          <w:spacing w:val="6"/>
        </w:rPr>
        <w:t> </w:t>
      </w:r>
      <w:r>
        <w:rPr/>
        <w:t>dollars</w:t>
      </w:r>
      <w:r>
        <w:rPr>
          <w:spacing w:val="6"/>
        </w:rPr>
        <w:t> </w:t>
      </w:r>
      <w:r>
        <w:rPr/>
        <w:t>on</w:t>
      </w:r>
      <w:r>
        <w:rPr>
          <w:spacing w:val="9"/>
        </w:rPr>
        <w:t> </w:t>
      </w:r>
      <w:r>
        <w:rPr/>
        <w:t>yearly</w:t>
      </w:r>
      <w:r>
        <w:rPr>
          <w:spacing w:val="4"/>
        </w:rPr>
        <w:t> </w:t>
      </w:r>
      <w:r>
        <w:rPr/>
        <w:t>basis.</w:t>
      </w:r>
      <w:r>
        <w:rPr>
          <w:spacing w:val="12"/>
        </w:rPr>
        <w:t> </w:t>
      </w:r>
      <w:r>
        <w:rPr/>
        <w:t>It</w:t>
      </w:r>
      <w:r>
        <w:rPr>
          <w:spacing w:val="6"/>
        </w:rPr>
        <w:t> </w:t>
      </w:r>
      <w:r>
        <w:rPr/>
        <w:t>is</w:t>
      </w:r>
      <w:r>
        <w:rPr>
          <w:spacing w:val="7"/>
        </w:rPr>
        <w:t> </w:t>
      </w:r>
      <w:r>
        <w:rPr/>
        <w:t>therefore</w:t>
      </w:r>
      <w:r>
        <w:rPr>
          <w:spacing w:val="6"/>
        </w:rPr>
        <w:t> </w:t>
      </w:r>
      <w:r>
        <w:rPr/>
        <w:t>not</w:t>
      </w:r>
      <w:r>
        <w:rPr>
          <w:spacing w:val="9"/>
        </w:rPr>
        <w:t> </w:t>
      </w:r>
      <w:r>
        <w:rPr/>
        <w:t>surprising</w:t>
      </w:r>
      <w:r>
        <w:rPr>
          <w:spacing w:val="4"/>
        </w:rPr>
        <w:t> </w:t>
      </w:r>
      <w:r>
        <w:rPr/>
        <w:t>that</w:t>
      </w:r>
      <w:r>
        <w:rPr>
          <w:spacing w:val="8"/>
        </w:rPr>
        <w:t> </w:t>
      </w:r>
      <w:r>
        <w:rPr/>
        <w:t>only</w:t>
      </w:r>
      <w:r>
        <w:rPr>
          <w:spacing w:val="4"/>
        </w:rPr>
        <w:t> </w:t>
      </w:r>
      <w:r>
        <w:rPr/>
        <w:t>a</w:t>
      </w:r>
      <w:r>
        <w:rPr>
          <w:spacing w:val="6"/>
        </w:rPr>
        <w:t> </w:t>
      </w:r>
      <w:r>
        <w:rPr/>
        <w:t>dismal</w:t>
      </w:r>
      <w:r>
        <w:rPr>
          <w:spacing w:val="6"/>
        </w:rPr>
        <w:t> </w:t>
      </w:r>
      <w:r>
        <w:rPr/>
        <w:t>3.7%</w:t>
      </w:r>
      <w:r>
        <w:rPr>
          <w:spacing w:val="8"/>
        </w:rPr>
        <w:t> </w:t>
      </w:r>
      <w:r>
        <w:rPr/>
        <w:t>of</w:t>
      </w:r>
      <w:r>
        <w:rPr>
          <w:spacing w:val="6"/>
        </w:rPr>
        <w:t> </w:t>
      </w:r>
      <w:r>
        <w:rPr>
          <w:spacing w:val="-5"/>
        </w:rPr>
        <w:t>185</w:t>
      </w:r>
    </w:p>
    <w:p>
      <w:pPr>
        <w:spacing w:after="0"/>
        <w:jc w:val="both"/>
        <w:sectPr>
          <w:pgSz w:w="12240" w:h="15840"/>
          <w:pgMar w:header="0" w:footer="1068" w:top="1340" w:bottom="1260" w:left="1720" w:right="1300"/>
        </w:sectPr>
      </w:pPr>
    </w:p>
    <w:p>
      <w:pPr>
        <w:pStyle w:val="BodyText"/>
        <w:spacing w:line="480" w:lineRule="auto" w:before="63"/>
        <w:ind w:left="267" w:right="106"/>
        <w:jc w:val="both"/>
      </w:pPr>
      <w:r>
        <w:rPr/>
        <w:t>million Nigerians had improved water sources in their premises which are free from fecal and chemical contamination (WASH Poverty Diagnostics, 2016; MICS, 2017; WASH- NORM, 2018).</w:t>
      </w:r>
    </w:p>
    <w:p>
      <w:pPr>
        <w:pStyle w:val="BodyText"/>
      </w:pPr>
    </w:p>
    <w:p>
      <w:pPr>
        <w:pStyle w:val="BodyText"/>
        <w:spacing w:line="480" w:lineRule="auto"/>
        <w:ind w:left="267" w:right="105"/>
        <w:jc w:val="both"/>
      </w:pPr>
      <w:r>
        <w:rPr/>
        <w:t>Households’ lack of access to water supply has also been aggravated by non-functionality and</w:t>
      </w:r>
      <w:r>
        <w:rPr>
          <w:spacing w:val="-2"/>
        </w:rPr>
        <w:t> </w:t>
      </w:r>
      <w:r>
        <w:rPr/>
        <w:t>sustainability</w:t>
      </w:r>
      <w:r>
        <w:rPr>
          <w:spacing w:val="-7"/>
        </w:rPr>
        <w:t> </w:t>
      </w:r>
      <w:r>
        <w:rPr/>
        <w:t>issues. In this</w:t>
      </w:r>
      <w:r>
        <w:rPr>
          <w:spacing w:val="-2"/>
        </w:rPr>
        <w:t> </w:t>
      </w:r>
      <w:r>
        <w:rPr/>
        <w:t>regard,</w:t>
      </w:r>
      <w:r>
        <w:rPr>
          <w:spacing w:val="-2"/>
        </w:rPr>
        <w:t> </w:t>
      </w:r>
      <w:r>
        <w:rPr/>
        <w:t>the</w:t>
      </w:r>
      <w:r>
        <w:rPr>
          <w:spacing w:val="-1"/>
        </w:rPr>
        <w:t> </w:t>
      </w:r>
      <w:r>
        <w:rPr/>
        <w:t>National</w:t>
      </w:r>
      <w:r>
        <w:rPr>
          <w:spacing w:val="-2"/>
        </w:rPr>
        <w:t> </w:t>
      </w:r>
      <w:r>
        <w:rPr/>
        <w:t>Water</w:t>
      </w:r>
      <w:r>
        <w:rPr>
          <w:spacing w:val="-4"/>
        </w:rPr>
        <w:t> </w:t>
      </w:r>
      <w:r>
        <w:rPr/>
        <w:t>Supply</w:t>
      </w:r>
      <w:r>
        <w:rPr>
          <w:spacing w:val="-7"/>
        </w:rPr>
        <w:t> </w:t>
      </w:r>
      <w:r>
        <w:rPr/>
        <w:t>and Sanitation</w:t>
      </w:r>
      <w:r>
        <w:rPr>
          <w:spacing w:val="-1"/>
        </w:rPr>
        <w:t> </w:t>
      </w:r>
      <w:r>
        <w:rPr/>
        <w:t>Survey</w:t>
      </w:r>
      <w:r>
        <w:rPr>
          <w:spacing w:val="-5"/>
        </w:rPr>
        <w:t> </w:t>
      </w:r>
      <w:r>
        <w:rPr/>
        <w:t>in 2015 noted that approximately 38% of improved water facilities and 46% of all water schemes are non- functional in Nigeria. The magnitude and complexity of the low water coverage, poor access and non-functionality</w:t>
      </w:r>
      <w:r>
        <w:rPr>
          <w:spacing w:val="-3"/>
        </w:rPr>
        <w:t> </w:t>
      </w:r>
      <w:r>
        <w:rPr/>
        <w:t>of water points is far more biting among urban households in Nigeria’s urban centres, with State Water Agencies (SWAs) lacking the capacity to cater for their growing water needs, including those of the more than 2 million new residents urbanization brings to the cities on yearly basis (Macheve </w:t>
      </w:r>
      <w:r>
        <w:rPr>
          <w:i/>
        </w:rPr>
        <w:t>et al.</w:t>
      </w:r>
      <w:r>
        <w:rPr/>
        <w:t>, 2015).</w:t>
      </w:r>
    </w:p>
    <w:p>
      <w:pPr>
        <w:pStyle w:val="BodyText"/>
        <w:spacing w:before="1"/>
      </w:pPr>
    </w:p>
    <w:p>
      <w:pPr>
        <w:pStyle w:val="BodyText"/>
        <w:spacing w:line="480" w:lineRule="auto"/>
        <w:ind w:left="267" w:right="106"/>
        <w:jc w:val="both"/>
      </w:pPr>
      <w:r>
        <w:rPr/>
        <w:t>In view of the fore goings, prior research has empirically linked the extent to which households</w:t>
      </w:r>
      <w:r>
        <w:rPr>
          <w:spacing w:val="-4"/>
        </w:rPr>
        <w:t> </w:t>
      </w:r>
      <w:r>
        <w:rPr/>
        <w:t>are</w:t>
      </w:r>
      <w:r>
        <w:rPr>
          <w:spacing w:val="-6"/>
        </w:rPr>
        <w:t> </w:t>
      </w:r>
      <w:r>
        <w:rPr/>
        <w:t>water</w:t>
      </w:r>
      <w:r>
        <w:rPr>
          <w:spacing w:val="-6"/>
        </w:rPr>
        <w:t> </w:t>
      </w:r>
      <w:r>
        <w:rPr/>
        <w:t>stressed</w:t>
      </w:r>
      <w:r>
        <w:rPr>
          <w:spacing w:val="-5"/>
        </w:rPr>
        <w:t> </w:t>
      </w:r>
      <w:r>
        <w:rPr/>
        <w:t>to</w:t>
      </w:r>
      <w:r>
        <w:rPr>
          <w:spacing w:val="-4"/>
        </w:rPr>
        <w:t> </w:t>
      </w:r>
      <w:r>
        <w:rPr/>
        <w:t>the</w:t>
      </w:r>
      <w:r>
        <w:rPr>
          <w:spacing w:val="-5"/>
        </w:rPr>
        <w:t> </w:t>
      </w:r>
      <w:r>
        <w:rPr/>
        <w:t>related</w:t>
      </w:r>
      <w:r>
        <w:rPr>
          <w:spacing w:val="-5"/>
        </w:rPr>
        <w:t> </w:t>
      </w:r>
      <w:r>
        <w:rPr/>
        <w:t>level</w:t>
      </w:r>
      <w:r>
        <w:rPr>
          <w:spacing w:val="-4"/>
        </w:rPr>
        <w:t> </w:t>
      </w:r>
      <w:r>
        <w:rPr/>
        <w:t>of</w:t>
      </w:r>
      <w:r>
        <w:rPr>
          <w:spacing w:val="-6"/>
        </w:rPr>
        <w:t> </w:t>
      </w:r>
      <w:r>
        <w:rPr/>
        <w:t>poverty</w:t>
      </w:r>
      <w:r>
        <w:rPr>
          <w:spacing w:val="-10"/>
        </w:rPr>
        <w:t> </w:t>
      </w:r>
      <w:r>
        <w:rPr/>
        <w:t>at</w:t>
      </w:r>
      <w:r>
        <w:rPr>
          <w:spacing w:val="-4"/>
        </w:rPr>
        <w:t> </w:t>
      </w:r>
      <w:r>
        <w:rPr/>
        <w:t>local</w:t>
      </w:r>
      <w:r>
        <w:rPr>
          <w:spacing w:val="-4"/>
        </w:rPr>
        <w:t> </w:t>
      </w:r>
      <w:r>
        <w:rPr/>
        <w:t>and</w:t>
      </w:r>
      <w:r>
        <w:rPr>
          <w:spacing w:val="-5"/>
        </w:rPr>
        <w:t> </w:t>
      </w:r>
      <w:r>
        <w:rPr/>
        <w:t>community</w:t>
      </w:r>
      <w:r>
        <w:rPr>
          <w:spacing w:val="-12"/>
        </w:rPr>
        <w:t> </w:t>
      </w:r>
      <w:r>
        <w:rPr/>
        <w:t>level</w:t>
      </w:r>
      <w:r>
        <w:rPr>
          <w:spacing w:val="-4"/>
        </w:rPr>
        <w:t> </w:t>
      </w:r>
      <w:r>
        <w:rPr/>
        <w:t>by utilizing the water poverty framework. Useful evidence of these international studies conducted</w:t>
      </w:r>
      <w:r>
        <w:rPr>
          <w:spacing w:val="-4"/>
        </w:rPr>
        <w:t> </w:t>
      </w:r>
      <w:r>
        <w:rPr/>
        <w:t>at</w:t>
      </w:r>
      <w:r>
        <w:rPr>
          <w:spacing w:val="-4"/>
        </w:rPr>
        <w:t> </w:t>
      </w:r>
      <w:r>
        <w:rPr/>
        <w:t>local</w:t>
      </w:r>
      <w:r>
        <w:rPr>
          <w:spacing w:val="-4"/>
        </w:rPr>
        <w:t> </w:t>
      </w:r>
      <w:r>
        <w:rPr/>
        <w:t>and</w:t>
      </w:r>
      <w:r>
        <w:rPr>
          <w:spacing w:val="-4"/>
        </w:rPr>
        <w:t> </w:t>
      </w:r>
      <w:r>
        <w:rPr/>
        <w:t>commune</w:t>
      </w:r>
      <w:r>
        <w:rPr>
          <w:spacing w:val="-5"/>
        </w:rPr>
        <w:t> </w:t>
      </w:r>
      <w:r>
        <w:rPr/>
        <w:t>level</w:t>
      </w:r>
      <w:r>
        <w:rPr>
          <w:spacing w:val="-2"/>
        </w:rPr>
        <w:t> </w:t>
      </w:r>
      <w:r>
        <w:rPr/>
        <w:t>include:</w:t>
      </w:r>
      <w:r>
        <w:rPr>
          <w:spacing w:val="-4"/>
        </w:rPr>
        <w:t> </w:t>
      </w:r>
      <w:r>
        <w:rPr/>
        <w:t>Cullis</w:t>
      </w:r>
      <w:r>
        <w:rPr>
          <w:spacing w:val="-3"/>
        </w:rPr>
        <w:t> </w:t>
      </w:r>
      <w:r>
        <w:rPr/>
        <w:t>and</w:t>
      </w:r>
      <w:r>
        <w:rPr>
          <w:spacing w:val="-4"/>
        </w:rPr>
        <w:t> </w:t>
      </w:r>
      <w:r>
        <w:rPr/>
        <w:t>O’Regan,</w:t>
      </w:r>
      <w:r>
        <w:rPr>
          <w:spacing w:val="-4"/>
        </w:rPr>
        <w:t> </w:t>
      </w:r>
      <w:r>
        <w:rPr/>
        <w:t>(2004)</w:t>
      </w:r>
      <w:r>
        <w:rPr>
          <w:spacing w:val="-3"/>
        </w:rPr>
        <w:t> </w:t>
      </w:r>
      <w:r>
        <w:rPr/>
        <w:t>in</w:t>
      </w:r>
      <w:r>
        <w:rPr>
          <w:spacing w:val="-4"/>
        </w:rPr>
        <w:t> </w:t>
      </w:r>
      <w:r>
        <w:rPr/>
        <w:t>South</w:t>
      </w:r>
      <w:r>
        <w:rPr>
          <w:spacing w:val="-4"/>
        </w:rPr>
        <w:t> </w:t>
      </w:r>
      <w:r>
        <w:rPr/>
        <w:t>Africa, Sullivan </w:t>
      </w:r>
      <w:r>
        <w:rPr>
          <w:i/>
        </w:rPr>
        <w:t>et al., </w:t>
      </w:r>
      <w:r>
        <w:rPr/>
        <w:t>(2003) and Sullivan </w:t>
      </w:r>
      <w:r>
        <w:rPr>
          <w:i/>
        </w:rPr>
        <w:t>et al., </w:t>
      </w:r>
      <w:r>
        <w:rPr/>
        <w:t>(2006) both in South Africa, Sri Lanka and Tanzania</w:t>
      </w:r>
      <w:r>
        <w:rPr>
          <w:spacing w:val="-15"/>
        </w:rPr>
        <w:t> </w:t>
      </w:r>
      <w:r>
        <w:rPr/>
        <w:t>as</w:t>
      </w:r>
      <w:r>
        <w:rPr>
          <w:spacing w:val="-15"/>
        </w:rPr>
        <w:t> </w:t>
      </w:r>
      <w:r>
        <w:rPr/>
        <w:t>well</w:t>
      </w:r>
      <w:r>
        <w:rPr>
          <w:spacing w:val="-15"/>
        </w:rPr>
        <w:t> </w:t>
      </w:r>
      <w:r>
        <w:rPr/>
        <w:t>as</w:t>
      </w:r>
      <w:r>
        <w:rPr>
          <w:spacing w:val="-15"/>
        </w:rPr>
        <w:t> </w:t>
      </w:r>
      <w:r>
        <w:rPr/>
        <w:t>Zahra</w:t>
      </w:r>
      <w:r>
        <w:rPr>
          <w:spacing w:val="-15"/>
        </w:rPr>
        <w:t> </w:t>
      </w:r>
      <w:r>
        <w:rPr>
          <w:i/>
        </w:rPr>
        <w:t>et</w:t>
      </w:r>
      <w:r>
        <w:rPr>
          <w:i/>
          <w:spacing w:val="-15"/>
        </w:rPr>
        <w:t> </w:t>
      </w:r>
      <w:r>
        <w:rPr>
          <w:i/>
        </w:rPr>
        <w:t>al.</w:t>
      </w:r>
      <w:r>
        <w:rPr>
          <w:i/>
          <w:spacing w:val="-15"/>
        </w:rPr>
        <w:t> </w:t>
      </w:r>
      <w:r>
        <w:rPr/>
        <w:t>(2012)</w:t>
      </w:r>
      <w:r>
        <w:rPr>
          <w:spacing w:val="-15"/>
        </w:rPr>
        <w:t> </w:t>
      </w:r>
      <w:r>
        <w:rPr/>
        <w:t>in</w:t>
      </w:r>
      <w:r>
        <w:rPr>
          <w:spacing w:val="-13"/>
        </w:rPr>
        <w:t> </w:t>
      </w:r>
      <w:r>
        <w:rPr/>
        <w:t>India.</w:t>
      </w:r>
      <w:r>
        <w:rPr>
          <w:spacing w:val="-13"/>
        </w:rPr>
        <w:t> </w:t>
      </w:r>
      <w:r>
        <w:rPr/>
        <w:t>In</w:t>
      </w:r>
      <w:r>
        <w:rPr>
          <w:spacing w:val="-15"/>
        </w:rPr>
        <w:t> </w:t>
      </w:r>
      <w:r>
        <w:rPr/>
        <w:t>the</w:t>
      </w:r>
      <w:r>
        <w:rPr>
          <w:spacing w:val="-15"/>
        </w:rPr>
        <w:t> </w:t>
      </w:r>
      <w:r>
        <w:rPr/>
        <w:t>Nigerian</w:t>
      </w:r>
      <w:r>
        <w:rPr>
          <w:spacing w:val="-13"/>
        </w:rPr>
        <w:t> </w:t>
      </w:r>
      <w:r>
        <w:rPr/>
        <w:t>context,</w:t>
      </w:r>
      <w:r>
        <w:rPr>
          <w:spacing w:val="-15"/>
        </w:rPr>
        <w:t> </w:t>
      </w:r>
      <w:r>
        <w:rPr/>
        <w:t>notable</w:t>
      </w:r>
      <w:r>
        <w:rPr>
          <w:spacing w:val="-15"/>
        </w:rPr>
        <w:t> </w:t>
      </w:r>
      <w:r>
        <w:rPr/>
        <w:t>contributions to this strand of research are scarce and location-specific. The empirical study by Ifabiyi </w:t>
      </w:r>
      <w:r>
        <w:rPr>
          <w:i/>
        </w:rPr>
        <w:t>et al. </w:t>
      </w:r>
      <w:r>
        <w:rPr/>
        <w:t>(2020), Ifabiyi and Ogunbode (2014) in Oyo state, Ahuchaogu </w:t>
      </w:r>
      <w:r>
        <w:rPr>
          <w:i/>
        </w:rPr>
        <w:t>et al. </w:t>
      </w:r>
      <w:r>
        <w:rPr/>
        <w:t>(2015) in Akwa- Ibom</w:t>
      </w:r>
      <w:r>
        <w:rPr>
          <w:spacing w:val="-15"/>
        </w:rPr>
        <w:t> </w:t>
      </w:r>
      <w:r>
        <w:rPr/>
        <w:t>state,</w:t>
      </w:r>
      <w:r>
        <w:rPr>
          <w:spacing w:val="-15"/>
        </w:rPr>
        <w:t> </w:t>
      </w:r>
      <w:r>
        <w:rPr/>
        <w:t>and</w:t>
      </w:r>
      <w:r>
        <w:rPr>
          <w:spacing w:val="-15"/>
        </w:rPr>
        <w:t> </w:t>
      </w:r>
      <w:r>
        <w:rPr/>
        <w:t>Yahaya</w:t>
      </w:r>
      <w:r>
        <w:rPr>
          <w:spacing w:val="-15"/>
        </w:rPr>
        <w:t> </w:t>
      </w:r>
      <w:r>
        <w:rPr>
          <w:i/>
        </w:rPr>
        <w:t>et</w:t>
      </w:r>
      <w:r>
        <w:rPr>
          <w:i/>
          <w:spacing w:val="-15"/>
        </w:rPr>
        <w:t> </w:t>
      </w:r>
      <w:r>
        <w:rPr>
          <w:i/>
        </w:rPr>
        <w:t>al.</w:t>
      </w:r>
      <w:r>
        <w:rPr>
          <w:i/>
          <w:spacing w:val="-15"/>
        </w:rPr>
        <w:t> </w:t>
      </w:r>
      <w:r>
        <w:rPr/>
        <w:t>(2009)</w:t>
      </w:r>
      <w:r>
        <w:rPr>
          <w:spacing w:val="-15"/>
        </w:rPr>
        <w:t> </w:t>
      </w:r>
      <w:r>
        <w:rPr/>
        <w:t>in</w:t>
      </w:r>
      <w:r>
        <w:rPr>
          <w:spacing w:val="-15"/>
        </w:rPr>
        <w:t> </w:t>
      </w:r>
      <w:r>
        <w:rPr/>
        <w:t>Ondo</w:t>
      </w:r>
      <w:r>
        <w:rPr>
          <w:spacing w:val="-15"/>
        </w:rPr>
        <w:t> </w:t>
      </w:r>
      <w:r>
        <w:rPr/>
        <w:t>state</w:t>
      </w:r>
      <w:r>
        <w:rPr>
          <w:spacing w:val="-15"/>
        </w:rPr>
        <w:t> </w:t>
      </w:r>
      <w:r>
        <w:rPr/>
        <w:t>are</w:t>
      </w:r>
      <w:r>
        <w:rPr>
          <w:spacing w:val="-15"/>
        </w:rPr>
        <w:t> </w:t>
      </w:r>
      <w:r>
        <w:rPr/>
        <w:t>representative</w:t>
      </w:r>
      <w:r>
        <w:rPr>
          <w:spacing w:val="-15"/>
        </w:rPr>
        <w:t> </w:t>
      </w:r>
      <w:r>
        <w:rPr/>
        <w:t>articles</w:t>
      </w:r>
      <w:r>
        <w:rPr>
          <w:spacing w:val="-15"/>
        </w:rPr>
        <w:t> </w:t>
      </w:r>
      <w:r>
        <w:rPr/>
        <w:t>that</w:t>
      </w:r>
      <w:r>
        <w:rPr>
          <w:spacing w:val="-15"/>
        </w:rPr>
        <w:t> </w:t>
      </w:r>
      <w:r>
        <w:rPr/>
        <w:t>have</w:t>
      </w:r>
      <w:r>
        <w:rPr>
          <w:spacing w:val="-15"/>
        </w:rPr>
        <w:t> </w:t>
      </w:r>
      <w:r>
        <w:rPr/>
        <w:t>applied the water poverty index to investigate water stress at Local Government Areas (LGAs) as case</w:t>
      </w:r>
      <w:r>
        <w:rPr>
          <w:spacing w:val="-16"/>
        </w:rPr>
        <w:t> </w:t>
      </w:r>
      <w:r>
        <w:rPr/>
        <w:t>studies.</w:t>
      </w:r>
      <w:r>
        <w:rPr>
          <w:spacing w:val="-10"/>
        </w:rPr>
        <w:t> </w:t>
      </w:r>
      <w:r>
        <w:rPr/>
        <w:t>While</w:t>
      </w:r>
      <w:r>
        <w:rPr>
          <w:spacing w:val="-13"/>
        </w:rPr>
        <w:t> </w:t>
      </w:r>
      <w:r>
        <w:rPr/>
        <w:t>the</w:t>
      </w:r>
      <w:r>
        <w:rPr>
          <w:spacing w:val="-13"/>
        </w:rPr>
        <w:t> </w:t>
      </w:r>
      <w:r>
        <w:rPr/>
        <w:t>overall</w:t>
      </w:r>
      <w:r>
        <w:rPr>
          <w:spacing w:val="-12"/>
        </w:rPr>
        <w:t> </w:t>
      </w:r>
      <w:r>
        <w:rPr/>
        <w:t>water</w:t>
      </w:r>
      <w:r>
        <w:rPr>
          <w:spacing w:val="-14"/>
        </w:rPr>
        <w:t> </w:t>
      </w:r>
      <w:r>
        <w:rPr/>
        <w:t>poverty</w:t>
      </w:r>
      <w:r>
        <w:rPr>
          <w:spacing w:val="-17"/>
        </w:rPr>
        <w:t> </w:t>
      </w:r>
      <w:r>
        <w:rPr/>
        <w:t>index</w:t>
      </w:r>
      <w:r>
        <w:rPr>
          <w:spacing w:val="-8"/>
        </w:rPr>
        <w:t> </w:t>
      </w:r>
      <w:r>
        <w:rPr/>
        <w:t>derived</w:t>
      </w:r>
      <w:r>
        <w:rPr>
          <w:spacing w:val="-12"/>
        </w:rPr>
        <w:t> </w:t>
      </w:r>
      <w:r>
        <w:rPr/>
        <w:t>from</w:t>
      </w:r>
      <w:r>
        <w:rPr>
          <w:spacing w:val="-13"/>
        </w:rPr>
        <w:t> </w:t>
      </w:r>
      <w:r>
        <w:rPr/>
        <w:t>such</w:t>
      </w:r>
      <w:r>
        <w:rPr>
          <w:spacing w:val="-10"/>
        </w:rPr>
        <w:t> </w:t>
      </w:r>
      <w:r>
        <w:rPr/>
        <w:t>empirical</w:t>
      </w:r>
      <w:r>
        <w:rPr>
          <w:spacing w:val="-12"/>
        </w:rPr>
        <w:t> </w:t>
      </w:r>
      <w:r>
        <w:rPr>
          <w:spacing w:val="-2"/>
        </w:rPr>
        <w:t>investigation</w:t>
      </w:r>
    </w:p>
    <w:p>
      <w:pPr>
        <w:pStyle w:val="BodyText"/>
        <w:spacing w:line="275" w:lineRule="exact"/>
        <w:ind w:left="267"/>
        <w:jc w:val="both"/>
      </w:pPr>
      <w:r>
        <w:rPr/>
        <w:t>significantly</w:t>
      </w:r>
      <w:r>
        <w:rPr>
          <w:spacing w:val="2"/>
        </w:rPr>
        <w:t> </w:t>
      </w:r>
      <w:r>
        <w:rPr/>
        <w:t>hides</w:t>
      </w:r>
      <w:r>
        <w:rPr>
          <w:spacing w:val="8"/>
        </w:rPr>
        <w:t> </w:t>
      </w:r>
      <w:r>
        <w:rPr/>
        <w:t>the</w:t>
      </w:r>
      <w:r>
        <w:rPr>
          <w:spacing w:val="8"/>
        </w:rPr>
        <w:t> </w:t>
      </w:r>
      <w:r>
        <w:rPr/>
        <w:t>actual</w:t>
      </w:r>
      <w:r>
        <w:rPr>
          <w:spacing w:val="9"/>
        </w:rPr>
        <w:t> </w:t>
      </w:r>
      <w:r>
        <w:rPr/>
        <w:t>poverty</w:t>
      </w:r>
      <w:r>
        <w:rPr>
          <w:spacing w:val="4"/>
        </w:rPr>
        <w:t> </w:t>
      </w:r>
      <w:r>
        <w:rPr/>
        <w:t>levels</w:t>
      </w:r>
      <w:r>
        <w:rPr>
          <w:spacing w:val="9"/>
        </w:rPr>
        <w:t> </w:t>
      </w:r>
      <w:r>
        <w:rPr/>
        <w:t>experienced</w:t>
      </w:r>
      <w:r>
        <w:rPr>
          <w:spacing w:val="9"/>
        </w:rPr>
        <w:t> </w:t>
      </w:r>
      <w:r>
        <w:rPr/>
        <w:t>in</w:t>
      </w:r>
      <w:r>
        <w:rPr>
          <w:spacing w:val="11"/>
        </w:rPr>
        <w:t> </w:t>
      </w:r>
      <w:r>
        <w:rPr/>
        <w:t>from</w:t>
      </w:r>
      <w:r>
        <w:rPr>
          <w:spacing w:val="9"/>
        </w:rPr>
        <w:t> </w:t>
      </w:r>
      <w:r>
        <w:rPr/>
        <w:t>such</w:t>
      </w:r>
      <w:r>
        <w:rPr>
          <w:spacing w:val="8"/>
        </w:rPr>
        <w:t> </w:t>
      </w:r>
      <w:r>
        <w:rPr/>
        <w:t>studies</w:t>
      </w:r>
      <w:r>
        <w:rPr>
          <w:spacing w:val="11"/>
        </w:rPr>
        <w:t> </w:t>
      </w:r>
      <w:r>
        <w:rPr/>
        <w:t>due</w:t>
      </w:r>
      <w:r>
        <w:rPr>
          <w:spacing w:val="7"/>
        </w:rPr>
        <w:t> </w:t>
      </w:r>
      <w:r>
        <w:rPr/>
        <w:t>to</w:t>
      </w:r>
      <w:r>
        <w:rPr>
          <w:spacing w:val="9"/>
        </w:rPr>
        <w:t> </w:t>
      </w:r>
      <w:r>
        <w:rPr>
          <w:spacing w:val="-2"/>
        </w:rPr>
        <w:t>spatial</w:t>
      </w:r>
    </w:p>
    <w:p>
      <w:pPr>
        <w:spacing w:after="0" w:line="275" w:lineRule="exact"/>
        <w:jc w:val="both"/>
        <w:sectPr>
          <w:pgSz w:w="12240" w:h="15840"/>
          <w:pgMar w:header="0" w:footer="1068" w:top="1340" w:bottom="1260" w:left="1720" w:right="1300"/>
        </w:sectPr>
      </w:pPr>
    </w:p>
    <w:p>
      <w:pPr>
        <w:pStyle w:val="BodyText"/>
        <w:spacing w:line="480" w:lineRule="auto" w:before="63"/>
        <w:ind w:left="267" w:right="107"/>
        <w:jc w:val="both"/>
      </w:pPr>
      <w:r>
        <w:rPr/>
        <w:t>temporal variations of water scarcity drivers (Cullis and O’Regan, 2004; Gine and Perez- Foguet, 2009), the present thesis departs from these prior studies by its application of the water poverty index in providing useful insights into the level of water stress at both household</w:t>
      </w:r>
      <w:r>
        <w:rPr>
          <w:spacing w:val="-8"/>
        </w:rPr>
        <w:t> </w:t>
      </w:r>
      <w:r>
        <w:rPr/>
        <w:t>and</w:t>
      </w:r>
      <w:r>
        <w:rPr>
          <w:spacing w:val="-8"/>
        </w:rPr>
        <w:t> </w:t>
      </w:r>
      <w:r>
        <w:rPr/>
        <w:t>neighbourhood</w:t>
      </w:r>
      <w:r>
        <w:rPr>
          <w:spacing w:val="-8"/>
        </w:rPr>
        <w:t> </w:t>
      </w:r>
      <w:r>
        <w:rPr/>
        <w:t>scale</w:t>
      </w:r>
      <w:r>
        <w:rPr>
          <w:spacing w:val="-5"/>
        </w:rPr>
        <w:t> </w:t>
      </w:r>
      <w:r>
        <w:rPr/>
        <w:t>in</w:t>
      </w:r>
      <w:r>
        <w:rPr>
          <w:spacing w:val="-8"/>
        </w:rPr>
        <w:t> </w:t>
      </w:r>
      <w:r>
        <w:rPr/>
        <w:t>a</w:t>
      </w:r>
      <w:r>
        <w:rPr>
          <w:spacing w:val="-7"/>
        </w:rPr>
        <w:t> </w:t>
      </w:r>
      <w:r>
        <w:rPr/>
        <w:t>different</w:t>
      </w:r>
      <w:r>
        <w:rPr>
          <w:spacing w:val="-3"/>
        </w:rPr>
        <w:t> </w:t>
      </w:r>
      <w:r>
        <w:rPr/>
        <w:t>geographical</w:t>
      </w:r>
      <w:r>
        <w:rPr>
          <w:spacing w:val="-8"/>
        </w:rPr>
        <w:t> </w:t>
      </w:r>
      <w:r>
        <w:rPr/>
        <w:t>area.</w:t>
      </w:r>
      <w:r>
        <w:rPr>
          <w:spacing w:val="-6"/>
        </w:rPr>
        <w:t> </w:t>
      </w:r>
      <w:r>
        <w:rPr/>
        <w:t>This</w:t>
      </w:r>
      <w:r>
        <w:rPr>
          <w:spacing w:val="-8"/>
        </w:rPr>
        <w:t> </w:t>
      </w:r>
      <w:r>
        <w:rPr/>
        <w:t>is</w:t>
      </w:r>
      <w:r>
        <w:rPr>
          <w:spacing w:val="-5"/>
        </w:rPr>
        <w:t> </w:t>
      </w:r>
      <w:r>
        <w:rPr/>
        <w:t>the</w:t>
      </w:r>
      <w:r>
        <w:rPr>
          <w:spacing w:val="-9"/>
        </w:rPr>
        <w:t> </w:t>
      </w:r>
      <w:r>
        <w:rPr/>
        <w:t>research</w:t>
      </w:r>
      <w:r>
        <w:rPr>
          <w:spacing w:val="-4"/>
        </w:rPr>
        <w:t> </w:t>
      </w:r>
      <w:r>
        <w:rPr/>
        <w:t>gap which this current thesis attempts to address.</w:t>
      </w:r>
    </w:p>
    <w:p>
      <w:pPr>
        <w:pStyle w:val="BodyText"/>
        <w:spacing w:before="8"/>
      </w:pPr>
    </w:p>
    <w:p>
      <w:pPr>
        <w:pStyle w:val="Heading1"/>
        <w:numPr>
          <w:ilvl w:val="1"/>
          <w:numId w:val="1"/>
        </w:numPr>
        <w:tabs>
          <w:tab w:pos="867" w:val="left" w:leader="none"/>
        </w:tabs>
        <w:spacing w:line="240" w:lineRule="auto" w:before="0" w:after="0"/>
        <w:ind w:left="867" w:right="0" w:hanging="600"/>
        <w:jc w:val="left"/>
      </w:pPr>
      <w:r>
        <w:rPr/>
        <w:t>Research</w:t>
      </w:r>
      <w:r>
        <w:rPr>
          <w:spacing w:val="-5"/>
        </w:rPr>
        <w:t> </w:t>
      </w:r>
      <w:r>
        <w:rPr>
          <w:spacing w:val="-2"/>
        </w:rPr>
        <w:t>Questions</w:t>
      </w:r>
    </w:p>
    <w:p>
      <w:pPr>
        <w:pStyle w:val="BodyText"/>
        <w:spacing w:before="15"/>
        <w:rPr>
          <w:b/>
        </w:rPr>
      </w:pPr>
    </w:p>
    <w:p>
      <w:pPr>
        <w:pStyle w:val="BodyText"/>
        <w:ind w:left="267"/>
        <w:jc w:val="both"/>
      </w:pPr>
      <w:r>
        <w:rPr/>
        <w:t>The</w:t>
      </w:r>
      <w:r>
        <w:rPr>
          <w:spacing w:val="-3"/>
        </w:rPr>
        <w:t> </w:t>
      </w:r>
      <w:r>
        <w:rPr/>
        <w:t>main research</w:t>
      </w:r>
      <w:r>
        <w:rPr>
          <w:spacing w:val="-1"/>
        </w:rPr>
        <w:t> </w:t>
      </w:r>
      <w:r>
        <w:rPr/>
        <w:t>questions which</w:t>
      </w:r>
      <w:r>
        <w:rPr>
          <w:spacing w:val="-1"/>
        </w:rPr>
        <w:t> </w:t>
      </w:r>
      <w:r>
        <w:rPr/>
        <w:t>are</w:t>
      </w:r>
      <w:r>
        <w:rPr>
          <w:spacing w:val="-2"/>
        </w:rPr>
        <w:t> </w:t>
      </w:r>
      <w:r>
        <w:rPr/>
        <w:t>specifically</w:t>
      </w:r>
      <w:r>
        <w:rPr>
          <w:spacing w:val="-3"/>
        </w:rPr>
        <w:t> </w:t>
      </w:r>
      <w:r>
        <w:rPr/>
        <w:t>dealt</w:t>
      </w:r>
      <w:r>
        <w:rPr>
          <w:spacing w:val="-1"/>
        </w:rPr>
        <w:t> </w:t>
      </w:r>
      <w:r>
        <w:rPr/>
        <w:t>with in</w:t>
      </w:r>
      <w:r>
        <w:rPr>
          <w:spacing w:val="-1"/>
        </w:rPr>
        <w:t> </w:t>
      </w:r>
      <w:r>
        <w:rPr/>
        <w:t>this thesis</w:t>
      </w:r>
      <w:r>
        <w:rPr>
          <w:spacing w:val="-2"/>
        </w:rPr>
        <w:t> </w:t>
      </w:r>
      <w:r>
        <w:rPr>
          <w:spacing w:val="-4"/>
        </w:rPr>
        <w:t>are:</w:t>
      </w:r>
    </w:p>
    <w:p>
      <w:pPr>
        <w:pStyle w:val="BodyText"/>
      </w:pPr>
    </w:p>
    <w:p>
      <w:pPr>
        <w:pStyle w:val="ListParagraph"/>
        <w:numPr>
          <w:ilvl w:val="0"/>
          <w:numId w:val="2"/>
        </w:numPr>
        <w:tabs>
          <w:tab w:pos="1347" w:val="left" w:leader="none"/>
        </w:tabs>
        <w:spacing w:line="240" w:lineRule="auto" w:before="0" w:after="0"/>
        <w:ind w:left="1347" w:right="0" w:hanging="720"/>
        <w:jc w:val="left"/>
        <w:rPr>
          <w:sz w:val="24"/>
        </w:rPr>
      </w:pPr>
      <w:r>
        <w:rPr>
          <w:sz w:val="24"/>
        </w:rPr>
        <w:t>What is the extent of</w:t>
      </w:r>
      <w:r>
        <w:rPr>
          <w:spacing w:val="-1"/>
          <w:sz w:val="24"/>
        </w:rPr>
        <w:t> </w:t>
      </w:r>
      <w:r>
        <w:rPr>
          <w:sz w:val="24"/>
        </w:rPr>
        <w:t>public</w:t>
      </w:r>
      <w:r>
        <w:rPr>
          <w:spacing w:val="-1"/>
          <w:sz w:val="24"/>
        </w:rPr>
        <w:t> </w:t>
      </w:r>
      <w:r>
        <w:rPr>
          <w:sz w:val="24"/>
        </w:rPr>
        <w:t>water</w:t>
      </w:r>
      <w:r>
        <w:rPr>
          <w:spacing w:val="-2"/>
          <w:sz w:val="24"/>
        </w:rPr>
        <w:t> </w:t>
      </w:r>
      <w:r>
        <w:rPr>
          <w:sz w:val="24"/>
        </w:rPr>
        <w:t>supply</w:t>
      </w:r>
      <w:r>
        <w:rPr>
          <w:spacing w:val="-3"/>
          <w:sz w:val="24"/>
        </w:rPr>
        <w:t> </w:t>
      </w:r>
      <w:r>
        <w:rPr>
          <w:sz w:val="24"/>
        </w:rPr>
        <w:t>coverage</w:t>
      </w:r>
      <w:r>
        <w:rPr>
          <w:spacing w:val="-1"/>
          <w:sz w:val="24"/>
        </w:rPr>
        <w:t> </w:t>
      </w:r>
      <w:r>
        <w:rPr>
          <w:sz w:val="24"/>
        </w:rPr>
        <w:t>in </w:t>
      </w:r>
      <w:r>
        <w:rPr>
          <w:spacing w:val="-2"/>
          <w:sz w:val="24"/>
        </w:rPr>
        <w:t>Minna?</w:t>
      </w:r>
    </w:p>
    <w:p>
      <w:pPr>
        <w:pStyle w:val="BodyText"/>
      </w:pPr>
    </w:p>
    <w:p>
      <w:pPr>
        <w:pStyle w:val="ListParagraph"/>
        <w:numPr>
          <w:ilvl w:val="0"/>
          <w:numId w:val="2"/>
        </w:numPr>
        <w:tabs>
          <w:tab w:pos="1347" w:val="left" w:leader="none"/>
        </w:tabs>
        <w:spacing w:line="480" w:lineRule="auto" w:before="0" w:after="0"/>
        <w:ind w:left="1347" w:right="111" w:hanging="72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pattern</w:t>
      </w:r>
      <w:r>
        <w:rPr>
          <w:spacing w:val="40"/>
          <w:sz w:val="24"/>
        </w:rPr>
        <w:t> </w:t>
      </w:r>
      <w:r>
        <w:rPr>
          <w:sz w:val="24"/>
        </w:rPr>
        <w:t>of</w:t>
      </w:r>
      <w:r>
        <w:rPr>
          <w:spacing w:val="39"/>
          <w:sz w:val="24"/>
        </w:rPr>
        <w:t> </w:t>
      </w:r>
      <w:r>
        <w:rPr>
          <w:sz w:val="24"/>
        </w:rPr>
        <w:t>water</w:t>
      </w:r>
      <w:r>
        <w:rPr>
          <w:spacing w:val="40"/>
          <w:sz w:val="24"/>
        </w:rPr>
        <w:t> </w:t>
      </w:r>
      <w:r>
        <w:rPr>
          <w:sz w:val="24"/>
        </w:rPr>
        <w:t>delivery</w:t>
      </w:r>
      <w:r>
        <w:rPr>
          <w:spacing w:val="37"/>
          <w:sz w:val="24"/>
        </w:rPr>
        <w:t> </w:t>
      </w:r>
      <w:r>
        <w:rPr>
          <w:sz w:val="24"/>
        </w:rPr>
        <w:t>sources</w:t>
      </w:r>
      <w:r>
        <w:rPr>
          <w:spacing w:val="40"/>
          <w:sz w:val="24"/>
        </w:rPr>
        <w:t> </w:t>
      </w:r>
      <w:r>
        <w:rPr>
          <w:sz w:val="24"/>
        </w:rPr>
        <w:t>available</w:t>
      </w:r>
      <w:r>
        <w:rPr>
          <w:spacing w:val="40"/>
          <w:sz w:val="24"/>
        </w:rPr>
        <w:t> </w:t>
      </w:r>
      <w:r>
        <w:rPr>
          <w:sz w:val="24"/>
        </w:rPr>
        <w:t>to</w:t>
      </w:r>
      <w:r>
        <w:rPr>
          <w:spacing w:val="40"/>
          <w:sz w:val="24"/>
        </w:rPr>
        <w:t> </w:t>
      </w:r>
      <w:r>
        <w:rPr>
          <w:sz w:val="24"/>
        </w:rPr>
        <w:t>households</w:t>
      </w:r>
      <w:r>
        <w:rPr>
          <w:spacing w:val="40"/>
          <w:sz w:val="24"/>
        </w:rPr>
        <w:t> </w:t>
      </w:r>
      <w:r>
        <w:rPr>
          <w:sz w:val="24"/>
        </w:rPr>
        <w:t>across different neighborhoods in the study area?</w:t>
      </w:r>
    </w:p>
    <w:p>
      <w:pPr>
        <w:pStyle w:val="ListParagraph"/>
        <w:numPr>
          <w:ilvl w:val="0"/>
          <w:numId w:val="2"/>
        </w:numPr>
        <w:tabs>
          <w:tab w:pos="1347" w:val="left" w:leader="none"/>
        </w:tabs>
        <w:spacing w:line="480" w:lineRule="auto" w:before="0" w:after="0"/>
        <w:ind w:left="1347" w:right="113" w:hanging="720"/>
        <w:jc w:val="left"/>
        <w:rPr>
          <w:sz w:val="24"/>
        </w:rPr>
      </w:pPr>
      <w:r>
        <w:rPr>
          <w:sz w:val="24"/>
        </w:rPr>
        <w:t>To what extent can neighborhoods in the study area be considered to be water</w:t>
      </w:r>
      <w:r>
        <w:rPr>
          <w:spacing w:val="80"/>
          <w:sz w:val="24"/>
        </w:rPr>
        <w:t> </w:t>
      </w:r>
      <w:r>
        <w:rPr>
          <w:sz w:val="24"/>
        </w:rPr>
        <w:t>stressed/ poor?</w:t>
      </w:r>
    </w:p>
    <w:p>
      <w:pPr>
        <w:pStyle w:val="ListParagraph"/>
        <w:numPr>
          <w:ilvl w:val="0"/>
          <w:numId w:val="2"/>
        </w:numPr>
        <w:tabs>
          <w:tab w:pos="1347" w:val="left" w:leader="none"/>
        </w:tabs>
        <w:spacing w:line="480" w:lineRule="auto" w:before="0" w:after="0"/>
        <w:ind w:left="1347" w:right="111" w:hanging="720"/>
        <w:jc w:val="left"/>
        <w:rPr>
          <w:sz w:val="24"/>
        </w:rPr>
      </w:pPr>
      <w:r>
        <w:rPr>
          <w:sz w:val="24"/>
        </w:rPr>
        <w:t>In</w:t>
      </w:r>
      <w:r>
        <w:rPr>
          <w:spacing w:val="40"/>
          <w:sz w:val="24"/>
        </w:rPr>
        <w:t> </w:t>
      </w:r>
      <w:r>
        <w:rPr>
          <w:sz w:val="24"/>
        </w:rPr>
        <w:t>terms</w:t>
      </w:r>
      <w:r>
        <w:rPr>
          <w:spacing w:val="40"/>
          <w:sz w:val="24"/>
        </w:rPr>
        <w:t> </w:t>
      </w:r>
      <w:r>
        <w:rPr>
          <w:sz w:val="24"/>
        </w:rPr>
        <w:t>of</w:t>
      </w:r>
      <w:r>
        <w:rPr>
          <w:spacing w:val="40"/>
          <w:sz w:val="24"/>
        </w:rPr>
        <w:t> </w:t>
      </w:r>
      <w:r>
        <w:rPr>
          <w:sz w:val="24"/>
        </w:rPr>
        <w:t>water</w:t>
      </w:r>
      <w:r>
        <w:rPr>
          <w:spacing w:val="40"/>
          <w:sz w:val="24"/>
        </w:rPr>
        <w:t> </w:t>
      </w:r>
      <w:r>
        <w:rPr>
          <w:sz w:val="24"/>
        </w:rPr>
        <w:t>poverty,</w:t>
      </w:r>
      <w:r>
        <w:rPr>
          <w:spacing w:val="40"/>
          <w:sz w:val="24"/>
        </w:rPr>
        <w:t> </w:t>
      </w:r>
      <w:r>
        <w:rPr>
          <w:sz w:val="24"/>
        </w:rPr>
        <w:t>how</w:t>
      </w:r>
      <w:r>
        <w:rPr>
          <w:spacing w:val="40"/>
          <w:sz w:val="24"/>
        </w:rPr>
        <w:t> </w:t>
      </w:r>
      <w:r>
        <w:rPr>
          <w:sz w:val="24"/>
        </w:rPr>
        <w:t>do</w:t>
      </w:r>
      <w:r>
        <w:rPr>
          <w:spacing w:val="40"/>
          <w:sz w:val="24"/>
        </w:rPr>
        <w:t> </w:t>
      </w:r>
      <w:r>
        <w:rPr>
          <w:sz w:val="24"/>
        </w:rPr>
        <w:t>neighborhoods</w:t>
      </w:r>
      <w:r>
        <w:rPr>
          <w:spacing w:val="40"/>
          <w:sz w:val="24"/>
        </w:rPr>
        <w:t> </w:t>
      </w:r>
      <w:r>
        <w:rPr>
          <w:sz w:val="24"/>
        </w:rPr>
        <w:t>around</w:t>
      </w:r>
      <w:r>
        <w:rPr>
          <w:spacing w:val="40"/>
          <w:sz w:val="24"/>
        </w:rPr>
        <w:t> </w:t>
      </w:r>
      <w:r>
        <w:rPr>
          <w:sz w:val="24"/>
        </w:rPr>
        <w:t>the</w:t>
      </w:r>
      <w:r>
        <w:rPr>
          <w:spacing w:val="40"/>
          <w:sz w:val="24"/>
        </w:rPr>
        <w:t> </w:t>
      </w:r>
      <w:r>
        <w:rPr>
          <w:sz w:val="24"/>
        </w:rPr>
        <w:t>public</w:t>
      </w:r>
      <w:r>
        <w:rPr>
          <w:spacing w:val="40"/>
          <w:sz w:val="24"/>
        </w:rPr>
        <w:t> </w:t>
      </w:r>
      <w:r>
        <w:rPr>
          <w:sz w:val="24"/>
        </w:rPr>
        <w:t>mains compare with those outside?</w:t>
      </w:r>
    </w:p>
    <w:p>
      <w:pPr>
        <w:pStyle w:val="ListParagraph"/>
        <w:numPr>
          <w:ilvl w:val="0"/>
          <w:numId w:val="2"/>
        </w:numPr>
        <w:tabs>
          <w:tab w:pos="1347" w:val="left" w:leader="none"/>
        </w:tabs>
        <w:spacing w:line="240" w:lineRule="auto" w:before="1" w:after="0"/>
        <w:ind w:left="1347" w:right="0" w:hanging="720"/>
        <w:jc w:val="left"/>
        <w:rPr>
          <w:sz w:val="24"/>
        </w:rPr>
      </w:pPr>
      <w:r>
        <w:rPr>
          <w:sz w:val="24"/>
        </w:rPr>
        <w:t>How</w:t>
      </w:r>
      <w:r>
        <w:rPr>
          <w:spacing w:val="-4"/>
          <w:sz w:val="24"/>
        </w:rPr>
        <w:t> </w:t>
      </w:r>
      <w:r>
        <w:rPr>
          <w:sz w:val="24"/>
        </w:rPr>
        <w:t>do households</w:t>
      </w:r>
      <w:r>
        <w:rPr>
          <w:spacing w:val="-1"/>
          <w:sz w:val="24"/>
        </w:rPr>
        <w:t> </w:t>
      </w:r>
      <w:r>
        <w:rPr>
          <w:sz w:val="24"/>
        </w:rPr>
        <w:t>cope</w:t>
      </w:r>
      <w:r>
        <w:rPr>
          <w:spacing w:val="1"/>
          <w:sz w:val="24"/>
        </w:rPr>
        <w:t> </w:t>
      </w:r>
      <w:r>
        <w:rPr>
          <w:sz w:val="24"/>
        </w:rPr>
        <w:t>with</w:t>
      </w:r>
      <w:r>
        <w:rPr>
          <w:spacing w:val="-1"/>
          <w:sz w:val="24"/>
        </w:rPr>
        <w:t> </w:t>
      </w:r>
      <w:r>
        <w:rPr>
          <w:sz w:val="24"/>
        </w:rPr>
        <w:t>the</w:t>
      </w:r>
      <w:r>
        <w:rPr>
          <w:spacing w:val="-1"/>
          <w:sz w:val="24"/>
        </w:rPr>
        <w:t> </w:t>
      </w:r>
      <w:r>
        <w:rPr>
          <w:sz w:val="24"/>
        </w:rPr>
        <w:t>problem</w:t>
      </w:r>
      <w:r>
        <w:rPr>
          <w:spacing w:val="-1"/>
          <w:sz w:val="24"/>
        </w:rPr>
        <w:t> </w:t>
      </w:r>
      <w:r>
        <w:rPr>
          <w:sz w:val="24"/>
        </w:rPr>
        <w:t>of</w:t>
      </w:r>
      <w:r>
        <w:rPr>
          <w:spacing w:val="-1"/>
          <w:sz w:val="24"/>
        </w:rPr>
        <w:t> </w:t>
      </w:r>
      <w:r>
        <w:rPr>
          <w:sz w:val="24"/>
        </w:rPr>
        <w:t>water</w:t>
      </w:r>
      <w:r>
        <w:rPr>
          <w:spacing w:val="1"/>
          <w:sz w:val="24"/>
        </w:rPr>
        <w:t> </w:t>
      </w:r>
      <w:r>
        <w:rPr>
          <w:spacing w:val="-2"/>
          <w:sz w:val="24"/>
        </w:rPr>
        <w:t>poverty?</w:t>
      </w:r>
    </w:p>
    <w:p>
      <w:pPr>
        <w:pStyle w:val="BodyText"/>
      </w:pPr>
    </w:p>
    <w:p>
      <w:pPr>
        <w:pStyle w:val="BodyText"/>
        <w:spacing w:before="7"/>
      </w:pPr>
    </w:p>
    <w:p>
      <w:pPr>
        <w:pStyle w:val="Heading1"/>
        <w:numPr>
          <w:ilvl w:val="1"/>
          <w:numId w:val="1"/>
        </w:numPr>
        <w:tabs>
          <w:tab w:pos="867" w:val="left" w:leader="none"/>
        </w:tabs>
        <w:spacing w:line="240" w:lineRule="auto" w:before="0" w:after="0"/>
        <w:ind w:left="867" w:right="0" w:hanging="600"/>
        <w:jc w:val="left"/>
      </w:pPr>
      <w:r>
        <w:rPr/>
        <w:t>Aim</w:t>
      </w:r>
      <w:r>
        <w:rPr>
          <w:spacing w:val="-5"/>
        </w:rPr>
        <w:t> </w:t>
      </w:r>
      <w:r>
        <w:rPr/>
        <w:t>and Objectives of</w:t>
      </w:r>
      <w:r>
        <w:rPr>
          <w:spacing w:val="1"/>
        </w:rPr>
        <w:t> </w:t>
      </w:r>
      <w:r>
        <w:rPr/>
        <w:t>the </w:t>
      </w:r>
      <w:r>
        <w:rPr>
          <w:spacing w:val="-2"/>
        </w:rPr>
        <w:t>Study</w:t>
      </w:r>
    </w:p>
    <w:p>
      <w:pPr>
        <w:pStyle w:val="BodyText"/>
        <w:spacing w:before="14"/>
        <w:rPr>
          <w:b/>
        </w:rPr>
      </w:pPr>
    </w:p>
    <w:p>
      <w:pPr>
        <w:pStyle w:val="BodyText"/>
        <w:spacing w:line="480" w:lineRule="auto"/>
        <w:ind w:left="267" w:right="106"/>
        <w:jc w:val="both"/>
      </w:pPr>
      <w:r>
        <w:rPr/>
        <w:t>The</w:t>
      </w:r>
      <w:r>
        <w:rPr>
          <w:spacing w:val="-15"/>
        </w:rPr>
        <w:t> </w:t>
      </w:r>
      <w:r>
        <w:rPr/>
        <w:t>aim</w:t>
      </w:r>
      <w:r>
        <w:rPr>
          <w:spacing w:val="-15"/>
        </w:rPr>
        <w:t> </w:t>
      </w:r>
      <w:r>
        <w:rPr/>
        <w:t>of</w:t>
      </w:r>
      <w:r>
        <w:rPr>
          <w:spacing w:val="-15"/>
        </w:rPr>
        <w:t> </w:t>
      </w:r>
      <w:r>
        <w:rPr/>
        <w:t>this</w:t>
      </w:r>
      <w:r>
        <w:rPr>
          <w:spacing w:val="-15"/>
        </w:rPr>
        <w:t> </w:t>
      </w:r>
      <w:r>
        <w:rPr/>
        <w:t>study</w:t>
      </w:r>
      <w:r>
        <w:rPr>
          <w:spacing w:val="-15"/>
        </w:rPr>
        <w:t> </w:t>
      </w:r>
      <w:r>
        <w:rPr/>
        <w:t>is</w:t>
      </w:r>
      <w:r>
        <w:rPr>
          <w:spacing w:val="-15"/>
        </w:rPr>
        <w:t> </w:t>
      </w:r>
      <w:r>
        <w:rPr/>
        <w:t>to</w:t>
      </w:r>
      <w:r>
        <w:rPr>
          <w:spacing w:val="-14"/>
        </w:rPr>
        <w:t> </w:t>
      </w:r>
      <w:r>
        <w:rPr/>
        <w:t>assess</w:t>
      </w:r>
      <w:r>
        <w:rPr>
          <w:spacing w:val="-14"/>
        </w:rPr>
        <w:t> </w:t>
      </w:r>
      <w:r>
        <w:rPr/>
        <w:t>the</w:t>
      </w:r>
      <w:r>
        <w:rPr>
          <w:spacing w:val="-15"/>
        </w:rPr>
        <w:t> </w:t>
      </w:r>
      <w:r>
        <w:rPr/>
        <w:t>level</w:t>
      </w:r>
      <w:r>
        <w:rPr>
          <w:spacing w:val="-14"/>
        </w:rPr>
        <w:t> </w:t>
      </w:r>
      <w:r>
        <w:rPr/>
        <w:t>of</w:t>
      </w:r>
      <w:r>
        <w:rPr>
          <w:spacing w:val="-15"/>
        </w:rPr>
        <w:t> </w:t>
      </w:r>
      <w:r>
        <w:rPr/>
        <w:t>water</w:t>
      </w:r>
      <w:r>
        <w:rPr>
          <w:spacing w:val="-15"/>
        </w:rPr>
        <w:t> </w:t>
      </w:r>
      <w:r>
        <w:rPr/>
        <w:t>poverty</w:t>
      </w:r>
      <w:r>
        <w:rPr>
          <w:spacing w:val="-15"/>
        </w:rPr>
        <w:t> </w:t>
      </w:r>
      <w:r>
        <w:rPr/>
        <w:t>at</w:t>
      </w:r>
      <w:r>
        <w:rPr>
          <w:spacing w:val="-14"/>
        </w:rPr>
        <w:t> </w:t>
      </w:r>
      <w:r>
        <w:rPr/>
        <w:t>a</w:t>
      </w:r>
      <w:r>
        <w:rPr>
          <w:spacing w:val="-15"/>
        </w:rPr>
        <w:t> </w:t>
      </w:r>
      <w:r>
        <w:rPr/>
        <w:t>neighbourhood</w:t>
      </w:r>
      <w:r>
        <w:rPr>
          <w:spacing w:val="-14"/>
        </w:rPr>
        <w:t> </w:t>
      </w:r>
      <w:r>
        <w:rPr/>
        <w:t>scale</w:t>
      </w:r>
      <w:r>
        <w:rPr>
          <w:spacing w:val="-14"/>
        </w:rPr>
        <w:t> </w:t>
      </w:r>
      <w:r>
        <w:rPr/>
        <w:t>in</w:t>
      </w:r>
      <w:r>
        <w:rPr>
          <w:spacing w:val="-14"/>
        </w:rPr>
        <w:t> </w:t>
      </w:r>
      <w:r>
        <w:rPr/>
        <w:t>Minna with a view to identify priority areas requiring policy interventions.</w:t>
      </w:r>
    </w:p>
    <w:p>
      <w:pPr>
        <w:pStyle w:val="BodyText"/>
        <w:spacing w:before="1"/>
        <w:ind w:left="267"/>
        <w:jc w:val="both"/>
      </w:pPr>
      <w:r>
        <w:rPr/>
        <w:t>The</w:t>
      </w:r>
      <w:r>
        <w:rPr>
          <w:spacing w:val="-2"/>
        </w:rPr>
        <w:t> </w:t>
      </w:r>
      <w:r>
        <w:rPr/>
        <w:t>objectives of the</w:t>
      </w:r>
      <w:r>
        <w:rPr>
          <w:spacing w:val="-2"/>
        </w:rPr>
        <w:t> </w:t>
      </w:r>
      <w:r>
        <w:rPr/>
        <w:t>study</w:t>
      </w:r>
      <w:r>
        <w:rPr>
          <w:spacing w:val="-5"/>
        </w:rPr>
        <w:t> </w:t>
      </w:r>
      <w:r>
        <w:rPr/>
        <w:t>were </w:t>
      </w:r>
      <w:r>
        <w:rPr>
          <w:spacing w:val="-5"/>
        </w:rPr>
        <w:t>to:</w:t>
      </w:r>
    </w:p>
    <w:p>
      <w:pPr>
        <w:pStyle w:val="BodyText"/>
      </w:pPr>
    </w:p>
    <w:p>
      <w:pPr>
        <w:pStyle w:val="ListParagraph"/>
        <w:numPr>
          <w:ilvl w:val="0"/>
          <w:numId w:val="3"/>
        </w:numPr>
        <w:tabs>
          <w:tab w:pos="1047" w:val="left" w:leader="none"/>
        </w:tabs>
        <w:spacing w:line="240" w:lineRule="auto" w:before="0" w:after="0"/>
        <w:ind w:left="1047" w:right="0" w:hanging="780"/>
        <w:jc w:val="left"/>
        <w:rPr>
          <w:sz w:val="24"/>
        </w:rPr>
      </w:pPr>
      <w:r>
        <w:rPr>
          <w:sz w:val="24"/>
        </w:rPr>
        <w:t>Examine</w:t>
      </w:r>
      <w:r>
        <w:rPr>
          <w:spacing w:val="-4"/>
          <w:sz w:val="24"/>
        </w:rPr>
        <w:t> </w:t>
      </w:r>
      <w:r>
        <w:rPr>
          <w:sz w:val="24"/>
        </w:rPr>
        <w:t>the area</w:t>
      </w:r>
      <w:r>
        <w:rPr>
          <w:spacing w:val="-1"/>
          <w:sz w:val="24"/>
        </w:rPr>
        <w:t> </w:t>
      </w:r>
      <w:r>
        <w:rPr>
          <w:sz w:val="24"/>
        </w:rPr>
        <w:t>coverage</w:t>
      </w:r>
      <w:r>
        <w:rPr>
          <w:spacing w:val="-1"/>
          <w:sz w:val="24"/>
        </w:rPr>
        <w:t> </w:t>
      </w:r>
      <w:r>
        <w:rPr>
          <w:sz w:val="24"/>
        </w:rPr>
        <w:t>of public</w:t>
      </w:r>
      <w:r>
        <w:rPr>
          <w:spacing w:val="-1"/>
          <w:sz w:val="24"/>
        </w:rPr>
        <w:t> </w:t>
      </w:r>
      <w:r>
        <w:rPr>
          <w:sz w:val="24"/>
        </w:rPr>
        <w:t>water supply</w:t>
      </w:r>
      <w:r>
        <w:rPr>
          <w:spacing w:val="-3"/>
          <w:sz w:val="24"/>
        </w:rPr>
        <w:t> </w:t>
      </w:r>
      <w:r>
        <w:rPr>
          <w:sz w:val="24"/>
        </w:rPr>
        <w:t>in</w:t>
      </w:r>
      <w:r>
        <w:rPr>
          <w:spacing w:val="1"/>
          <w:sz w:val="24"/>
        </w:rPr>
        <w:t> </w:t>
      </w:r>
      <w:r>
        <w:rPr>
          <w:spacing w:val="-2"/>
          <w:sz w:val="24"/>
        </w:rPr>
        <w:t>Minna.</w:t>
      </w:r>
    </w:p>
    <w:p>
      <w:pPr>
        <w:pStyle w:val="BodyText"/>
      </w:pPr>
    </w:p>
    <w:p>
      <w:pPr>
        <w:pStyle w:val="ListParagraph"/>
        <w:numPr>
          <w:ilvl w:val="0"/>
          <w:numId w:val="3"/>
        </w:numPr>
        <w:tabs>
          <w:tab w:pos="987" w:val="left" w:leader="none"/>
          <w:tab w:pos="1047" w:val="left" w:leader="none"/>
        </w:tabs>
        <w:spacing w:line="480" w:lineRule="auto" w:before="0" w:after="0"/>
        <w:ind w:left="987" w:right="109" w:hanging="720"/>
        <w:jc w:val="left"/>
        <w:rPr>
          <w:sz w:val="24"/>
        </w:rPr>
      </w:pPr>
      <w:r>
        <w:rPr>
          <w:sz w:val="24"/>
        </w:rPr>
        <w:tab/>
        <w:t>Assess household’s sources of water supply across different neighbourhoods in the study area.</w:t>
      </w:r>
    </w:p>
    <w:p>
      <w:pPr>
        <w:pStyle w:val="ListParagraph"/>
        <w:numPr>
          <w:ilvl w:val="0"/>
          <w:numId w:val="3"/>
        </w:numPr>
        <w:tabs>
          <w:tab w:pos="987" w:val="left" w:leader="none"/>
        </w:tabs>
        <w:spacing w:line="240" w:lineRule="auto" w:before="0" w:after="0"/>
        <w:ind w:left="987" w:right="0" w:hanging="720"/>
        <w:jc w:val="left"/>
        <w:rPr>
          <w:sz w:val="24"/>
        </w:rPr>
      </w:pPr>
      <w:r>
        <w:rPr>
          <w:sz w:val="24"/>
        </w:rPr>
        <w:t>Determine</w:t>
      </w:r>
      <w:r>
        <w:rPr>
          <w:spacing w:val="-1"/>
          <w:sz w:val="24"/>
        </w:rPr>
        <w:t> </w:t>
      </w:r>
      <w:r>
        <w:rPr>
          <w:sz w:val="24"/>
        </w:rPr>
        <w:t>the level</w:t>
      </w:r>
      <w:r>
        <w:rPr>
          <w:spacing w:val="1"/>
          <w:sz w:val="24"/>
        </w:rPr>
        <w:t> </w:t>
      </w:r>
      <w:r>
        <w:rPr>
          <w:sz w:val="24"/>
        </w:rPr>
        <w:t>of water</w:t>
      </w:r>
      <w:r>
        <w:rPr>
          <w:spacing w:val="-1"/>
          <w:sz w:val="24"/>
        </w:rPr>
        <w:t> </w:t>
      </w:r>
      <w:r>
        <w:rPr>
          <w:sz w:val="24"/>
        </w:rPr>
        <w:t>poverty</w:t>
      </w:r>
      <w:r>
        <w:rPr>
          <w:spacing w:val="-4"/>
          <w:sz w:val="24"/>
        </w:rPr>
        <w:t> </w:t>
      </w:r>
      <w:r>
        <w:rPr>
          <w:sz w:val="24"/>
        </w:rPr>
        <w:t>in the</w:t>
      </w:r>
      <w:r>
        <w:rPr>
          <w:spacing w:val="-1"/>
          <w:sz w:val="24"/>
        </w:rPr>
        <w:t> </w:t>
      </w:r>
      <w:r>
        <w:rPr>
          <w:sz w:val="24"/>
        </w:rPr>
        <w:t>study</w:t>
      </w:r>
      <w:r>
        <w:rPr>
          <w:spacing w:val="-2"/>
          <w:sz w:val="24"/>
        </w:rPr>
        <w:t> area.</w:t>
      </w:r>
    </w:p>
    <w:p>
      <w:pPr>
        <w:spacing w:after="0" w:line="240" w:lineRule="auto"/>
        <w:jc w:val="left"/>
        <w:rPr>
          <w:sz w:val="24"/>
        </w:rPr>
        <w:sectPr>
          <w:pgSz w:w="12240" w:h="15840"/>
          <w:pgMar w:header="0" w:footer="1068" w:top="1340" w:bottom="1260" w:left="1720" w:right="1300"/>
        </w:sectPr>
      </w:pPr>
    </w:p>
    <w:p>
      <w:pPr>
        <w:pStyle w:val="ListParagraph"/>
        <w:numPr>
          <w:ilvl w:val="0"/>
          <w:numId w:val="3"/>
        </w:numPr>
        <w:tabs>
          <w:tab w:pos="987" w:val="left" w:leader="none"/>
        </w:tabs>
        <w:spacing w:line="480" w:lineRule="auto" w:before="63" w:after="0"/>
        <w:ind w:left="987" w:right="107" w:hanging="720"/>
        <w:jc w:val="left"/>
        <w:rPr>
          <w:sz w:val="24"/>
        </w:rPr>
      </w:pPr>
      <w:r>
        <w:rPr>
          <w:sz w:val="24"/>
        </w:rPr>
        <w:t>Compare</w:t>
      </w:r>
      <w:r>
        <w:rPr>
          <w:spacing w:val="40"/>
          <w:sz w:val="24"/>
        </w:rPr>
        <w:t> </w:t>
      </w:r>
      <w:r>
        <w:rPr>
          <w:sz w:val="24"/>
        </w:rPr>
        <w:t>water</w:t>
      </w:r>
      <w:r>
        <w:rPr>
          <w:spacing w:val="40"/>
          <w:sz w:val="24"/>
        </w:rPr>
        <w:t> </w:t>
      </w:r>
      <w:r>
        <w:rPr>
          <w:sz w:val="24"/>
        </w:rPr>
        <w:t>poverty</w:t>
      </w:r>
      <w:r>
        <w:rPr>
          <w:spacing w:val="40"/>
          <w:sz w:val="24"/>
        </w:rPr>
        <w:t> </w:t>
      </w:r>
      <w:r>
        <w:rPr>
          <w:sz w:val="24"/>
        </w:rPr>
        <w:t>in</w:t>
      </w:r>
      <w:r>
        <w:rPr>
          <w:spacing w:val="40"/>
          <w:sz w:val="24"/>
        </w:rPr>
        <w:t> </w:t>
      </w:r>
      <w:r>
        <w:rPr>
          <w:sz w:val="24"/>
        </w:rPr>
        <w:t>neighbourhoods</w:t>
      </w:r>
      <w:r>
        <w:rPr>
          <w:spacing w:val="40"/>
          <w:sz w:val="24"/>
        </w:rPr>
        <w:t> </w:t>
      </w:r>
      <w:r>
        <w:rPr>
          <w:sz w:val="24"/>
        </w:rPr>
        <w:t>within</w:t>
      </w:r>
      <w:r>
        <w:rPr>
          <w:spacing w:val="40"/>
          <w:sz w:val="24"/>
        </w:rPr>
        <w:t> </w:t>
      </w:r>
      <w:r>
        <w:rPr>
          <w:sz w:val="24"/>
        </w:rPr>
        <w:t>the</w:t>
      </w:r>
      <w:r>
        <w:rPr>
          <w:spacing w:val="40"/>
          <w:sz w:val="24"/>
        </w:rPr>
        <w:t> </w:t>
      </w:r>
      <w:r>
        <w:rPr>
          <w:sz w:val="24"/>
        </w:rPr>
        <w:t>public</w:t>
      </w:r>
      <w:r>
        <w:rPr>
          <w:spacing w:val="40"/>
          <w:sz w:val="24"/>
        </w:rPr>
        <w:t> </w:t>
      </w:r>
      <w:r>
        <w:rPr>
          <w:sz w:val="24"/>
        </w:rPr>
        <w:t>mains</w:t>
      </w:r>
      <w:r>
        <w:rPr>
          <w:spacing w:val="40"/>
          <w:sz w:val="24"/>
        </w:rPr>
        <w:t> </w:t>
      </w:r>
      <w:r>
        <w:rPr>
          <w:sz w:val="24"/>
        </w:rPr>
        <w:t>with</w:t>
      </w:r>
      <w:r>
        <w:rPr>
          <w:spacing w:val="40"/>
          <w:sz w:val="24"/>
        </w:rPr>
        <w:t> </w:t>
      </w:r>
      <w:r>
        <w:rPr>
          <w:sz w:val="24"/>
        </w:rPr>
        <w:t>those</w:t>
      </w:r>
      <w:r>
        <w:rPr>
          <w:spacing w:val="40"/>
          <w:sz w:val="24"/>
        </w:rPr>
        <w:t> </w:t>
      </w:r>
      <w:r>
        <w:rPr>
          <w:sz w:val="24"/>
        </w:rPr>
        <w:t>neighborhoods outside the public mains.</w:t>
      </w:r>
    </w:p>
    <w:p>
      <w:pPr>
        <w:pStyle w:val="ListParagraph"/>
        <w:numPr>
          <w:ilvl w:val="0"/>
          <w:numId w:val="3"/>
        </w:numPr>
        <w:tabs>
          <w:tab w:pos="987" w:val="left" w:leader="none"/>
        </w:tabs>
        <w:spacing w:line="240" w:lineRule="auto" w:before="0" w:after="0"/>
        <w:ind w:left="987" w:right="0" w:hanging="720"/>
        <w:jc w:val="left"/>
        <w:rPr>
          <w:sz w:val="24"/>
        </w:rPr>
      </w:pPr>
      <w:r>
        <w:rPr>
          <w:sz w:val="24"/>
        </w:rPr>
        <w:t>Assess</w:t>
      </w:r>
      <w:r>
        <w:rPr>
          <w:spacing w:val="-2"/>
          <w:sz w:val="24"/>
        </w:rPr>
        <w:t> </w:t>
      </w:r>
      <w:r>
        <w:rPr>
          <w:sz w:val="24"/>
        </w:rPr>
        <w:t>households’</w:t>
      </w:r>
      <w:r>
        <w:rPr>
          <w:spacing w:val="-1"/>
          <w:sz w:val="24"/>
        </w:rPr>
        <w:t> </w:t>
      </w:r>
      <w:r>
        <w:rPr>
          <w:sz w:val="24"/>
        </w:rPr>
        <w:t>adaptation to</w:t>
      </w:r>
      <w:r>
        <w:rPr>
          <w:spacing w:val="-1"/>
          <w:sz w:val="24"/>
        </w:rPr>
        <w:t> </w:t>
      </w:r>
      <w:r>
        <w:rPr>
          <w:sz w:val="24"/>
        </w:rPr>
        <w:t>water</w:t>
      </w:r>
      <w:r>
        <w:rPr>
          <w:spacing w:val="-1"/>
          <w:sz w:val="24"/>
        </w:rPr>
        <w:t> </w:t>
      </w:r>
      <w:r>
        <w:rPr>
          <w:sz w:val="24"/>
        </w:rPr>
        <w:t>poverty</w:t>
      </w:r>
      <w:r>
        <w:rPr>
          <w:spacing w:val="-6"/>
          <w:sz w:val="24"/>
        </w:rPr>
        <w:t> </w:t>
      </w:r>
      <w:r>
        <w:rPr>
          <w:sz w:val="24"/>
        </w:rPr>
        <w:t>in</w:t>
      </w:r>
      <w:r>
        <w:rPr>
          <w:spacing w:val="2"/>
          <w:sz w:val="24"/>
        </w:rPr>
        <w:t> </w:t>
      </w:r>
      <w:r>
        <w:rPr>
          <w:sz w:val="24"/>
        </w:rPr>
        <w:t>the</w:t>
      </w:r>
      <w:r>
        <w:rPr>
          <w:spacing w:val="-1"/>
          <w:sz w:val="24"/>
        </w:rPr>
        <w:t> </w:t>
      </w:r>
      <w:r>
        <w:rPr>
          <w:sz w:val="24"/>
        </w:rPr>
        <w:t>study</w:t>
      </w:r>
      <w:r>
        <w:rPr>
          <w:spacing w:val="-5"/>
          <w:sz w:val="24"/>
        </w:rPr>
        <w:t> </w:t>
      </w:r>
      <w:r>
        <w:rPr>
          <w:spacing w:val="-2"/>
          <w:sz w:val="24"/>
        </w:rPr>
        <w:t>area.</w:t>
      </w:r>
    </w:p>
    <w:p>
      <w:pPr>
        <w:pStyle w:val="BodyText"/>
      </w:pPr>
    </w:p>
    <w:p>
      <w:pPr>
        <w:pStyle w:val="BodyText"/>
        <w:spacing w:before="7"/>
      </w:pPr>
    </w:p>
    <w:p>
      <w:pPr>
        <w:pStyle w:val="Heading1"/>
        <w:numPr>
          <w:ilvl w:val="1"/>
          <w:numId w:val="1"/>
        </w:numPr>
        <w:tabs>
          <w:tab w:pos="807" w:val="left" w:leader="none"/>
        </w:tabs>
        <w:spacing w:line="240" w:lineRule="auto" w:before="1" w:after="0"/>
        <w:ind w:left="807" w:right="0" w:hanging="540"/>
        <w:jc w:val="left"/>
      </w:pPr>
      <w:r>
        <w:rPr/>
        <w:t>Research</w:t>
      </w:r>
      <w:r>
        <w:rPr>
          <w:spacing w:val="-3"/>
        </w:rPr>
        <w:t> </w:t>
      </w:r>
      <w:r>
        <w:rPr>
          <w:spacing w:val="-2"/>
        </w:rPr>
        <w:t>Hypothesis</w:t>
      </w:r>
    </w:p>
    <w:p>
      <w:pPr>
        <w:pStyle w:val="BodyText"/>
        <w:spacing w:before="14"/>
        <w:rPr>
          <w:b/>
        </w:rPr>
      </w:pPr>
    </w:p>
    <w:p>
      <w:pPr>
        <w:pStyle w:val="BodyText"/>
        <w:spacing w:line="480" w:lineRule="auto"/>
        <w:ind w:left="267" w:right="111"/>
        <w:jc w:val="both"/>
      </w:pPr>
      <w:r>
        <w:rPr/>
        <w:t>The research hypotheses considered relevant to the purpose of achieving the objectives of this thesis are:</w:t>
      </w:r>
    </w:p>
    <w:p>
      <w:pPr>
        <w:pStyle w:val="ListParagraph"/>
        <w:numPr>
          <w:ilvl w:val="0"/>
          <w:numId w:val="4"/>
        </w:numPr>
        <w:tabs>
          <w:tab w:pos="985" w:val="left" w:leader="none"/>
        </w:tabs>
        <w:spacing w:line="480" w:lineRule="auto" w:before="0" w:after="0"/>
        <w:ind w:left="267" w:right="107" w:firstLine="0"/>
        <w:jc w:val="both"/>
        <w:rPr>
          <w:sz w:val="24"/>
        </w:rPr>
      </w:pPr>
      <w:r>
        <w:rPr>
          <w:b/>
          <w:position w:val="1"/>
          <w:sz w:val="24"/>
        </w:rPr>
        <w:t>Null Hypothesis (H</w:t>
      </w:r>
      <w:r>
        <w:rPr>
          <w:b/>
          <w:sz w:val="16"/>
        </w:rPr>
        <w:t>o</w:t>
      </w:r>
      <w:r>
        <w:rPr>
          <w:b/>
          <w:position w:val="1"/>
          <w:sz w:val="24"/>
        </w:rPr>
        <w:t>1)</w:t>
      </w:r>
      <w:r>
        <w:rPr>
          <w:position w:val="1"/>
          <w:sz w:val="24"/>
        </w:rPr>
        <w:t>: There is no statistically significant variation between </w:t>
      </w:r>
      <w:r>
        <w:rPr>
          <w:sz w:val="24"/>
        </w:rPr>
        <w:t>households’</w:t>
      </w:r>
      <w:r>
        <w:rPr>
          <w:spacing w:val="-1"/>
          <w:sz w:val="24"/>
        </w:rPr>
        <w:t> </w:t>
      </w:r>
      <w:r>
        <w:rPr>
          <w:sz w:val="24"/>
        </w:rPr>
        <w:t>source</w:t>
      </w:r>
      <w:r>
        <w:rPr>
          <w:spacing w:val="-1"/>
          <w:sz w:val="24"/>
        </w:rPr>
        <w:t> </w:t>
      </w:r>
      <w:r>
        <w:rPr>
          <w:sz w:val="24"/>
        </w:rPr>
        <w:t>of water</w:t>
      </w:r>
      <w:r>
        <w:rPr>
          <w:spacing w:val="-2"/>
          <w:sz w:val="24"/>
        </w:rPr>
        <w:t> </w:t>
      </w:r>
      <w:r>
        <w:rPr>
          <w:sz w:val="24"/>
        </w:rPr>
        <w:t>supply</w:t>
      </w:r>
      <w:r>
        <w:rPr>
          <w:spacing w:val="-5"/>
          <w:sz w:val="24"/>
        </w:rPr>
        <w:t> </w:t>
      </w:r>
      <w:r>
        <w:rPr>
          <w:sz w:val="24"/>
        </w:rPr>
        <w:t>for drinking</w:t>
      </w:r>
      <w:r>
        <w:rPr>
          <w:spacing w:val="-3"/>
          <w:sz w:val="24"/>
        </w:rPr>
        <w:t> </w:t>
      </w:r>
      <w:r>
        <w:rPr>
          <w:sz w:val="24"/>
        </w:rPr>
        <w:t>purpose</w:t>
      </w:r>
      <w:r>
        <w:rPr>
          <w:spacing w:val="-2"/>
          <w:sz w:val="24"/>
        </w:rPr>
        <w:t> </w:t>
      </w:r>
      <w:r>
        <w:rPr>
          <w:sz w:val="24"/>
        </w:rPr>
        <w:t>and domestic</w:t>
      </w:r>
      <w:r>
        <w:rPr>
          <w:spacing w:val="-2"/>
          <w:sz w:val="24"/>
        </w:rPr>
        <w:t> </w:t>
      </w:r>
      <w:r>
        <w:rPr>
          <w:sz w:val="24"/>
        </w:rPr>
        <w:t>use</w:t>
      </w:r>
      <w:r>
        <w:rPr>
          <w:spacing w:val="1"/>
          <w:sz w:val="24"/>
        </w:rPr>
        <w:t> </w:t>
      </w:r>
      <w:r>
        <w:rPr>
          <w:sz w:val="24"/>
        </w:rPr>
        <w:t>in</w:t>
      </w:r>
      <w:r>
        <w:rPr>
          <w:spacing w:val="2"/>
          <w:sz w:val="24"/>
        </w:rPr>
        <w:t> </w:t>
      </w:r>
      <w:r>
        <w:rPr>
          <w:sz w:val="24"/>
        </w:rPr>
        <w:t>the study</w:t>
      </w:r>
      <w:r>
        <w:rPr>
          <w:spacing w:val="-6"/>
          <w:sz w:val="24"/>
        </w:rPr>
        <w:t> </w:t>
      </w:r>
      <w:r>
        <w:rPr>
          <w:spacing w:val="-2"/>
          <w:sz w:val="24"/>
        </w:rPr>
        <w:t>area.</w:t>
      </w:r>
    </w:p>
    <w:p>
      <w:pPr>
        <w:pStyle w:val="ListParagraph"/>
        <w:numPr>
          <w:ilvl w:val="0"/>
          <w:numId w:val="4"/>
        </w:numPr>
        <w:tabs>
          <w:tab w:pos="985" w:val="left" w:leader="none"/>
        </w:tabs>
        <w:spacing w:line="480" w:lineRule="auto" w:before="0" w:after="0"/>
        <w:ind w:left="267" w:right="106" w:firstLine="0"/>
        <w:jc w:val="both"/>
        <w:rPr>
          <w:sz w:val="24"/>
        </w:rPr>
      </w:pPr>
      <w:r>
        <w:rPr>
          <w:b/>
          <w:position w:val="1"/>
          <w:sz w:val="24"/>
        </w:rPr>
        <w:t>Null Hypothesis (H</w:t>
      </w:r>
      <w:r>
        <w:rPr>
          <w:b/>
          <w:sz w:val="16"/>
        </w:rPr>
        <w:t>o</w:t>
      </w:r>
      <w:r>
        <w:rPr>
          <w:b/>
          <w:position w:val="1"/>
          <w:sz w:val="24"/>
        </w:rPr>
        <w:t>2)</w:t>
      </w:r>
      <w:r>
        <w:rPr>
          <w:position w:val="1"/>
          <w:sz w:val="24"/>
        </w:rPr>
        <w:t>: There is no statistically significant difference in water </w:t>
      </w:r>
      <w:r>
        <w:rPr>
          <w:sz w:val="24"/>
        </w:rPr>
        <w:t>poverty level of neighbourhoods within the public water mains and those neighborhoods partly outside the public water mains.</w:t>
      </w:r>
    </w:p>
    <w:p>
      <w:pPr>
        <w:pStyle w:val="BodyText"/>
        <w:spacing w:before="8"/>
      </w:pPr>
    </w:p>
    <w:p>
      <w:pPr>
        <w:pStyle w:val="Heading1"/>
        <w:numPr>
          <w:ilvl w:val="1"/>
          <w:numId w:val="1"/>
        </w:numPr>
        <w:tabs>
          <w:tab w:pos="746" w:val="left" w:leader="none"/>
        </w:tabs>
        <w:spacing w:line="240" w:lineRule="auto" w:before="0" w:after="0"/>
        <w:ind w:left="746" w:right="0" w:hanging="479"/>
        <w:jc w:val="left"/>
      </w:pPr>
      <w:r>
        <w:rPr/>
        <w:t>Scope</w:t>
      </w:r>
      <w:r>
        <w:rPr>
          <w:spacing w:val="-2"/>
        </w:rPr>
        <w:t> </w:t>
      </w:r>
      <w:r>
        <w:rPr/>
        <w:t>of</w:t>
      </w:r>
      <w:r>
        <w:rPr>
          <w:spacing w:val="1"/>
        </w:rPr>
        <w:t> </w:t>
      </w:r>
      <w:r>
        <w:rPr/>
        <w:t>the </w:t>
      </w:r>
      <w:r>
        <w:rPr>
          <w:spacing w:val="-4"/>
        </w:rPr>
        <w:t>Study</w:t>
      </w:r>
    </w:p>
    <w:p>
      <w:pPr>
        <w:pStyle w:val="BodyText"/>
        <w:spacing w:before="15"/>
        <w:rPr>
          <w:b/>
        </w:rPr>
      </w:pPr>
    </w:p>
    <w:p>
      <w:pPr>
        <w:pStyle w:val="BodyText"/>
        <w:spacing w:line="480" w:lineRule="auto"/>
        <w:ind w:left="267" w:right="104"/>
        <w:jc w:val="both"/>
      </w:pPr>
      <w:r>
        <w:rPr/>
        <w:t>Geographically,</w:t>
      </w:r>
      <w:r>
        <w:rPr>
          <w:spacing w:val="-12"/>
        </w:rPr>
        <w:t> </w:t>
      </w:r>
      <w:r>
        <w:rPr/>
        <w:t>this</w:t>
      </w:r>
      <w:r>
        <w:rPr>
          <w:spacing w:val="-12"/>
        </w:rPr>
        <w:t> </w:t>
      </w:r>
      <w:r>
        <w:rPr/>
        <w:t>study</w:t>
      </w:r>
      <w:r>
        <w:rPr>
          <w:spacing w:val="-15"/>
        </w:rPr>
        <w:t> </w:t>
      </w:r>
      <w:r>
        <w:rPr/>
        <w:t>is</w:t>
      </w:r>
      <w:r>
        <w:rPr>
          <w:spacing w:val="-13"/>
        </w:rPr>
        <w:t> </w:t>
      </w:r>
      <w:r>
        <w:rPr/>
        <w:t>limited</w:t>
      </w:r>
      <w:r>
        <w:rPr>
          <w:spacing w:val="-14"/>
        </w:rPr>
        <w:t> </w:t>
      </w:r>
      <w:r>
        <w:rPr/>
        <w:t>to</w:t>
      </w:r>
      <w:r>
        <w:rPr>
          <w:spacing w:val="-12"/>
        </w:rPr>
        <w:t> </w:t>
      </w:r>
      <w:r>
        <w:rPr/>
        <w:t>urban</w:t>
      </w:r>
      <w:r>
        <w:rPr>
          <w:spacing w:val="-13"/>
        </w:rPr>
        <w:t> </w:t>
      </w:r>
      <w:r>
        <w:rPr/>
        <w:t>households</w:t>
      </w:r>
      <w:r>
        <w:rPr>
          <w:spacing w:val="-13"/>
        </w:rPr>
        <w:t> </w:t>
      </w:r>
      <w:r>
        <w:rPr/>
        <w:t>residing</w:t>
      </w:r>
      <w:r>
        <w:rPr>
          <w:spacing w:val="-15"/>
        </w:rPr>
        <w:t> </w:t>
      </w:r>
      <w:r>
        <w:rPr/>
        <w:t>in</w:t>
      </w:r>
      <w:r>
        <w:rPr>
          <w:spacing w:val="-12"/>
        </w:rPr>
        <w:t> </w:t>
      </w:r>
      <w:r>
        <w:rPr/>
        <w:t>four</w:t>
      </w:r>
      <w:r>
        <w:rPr>
          <w:spacing w:val="-15"/>
        </w:rPr>
        <w:t> </w:t>
      </w:r>
      <w:r>
        <w:rPr/>
        <w:t>(4)</w:t>
      </w:r>
      <w:r>
        <w:rPr>
          <w:spacing w:val="-14"/>
        </w:rPr>
        <w:t> </w:t>
      </w:r>
      <w:r>
        <w:rPr/>
        <w:t>neighbourhoods located</w:t>
      </w:r>
      <w:r>
        <w:rPr>
          <w:spacing w:val="-3"/>
        </w:rPr>
        <w:t> </w:t>
      </w:r>
      <w:r>
        <w:rPr/>
        <w:t>within</w:t>
      </w:r>
      <w:r>
        <w:rPr>
          <w:spacing w:val="-2"/>
        </w:rPr>
        <w:t> </w:t>
      </w:r>
      <w:r>
        <w:rPr/>
        <w:t>the</w:t>
      </w:r>
      <w:r>
        <w:rPr>
          <w:spacing w:val="-2"/>
        </w:rPr>
        <w:t> </w:t>
      </w:r>
      <w:r>
        <w:rPr/>
        <w:t>public</w:t>
      </w:r>
      <w:r>
        <w:rPr>
          <w:spacing w:val="-2"/>
        </w:rPr>
        <w:t> </w:t>
      </w:r>
      <w:r>
        <w:rPr/>
        <w:t>water</w:t>
      </w:r>
      <w:r>
        <w:rPr>
          <w:spacing w:val="-4"/>
        </w:rPr>
        <w:t> </w:t>
      </w:r>
      <w:r>
        <w:rPr/>
        <w:t>supply</w:t>
      </w:r>
      <w:r>
        <w:rPr>
          <w:spacing w:val="-7"/>
        </w:rPr>
        <w:t> </w:t>
      </w:r>
      <w:r>
        <w:rPr/>
        <w:t>mains</w:t>
      </w:r>
      <w:r>
        <w:rPr>
          <w:spacing w:val="-2"/>
        </w:rPr>
        <w:t> </w:t>
      </w:r>
      <w:r>
        <w:rPr/>
        <w:t>and</w:t>
      </w:r>
      <w:r>
        <w:rPr>
          <w:spacing w:val="-2"/>
        </w:rPr>
        <w:t> </w:t>
      </w:r>
      <w:r>
        <w:rPr/>
        <w:t>four</w:t>
      </w:r>
      <w:r>
        <w:rPr>
          <w:spacing w:val="-2"/>
        </w:rPr>
        <w:t> </w:t>
      </w:r>
      <w:r>
        <w:rPr/>
        <w:t>(4)</w:t>
      </w:r>
      <w:r>
        <w:rPr>
          <w:spacing w:val="-1"/>
        </w:rPr>
        <w:t> </w:t>
      </w:r>
      <w:r>
        <w:rPr/>
        <w:t>neighbourhoods</w:t>
      </w:r>
      <w:r>
        <w:rPr>
          <w:spacing w:val="-1"/>
        </w:rPr>
        <w:t> </w:t>
      </w:r>
      <w:r>
        <w:rPr/>
        <w:t>partly</w:t>
      </w:r>
      <w:r>
        <w:rPr>
          <w:spacing w:val="-7"/>
        </w:rPr>
        <w:t> </w:t>
      </w:r>
      <w:r>
        <w:rPr/>
        <w:t>outside</w:t>
      </w:r>
      <w:r>
        <w:rPr>
          <w:spacing w:val="-3"/>
        </w:rPr>
        <w:t> </w:t>
      </w:r>
      <w:r>
        <w:rPr/>
        <w:t>the public</w:t>
      </w:r>
      <w:r>
        <w:rPr>
          <w:spacing w:val="-15"/>
        </w:rPr>
        <w:t> </w:t>
      </w:r>
      <w:r>
        <w:rPr/>
        <w:t>water</w:t>
      </w:r>
      <w:r>
        <w:rPr>
          <w:spacing w:val="-13"/>
        </w:rPr>
        <w:t> </w:t>
      </w:r>
      <w:r>
        <w:rPr/>
        <w:t>supply</w:t>
      </w:r>
      <w:r>
        <w:rPr>
          <w:spacing w:val="-15"/>
        </w:rPr>
        <w:t> </w:t>
      </w:r>
      <w:r>
        <w:rPr/>
        <w:t>mains</w:t>
      </w:r>
      <w:r>
        <w:rPr>
          <w:spacing w:val="-10"/>
        </w:rPr>
        <w:t> </w:t>
      </w:r>
      <w:r>
        <w:rPr/>
        <w:t>in</w:t>
      </w:r>
      <w:r>
        <w:rPr>
          <w:spacing w:val="-12"/>
        </w:rPr>
        <w:t> </w:t>
      </w:r>
      <w:r>
        <w:rPr/>
        <w:t>the</w:t>
      </w:r>
      <w:r>
        <w:rPr>
          <w:spacing w:val="-13"/>
        </w:rPr>
        <w:t> </w:t>
      </w:r>
      <w:r>
        <w:rPr/>
        <w:t>four</w:t>
      </w:r>
      <w:r>
        <w:rPr>
          <w:spacing w:val="-14"/>
        </w:rPr>
        <w:t> </w:t>
      </w:r>
      <w:r>
        <w:rPr/>
        <w:t>regions</w:t>
      </w:r>
      <w:r>
        <w:rPr>
          <w:spacing w:val="-11"/>
        </w:rPr>
        <w:t> </w:t>
      </w:r>
      <w:r>
        <w:rPr/>
        <w:t>(north,</w:t>
      </w:r>
      <w:r>
        <w:rPr>
          <w:spacing w:val="-12"/>
        </w:rPr>
        <w:t> </w:t>
      </w:r>
      <w:r>
        <w:rPr/>
        <w:t>south,</w:t>
      </w:r>
      <w:r>
        <w:rPr>
          <w:spacing w:val="-12"/>
        </w:rPr>
        <w:t> </w:t>
      </w:r>
      <w:r>
        <w:rPr/>
        <w:t>east</w:t>
      </w:r>
      <w:r>
        <w:rPr>
          <w:spacing w:val="-11"/>
        </w:rPr>
        <w:t> </w:t>
      </w:r>
      <w:r>
        <w:rPr/>
        <w:t>and</w:t>
      </w:r>
      <w:r>
        <w:rPr>
          <w:spacing w:val="-12"/>
        </w:rPr>
        <w:t> </w:t>
      </w:r>
      <w:r>
        <w:rPr/>
        <w:t>west)</w:t>
      </w:r>
      <w:r>
        <w:rPr>
          <w:spacing w:val="-13"/>
        </w:rPr>
        <w:t> </w:t>
      </w:r>
      <w:r>
        <w:rPr/>
        <w:t>of</w:t>
      </w:r>
      <w:r>
        <w:rPr>
          <w:spacing w:val="-13"/>
        </w:rPr>
        <w:t> </w:t>
      </w:r>
      <w:r>
        <w:rPr/>
        <w:t>the</w:t>
      </w:r>
      <w:r>
        <w:rPr>
          <w:spacing w:val="-13"/>
        </w:rPr>
        <w:t> </w:t>
      </w:r>
      <w:r>
        <w:rPr/>
        <w:t>city.</w:t>
      </w:r>
      <w:r>
        <w:rPr>
          <w:spacing w:val="-10"/>
        </w:rPr>
        <w:t> </w:t>
      </w:r>
      <w:r>
        <w:rPr/>
        <w:t>In</w:t>
      </w:r>
      <w:r>
        <w:rPr>
          <w:spacing w:val="-12"/>
        </w:rPr>
        <w:t> </w:t>
      </w:r>
      <w:r>
        <w:rPr/>
        <w:t>total, eight (8) neighbourhoods were sampled with two (2) neighbourhoods (comprising 1 neighbourhood within and 1 neighbourhood partly outside the public water mains) each selected from the</w:t>
      </w:r>
      <w:r>
        <w:rPr>
          <w:spacing w:val="-1"/>
        </w:rPr>
        <w:t> </w:t>
      </w:r>
      <w:r>
        <w:rPr/>
        <w:t>north,</w:t>
      </w:r>
      <w:r>
        <w:rPr>
          <w:spacing w:val="-1"/>
        </w:rPr>
        <w:t> </w:t>
      </w:r>
      <w:r>
        <w:rPr/>
        <w:t>south, east and western part</w:t>
      </w:r>
      <w:r>
        <w:rPr>
          <w:spacing w:val="-1"/>
        </w:rPr>
        <w:t> </w:t>
      </w:r>
      <w:r>
        <w:rPr/>
        <w:t>of</w:t>
      </w:r>
      <w:r>
        <w:rPr>
          <w:spacing w:val="-1"/>
        </w:rPr>
        <w:t> </w:t>
      </w:r>
      <w:r>
        <w:rPr/>
        <w:t>Minna city. The</w:t>
      </w:r>
      <w:r>
        <w:rPr>
          <w:spacing w:val="-1"/>
        </w:rPr>
        <w:t> </w:t>
      </w:r>
      <w:r>
        <w:rPr/>
        <w:t>study</w:t>
      </w:r>
      <w:r>
        <w:rPr>
          <w:spacing w:val="-3"/>
        </w:rPr>
        <w:t> </w:t>
      </w:r>
      <w:r>
        <w:rPr/>
        <w:t>applied water poverty index to measure the multidimensional nature of water poverty situations in the selected</w:t>
      </w:r>
      <w:r>
        <w:rPr>
          <w:spacing w:val="-15"/>
        </w:rPr>
        <w:t> </w:t>
      </w:r>
      <w:r>
        <w:rPr/>
        <w:t>eight</w:t>
      </w:r>
      <w:r>
        <w:rPr>
          <w:spacing w:val="-15"/>
        </w:rPr>
        <w:t> </w:t>
      </w:r>
      <w:r>
        <w:rPr/>
        <w:t>(8)</w:t>
      </w:r>
      <w:r>
        <w:rPr>
          <w:spacing w:val="-15"/>
        </w:rPr>
        <w:t> </w:t>
      </w:r>
      <w:r>
        <w:rPr/>
        <w:t>neighbourhoods</w:t>
      </w:r>
      <w:r>
        <w:rPr>
          <w:spacing w:val="-15"/>
        </w:rPr>
        <w:t> </w:t>
      </w:r>
      <w:r>
        <w:rPr/>
        <w:t>and</w:t>
      </w:r>
      <w:r>
        <w:rPr>
          <w:spacing w:val="-15"/>
        </w:rPr>
        <w:t> </w:t>
      </w:r>
      <w:r>
        <w:rPr/>
        <w:t>also</w:t>
      </w:r>
      <w:r>
        <w:rPr>
          <w:spacing w:val="-15"/>
        </w:rPr>
        <w:t> </w:t>
      </w:r>
      <w:r>
        <w:rPr/>
        <w:t>addressed</w:t>
      </w:r>
      <w:r>
        <w:rPr>
          <w:spacing w:val="-15"/>
        </w:rPr>
        <w:t> </w:t>
      </w:r>
      <w:r>
        <w:rPr/>
        <w:t>the</w:t>
      </w:r>
      <w:r>
        <w:rPr>
          <w:spacing w:val="-15"/>
        </w:rPr>
        <w:t> </w:t>
      </w:r>
      <w:r>
        <w:rPr/>
        <w:t>following</w:t>
      </w:r>
      <w:r>
        <w:rPr>
          <w:spacing w:val="-15"/>
        </w:rPr>
        <w:t> </w:t>
      </w:r>
      <w:r>
        <w:rPr/>
        <w:t>critical</w:t>
      </w:r>
      <w:r>
        <w:rPr>
          <w:spacing w:val="-15"/>
        </w:rPr>
        <w:t> </w:t>
      </w:r>
      <w:r>
        <w:rPr/>
        <w:t>issues</w:t>
      </w:r>
      <w:r>
        <w:rPr>
          <w:spacing w:val="-15"/>
        </w:rPr>
        <w:t> </w:t>
      </w:r>
      <w:r>
        <w:rPr/>
        <w:t>in</w:t>
      </w:r>
      <w:r>
        <w:rPr>
          <w:spacing w:val="-15"/>
        </w:rPr>
        <w:t> </w:t>
      </w:r>
      <w:r>
        <w:rPr/>
        <w:t>the</w:t>
      </w:r>
      <w:r>
        <w:rPr>
          <w:spacing w:val="-15"/>
        </w:rPr>
        <w:t> </w:t>
      </w:r>
      <w:r>
        <w:rPr/>
        <w:t>study </w:t>
      </w:r>
      <w:r>
        <w:rPr>
          <w:spacing w:val="-2"/>
        </w:rPr>
        <w:t>area:</w:t>
      </w:r>
    </w:p>
    <w:p>
      <w:pPr>
        <w:spacing w:after="0" w:line="480" w:lineRule="auto"/>
        <w:jc w:val="both"/>
        <w:sectPr>
          <w:pgSz w:w="12240" w:h="15840"/>
          <w:pgMar w:header="0" w:footer="1068" w:top="1340" w:bottom="1260" w:left="1720" w:right="1300"/>
        </w:sectPr>
      </w:pPr>
    </w:p>
    <w:p>
      <w:pPr>
        <w:pStyle w:val="ListParagraph"/>
        <w:numPr>
          <w:ilvl w:val="0"/>
          <w:numId w:val="5"/>
        </w:numPr>
        <w:tabs>
          <w:tab w:pos="984" w:val="left" w:leader="none"/>
          <w:tab w:pos="987" w:val="left" w:leader="none"/>
        </w:tabs>
        <w:spacing w:line="480" w:lineRule="auto" w:before="63" w:after="0"/>
        <w:ind w:left="987" w:right="106" w:hanging="500"/>
        <w:jc w:val="both"/>
        <w:rPr>
          <w:sz w:val="24"/>
        </w:rPr>
      </w:pPr>
      <w:r>
        <w:rPr>
          <w:sz w:val="24"/>
        </w:rPr>
        <w:t>Extent</w:t>
      </w:r>
      <w:r>
        <w:rPr>
          <w:spacing w:val="-7"/>
          <w:sz w:val="24"/>
        </w:rPr>
        <w:t> </w:t>
      </w:r>
      <w:r>
        <w:rPr>
          <w:sz w:val="24"/>
        </w:rPr>
        <w:t>of</w:t>
      </w:r>
      <w:r>
        <w:rPr>
          <w:spacing w:val="-8"/>
          <w:sz w:val="24"/>
        </w:rPr>
        <w:t> </w:t>
      </w:r>
      <w:r>
        <w:rPr>
          <w:sz w:val="24"/>
        </w:rPr>
        <w:t>public</w:t>
      </w:r>
      <w:r>
        <w:rPr>
          <w:spacing w:val="-8"/>
          <w:sz w:val="24"/>
        </w:rPr>
        <w:t> </w:t>
      </w:r>
      <w:r>
        <w:rPr>
          <w:sz w:val="24"/>
        </w:rPr>
        <w:t>water</w:t>
      </w:r>
      <w:r>
        <w:rPr>
          <w:spacing w:val="-8"/>
          <w:sz w:val="24"/>
        </w:rPr>
        <w:t> </w:t>
      </w:r>
      <w:r>
        <w:rPr>
          <w:sz w:val="24"/>
        </w:rPr>
        <w:t>main</w:t>
      </w:r>
      <w:r>
        <w:rPr>
          <w:spacing w:val="-7"/>
          <w:sz w:val="24"/>
        </w:rPr>
        <w:t> </w:t>
      </w:r>
      <w:r>
        <w:rPr>
          <w:sz w:val="24"/>
        </w:rPr>
        <w:t>coverage</w:t>
      </w:r>
      <w:r>
        <w:rPr>
          <w:spacing w:val="-7"/>
          <w:sz w:val="24"/>
        </w:rPr>
        <w:t> </w:t>
      </w:r>
      <w:r>
        <w:rPr>
          <w:sz w:val="24"/>
        </w:rPr>
        <w:t>in</w:t>
      </w:r>
      <w:r>
        <w:rPr>
          <w:spacing w:val="-7"/>
          <w:sz w:val="24"/>
        </w:rPr>
        <w:t> </w:t>
      </w:r>
      <w:r>
        <w:rPr>
          <w:sz w:val="24"/>
        </w:rPr>
        <w:t>terms</w:t>
      </w:r>
      <w:r>
        <w:rPr>
          <w:spacing w:val="-7"/>
          <w:sz w:val="24"/>
        </w:rPr>
        <w:t> </w:t>
      </w:r>
      <w:r>
        <w:rPr>
          <w:sz w:val="24"/>
        </w:rPr>
        <w:t>of</w:t>
      </w:r>
      <w:r>
        <w:rPr>
          <w:spacing w:val="-8"/>
          <w:sz w:val="24"/>
        </w:rPr>
        <w:t> </w:t>
      </w:r>
      <w:r>
        <w:rPr>
          <w:sz w:val="24"/>
        </w:rPr>
        <w:t>improved</w:t>
      </w:r>
      <w:r>
        <w:rPr>
          <w:spacing w:val="-7"/>
          <w:sz w:val="24"/>
        </w:rPr>
        <w:t> </w:t>
      </w:r>
      <w:r>
        <w:rPr>
          <w:sz w:val="24"/>
        </w:rPr>
        <w:t>water</w:t>
      </w:r>
      <w:r>
        <w:rPr>
          <w:spacing w:val="-8"/>
          <w:sz w:val="24"/>
        </w:rPr>
        <w:t> </w:t>
      </w:r>
      <w:r>
        <w:rPr>
          <w:sz w:val="24"/>
        </w:rPr>
        <w:t>supply</w:t>
      </w:r>
      <w:r>
        <w:rPr>
          <w:spacing w:val="-12"/>
          <w:sz w:val="24"/>
        </w:rPr>
        <w:t> </w:t>
      </w:r>
      <w:r>
        <w:rPr>
          <w:sz w:val="24"/>
        </w:rPr>
        <w:t>provided</w:t>
      </w:r>
      <w:r>
        <w:rPr>
          <w:spacing w:val="-8"/>
          <w:sz w:val="24"/>
        </w:rPr>
        <w:t> </w:t>
      </w:r>
      <w:r>
        <w:rPr>
          <w:sz w:val="24"/>
        </w:rPr>
        <w:t>by the State Water Agency (Niger State Water Board) to households in these </w:t>
      </w:r>
      <w:r>
        <w:rPr>
          <w:spacing w:val="-2"/>
          <w:sz w:val="24"/>
        </w:rPr>
        <w:t>neighbourhoods.</w:t>
      </w:r>
    </w:p>
    <w:p>
      <w:pPr>
        <w:pStyle w:val="ListParagraph"/>
        <w:numPr>
          <w:ilvl w:val="0"/>
          <w:numId w:val="5"/>
        </w:numPr>
        <w:tabs>
          <w:tab w:pos="985" w:val="left" w:leader="none"/>
          <w:tab w:pos="987" w:val="left" w:leader="none"/>
        </w:tabs>
        <w:spacing w:line="480" w:lineRule="auto" w:before="0" w:after="0"/>
        <w:ind w:left="987" w:right="107" w:hanging="581"/>
        <w:jc w:val="both"/>
        <w:rPr>
          <w:sz w:val="24"/>
        </w:rPr>
      </w:pPr>
      <w:r>
        <w:rPr>
          <w:sz w:val="24"/>
        </w:rPr>
        <w:t>Households’ water sources (both improved and unimproved sources) for drinking purpose and domestic use (such as pipe water to dwelling/compound, shared pipe water</w:t>
      </w:r>
      <w:r>
        <w:rPr>
          <w:spacing w:val="-8"/>
          <w:sz w:val="24"/>
        </w:rPr>
        <w:t> </w:t>
      </w:r>
      <w:r>
        <w:rPr>
          <w:sz w:val="24"/>
        </w:rPr>
        <w:t>connection</w:t>
      </w:r>
      <w:r>
        <w:rPr>
          <w:spacing w:val="-9"/>
          <w:sz w:val="24"/>
        </w:rPr>
        <w:t> </w:t>
      </w:r>
      <w:r>
        <w:rPr>
          <w:sz w:val="24"/>
        </w:rPr>
        <w:t>with</w:t>
      </w:r>
      <w:r>
        <w:rPr>
          <w:spacing w:val="-9"/>
          <w:sz w:val="24"/>
        </w:rPr>
        <w:t> </w:t>
      </w:r>
      <w:r>
        <w:rPr>
          <w:sz w:val="24"/>
        </w:rPr>
        <w:t>neighbour,</w:t>
      </w:r>
      <w:r>
        <w:rPr>
          <w:spacing w:val="-9"/>
          <w:sz w:val="24"/>
        </w:rPr>
        <w:t> </w:t>
      </w:r>
      <w:r>
        <w:rPr>
          <w:sz w:val="24"/>
        </w:rPr>
        <w:t>public</w:t>
      </w:r>
      <w:r>
        <w:rPr>
          <w:spacing w:val="-8"/>
          <w:sz w:val="24"/>
        </w:rPr>
        <w:t> </w:t>
      </w:r>
      <w:r>
        <w:rPr>
          <w:sz w:val="24"/>
        </w:rPr>
        <w:t>covered</w:t>
      </w:r>
      <w:r>
        <w:rPr>
          <w:spacing w:val="-9"/>
          <w:sz w:val="24"/>
        </w:rPr>
        <w:t> </w:t>
      </w:r>
      <w:r>
        <w:rPr>
          <w:sz w:val="24"/>
        </w:rPr>
        <w:t>borehole,</w:t>
      </w:r>
      <w:r>
        <w:rPr>
          <w:spacing w:val="-6"/>
          <w:sz w:val="24"/>
        </w:rPr>
        <w:t> </w:t>
      </w:r>
      <w:r>
        <w:rPr>
          <w:sz w:val="24"/>
        </w:rPr>
        <w:t>private</w:t>
      </w:r>
      <w:r>
        <w:rPr>
          <w:spacing w:val="-10"/>
          <w:sz w:val="24"/>
        </w:rPr>
        <w:t> </w:t>
      </w:r>
      <w:r>
        <w:rPr>
          <w:sz w:val="24"/>
        </w:rPr>
        <w:t>covered</w:t>
      </w:r>
      <w:r>
        <w:rPr>
          <w:spacing w:val="-7"/>
          <w:sz w:val="24"/>
        </w:rPr>
        <w:t> </w:t>
      </w:r>
      <w:r>
        <w:rPr>
          <w:sz w:val="24"/>
        </w:rPr>
        <w:t>dug</w:t>
      </w:r>
      <w:r>
        <w:rPr>
          <w:spacing w:val="-11"/>
          <w:sz w:val="24"/>
        </w:rPr>
        <w:t> </w:t>
      </w:r>
      <w:r>
        <w:rPr>
          <w:sz w:val="24"/>
        </w:rPr>
        <w:t>well, unprotected</w:t>
      </w:r>
      <w:r>
        <w:rPr>
          <w:spacing w:val="-9"/>
          <w:sz w:val="24"/>
        </w:rPr>
        <w:t> </w:t>
      </w:r>
      <w:r>
        <w:rPr>
          <w:sz w:val="24"/>
        </w:rPr>
        <w:t>dug</w:t>
      </w:r>
      <w:r>
        <w:rPr>
          <w:spacing w:val="-11"/>
          <w:sz w:val="24"/>
        </w:rPr>
        <w:t> </w:t>
      </w:r>
      <w:r>
        <w:rPr>
          <w:sz w:val="24"/>
        </w:rPr>
        <w:t>well,</w:t>
      </w:r>
      <w:r>
        <w:rPr>
          <w:spacing w:val="-7"/>
          <w:sz w:val="24"/>
        </w:rPr>
        <w:t> </w:t>
      </w:r>
      <w:r>
        <w:rPr>
          <w:sz w:val="24"/>
        </w:rPr>
        <w:t>rain</w:t>
      </w:r>
      <w:r>
        <w:rPr>
          <w:spacing w:val="-8"/>
          <w:sz w:val="24"/>
        </w:rPr>
        <w:t> </w:t>
      </w:r>
      <w:r>
        <w:rPr>
          <w:sz w:val="24"/>
        </w:rPr>
        <w:t>water</w:t>
      </w:r>
      <w:r>
        <w:rPr>
          <w:spacing w:val="-9"/>
          <w:sz w:val="24"/>
        </w:rPr>
        <w:t> </w:t>
      </w:r>
      <w:r>
        <w:rPr>
          <w:sz w:val="24"/>
        </w:rPr>
        <w:t>harvest,</w:t>
      </w:r>
      <w:r>
        <w:rPr>
          <w:spacing w:val="-8"/>
          <w:sz w:val="24"/>
        </w:rPr>
        <w:t> </w:t>
      </w:r>
      <w:r>
        <w:rPr>
          <w:sz w:val="24"/>
        </w:rPr>
        <w:t>water</w:t>
      </w:r>
      <w:r>
        <w:rPr>
          <w:spacing w:val="-9"/>
          <w:sz w:val="24"/>
        </w:rPr>
        <w:t> </w:t>
      </w:r>
      <w:r>
        <w:rPr>
          <w:sz w:val="24"/>
        </w:rPr>
        <w:t>truck,</w:t>
      </w:r>
      <w:r>
        <w:rPr>
          <w:spacing w:val="-8"/>
          <w:sz w:val="24"/>
        </w:rPr>
        <w:t> </w:t>
      </w:r>
      <w:r>
        <w:rPr>
          <w:sz w:val="24"/>
        </w:rPr>
        <w:t>private</w:t>
      </w:r>
      <w:r>
        <w:rPr>
          <w:spacing w:val="-9"/>
          <w:sz w:val="24"/>
        </w:rPr>
        <w:t> </w:t>
      </w:r>
      <w:r>
        <w:rPr>
          <w:sz w:val="24"/>
        </w:rPr>
        <w:t>water</w:t>
      </w:r>
      <w:r>
        <w:rPr>
          <w:spacing w:val="-9"/>
          <w:sz w:val="24"/>
        </w:rPr>
        <w:t> </w:t>
      </w:r>
      <w:r>
        <w:rPr>
          <w:sz w:val="24"/>
        </w:rPr>
        <w:t>vendor,</w:t>
      </w:r>
      <w:r>
        <w:rPr>
          <w:spacing w:val="-5"/>
          <w:sz w:val="24"/>
        </w:rPr>
        <w:t> </w:t>
      </w:r>
      <w:r>
        <w:rPr>
          <w:sz w:val="24"/>
        </w:rPr>
        <w:t>pond</w:t>
      </w:r>
      <w:r>
        <w:rPr>
          <w:spacing w:val="-8"/>
          <w:sz w:val="24"/>
        </w:rPr>
        <w:t> </w:t>
      </w:r>
      <w:r>
        <w:rPr>
          <w:sz w:val="24"/>
        </w:rPr>
        <w:t>and lake, dam, digging of deep well, ground water extraction, bottled and sachet water).</w:t>
      </w:r>
    </w:p>
    <w:p>
      <w:pPr>
        <w:pStyle w:val="ListParagraph"/>
        <w:numPr>
          <w:ilvl w:val="0"/>
          <w:numId w:val="5"/>
        </w:numPr>
        <w:tabs>
          <w:tab w:pos="984" w:val="left" w:leader="none"/>
          <w:tab w:pos="987" w:val="left" w:leader="none"/>
        </w:tabs>
        <w:spacing w:line="480" w:lineRule="auto" w:before="1" w:after="0"/>
        <w:ind w:left="987" w:right="103" w:hanging="660"/>
        <w:jc w:val="both"/>
        <w:rPr>
          <w:sz w:val="24"/>
        </w:rPr>
      </w:pPr>
      <w:r>
        <w:rPr>
          <w:sz w:val="24"/>
        </w:rPr>
        <w:t>Water stress features at the household level (such as water sufficiency/availability status, number of trips to water point, water collection time, waiting time for water fetching, water fetching responsibility, perceived rainfall pattern, seasonal variation in public water supply, water treatment method and coping costs).</w:t>
      </w:r>
    </w:p>
    <w:p>
      <w:pPr>
        <w:pStyle w:val="ListParagraph"/>
        <w:numPr>
          <w:ilvl w:val="0"/>
          <w:numId w:val="5"/>
        </w:numPr>
        <w:tabs>
          <w:tab w:pos="984" w:val="left" w:leader="none"/>
          <w:tab w:pos="987" w:val="left" w:leader="none"/>
        </w:tabs>
        <w:spacing w:line="480" w:lineRule="auto" w:before="0" w:after="0"/>
        <w:ind w:left="987" w:right="104" w:hanging="675"/>
        <w:jc w:val="both"/>
        <w:rPr>
          <w:sz w:val="24"/>
        </w:rPr>
      </w:pPr>
      <w:r>
        <w:rPr>
          <w:sz w:val="24"/>
        </w:rPr>
        <w:t>Households’</w:t>
      </w:r>
      <w:r>
        <w:rPr>
          <w:spacing w:val="-2"/>
          <w:sz w:val="24"/>
        </w:rPr>
        <w:t> </w:t>
      </w:r>
      <w:r>
        <w:rPr>
          <w:sz w:val="24"/>
        </w:rPr>
        <w:t>adaptation</w:t>
      </w:r>
      <w:r>
        <w:rPr>
          <w:spacing w:val="-1"/>
          <w:sz w:val="24"/>
        </w:rPr>
        <w:t> </w:t>
      </w:r>
      <w:r>
        <w:rPr>
          <w:sz w:val="24"/>
        </w:rPr>
        <w:t>measures</w:t>
      </w:r>
      <w:r>
        <w:rPr>
          <w:spacing w:val="-1"/>
          <w:sz w:val="24"/>
        </w:rPr>
        <w:t> </w:t>
      </w:r>
      <w:r>
        <w:rPr>
          <w:sz w:val="24"/>
        </w:rPr>
        <w:t>to</w:t>
      </w:r>
      <w:r>
        <w:rPr>
          <w:spacing w:val="-1"/>
          <w:sz w:val="24"/>
        </w:rPr>
        <w:t> </w:t>
      </w:r>
      <w:r>
        <w:rPr>
          <w:sz w:val="24"/>
        </w:rPr>
        <w:t>water</w:t>
      </w:r>
      <w:r>
        <w:rPr>
          <w:spacing w:val="-3"/>
          <w:sz w:val="24"/>
        </w:rPr>
        <w:t> </w:t>
      </w:r>
      <w:r>
        <w:rPr>
          <w:sz w:val="24"/>
        </w:rPr>
        <w:t>stress/poverty focusing</w:t>
      </w:r>
      <w:r>
        <w:rPr>
          <w:spacing w:val="-4"/>
          <w:sz w:val="24"/>
        </w:rPr>
        <w:t> </w:t>
      </w:r>
      <w:r>
        <w:rPr>
          <w:sz w:val="24"/>
        </w:rPr>
        <w:t>on</w:t>
      </w:r>
      <w:r>
        <w:rPr>
          <w:spacing w:val="-1"/>
          <w:sz w:val="24"/>
        </w:rPr>
        <w:t> </w:t>
      </w:r>
      <w:r>
        <w:rPr>
          <w:sz w:val="24"/>
        </w:rPr>
        <w:t>measures</w:t>
      </w:r>
      <w:r>
        <w:rPr>
          <w:spacing w:val="-1"/>
          <w:sz w:val="24"/>
        </w:rPr>
        <w:t> </w:t>
      </w:r>
      <w:r>
        <w:rPr>
          <w:sz w:val="24"/>
        </w:rPr>
        <w:t>such as</w:t>
      </w:r>
      <w:r>
        <w:rPr>
          <w:spacing w:val="-3"/>
          <w:sz w:val="24"/>
        </w:rPr>
        <w:t> </w:t>
      </w:r>
      <w:r>
        <w:rPr>
          <w:sz w:val="24"/>
        </w:rPr>
        <w:t>water</w:t>
      </w:r>
      <w:r>
        <w:rPr>
          <w:spacing w:val="-5"/>
          <w:sz w:val="24"/>
        </w:rPr>
        <w:t> </w:t>
      </w:r>
      <w:r>
        <w:rPr>
          <w:sz w:val="24"/>
        </w:rPr>
        <w:t>storage</w:t>
      </w:r>
      <w:r>
        <w:rPr>
          <w:spacing w:val="-4"/>
          <w:sz w:val="24"/>
        </w:rPr>
        <w:t> </w:t>
      </w:r>
      <w:r>
        <w:rPr>
          <w:sz w:val="24"/>
        </w:rPr>
        <w:t>in</w:t>
      </w:r>
      <w:r>
        <w:rPr>
          <w:spacing w:val="-3"/>
          <w:sz w:val="24"/>
        </w:rPr>
        <w:t> </w:t>
      </w:r>
      <w:r>
        <w:rPr>
          <w:sz w:val="24"/>
        </w:rPr>
        <w:t>drum</w:t>
      </w:r>
      <w:r>
        <w:rPr>
          <w:spacing w:val="-3"/>
          <w:sz w:val="24"/>
        </w:rPr>
        <w:t> </w:t>
      </w:r>
      <w:r>
        <w:rPr>
          <w:sz w:val="24"/>
        </w:rPr>
        <w:t>and</w:t>
      </w:r>
      <w:r>
        <w:rPr>
          <w:spacing w:val="-3"/>
          <w:sz w:val="24"/>
        </w:rPr>
        <w:t> </w:t>
      </w:r>
      <w:r>
        <w:rPr>
          <w:sz w:val="24"/>
        </w:rPr>
        <w:t>container,</w:t>
      </w:r>
      <w:r>
        <w:rPr>
          <w:spacing w:val="-3"/>
          <w:sz w:val="24"/>
        </w:rPr>
        <w:t> </w:t>
      </w:r>
      <w:r>
        <w:rPr>
          <w:sz w:val="24"/>
        </w:rPr>
        <w:t>installation</w:t>
      </w:r>
      <w:r>
        <w:rPr>
          <w:spacing w:val="-3"/>
          <w:sz w:val="24"/>
        </w:rPr>
        <w:t> </w:t>
      </w:r>
      <w:r>
        <w:rPr>
          <w:sz w:val="24"/>
        </w:rPr>
        <w:t>of</w:t>
      </w:r>
      <w:r>
        <w:rPr>
          <w:spacing w:val="-3"/>
          <w:sz w:val="24"/>
        </w:rPr>
        <w:t> </w:t>
      </w:r>
      <w:r>
        <w:rPr>
          <w:sz w:val="24"/>
        </w:rPr>
        <w:t>water</w:t>
      </w:r>
      <w:r>
        <w:rPr>
          <w:spacing w:val="-5"/>
          <w:sz w:val="24"/>
        </w:rPr>
        <w:t> </w:t>
      </w:r>
      <w:r>
        <w:rPr>
          <w:sz w:val="24"/>
        </w:rPr>
        <w:t>tank,</w:t>
      </w:r>
      <w:r>
        <w:rPr>
          <w:spacing w:val="-3"/>
          <w:sz w:val="24"/>
        </w:rPr>
        <w:t> </w:t>
      </w:r>
      <w:r>
        <w:rPr>
          <w:sz w:val="24"/>
        </w:rPr>
        <w:t>rain</w:t>
      </w:r>
      <w:r>
        <w:rPr>
          <w:spacing w:val="-3"/>
          <w:sz w:val="24"/>
        </w:rPr>
        <w:t> </w:t>
      </w:r>
      <w:r>
        <w:rPr>
          <w:sz w:val="24"/>
        </w:rPr>
        <w:t>water</w:t>
      </w:r>
      <w:r>
        <w:rPr>
          <w:spacing w:val="-3"/>
          <w:sz w:val="24"/>
        </w:rPr>
        <w:t> </w:t>
      </w:r>
      <w:r>
        <w:rPr>
          <w:sz w:val="24"/>
        </w:rPr>
        <w:t>harvest, use</w:t>
      </w:r>
      <w:r>
        <w:rPr>
          <w:spacing w:val="-15"/>
          <w:sz w:val="24"/>
        </w:rPr>
        <w:t> </w:t>
      </w:r>
      <w:r>
        <w:rPr>
          <w:sz w:val="24"/>
        </w:rPr>
        <w:t>of</w:t>
      </w:r>
      <w:r>
        <w:rPr>
          <w:spacing w:val="-15"/>
          <w:sz w:val="24"/>
        </w:rPr>
        <w:t> </w:t>
      </w:r>
      <w:r>
        <w:rPr>
          <w:sz w:val="24"/>
        </w:rPr>
        <w:t>booster</w:t>
      </w:r>
      <w:r>
        <w:rPr>
          <w:spacing w:val="-15"/>
          <w:sz w:val="24"/>
        </w:rPr>
        <w:t> </w:t>
      </w:r>
      <w:r>
        <w:rPr>
          <w:sz w:val="24"/>
        </w:rPr>
        <w:t>pump,</w:t>
      </w:r>
      <w:r>
        <w:rPr>
          <w:spacing w:val="-15"/>
          <w:sz w:val="24"/>
        </w:rPr>
        <w:t> </w:t>
      </w:r>
      <w:r>
        <w:rPr>
          <w:sz w:val="24"/>
        </w:rPr>
        <w:t>use</w:t>
      </w:r>
      <w:r>
        <w:rPr>
          <w:spacing w:val="-12"/>
          <w:sz w:val="24"/>
        </w:rPr>
        <w:t> </w:t>
      </w:r>
      <w:r>
        <w:rPr>
          <w:sz w:val="24"/>
        </w:rPr>
        <w:t>of</w:t>
      </w:r>
      <w:r>
        <w:rPr>
          <w:spacing w:val="-15"/>
          <w:sz w:val="24"/>
        </w:rPr>
        <w:t> </w:t>
      </w:r>
      <w:r>
        <w:rPr>
          <w:sz w:val="24"/>
        </w:rPr>
        <w:t>water</w:t>
      </w:r>
      <w:r>
        <w:rPr>
          <w:spacing w:val="-15"/>
          <w:sz w:val="24"/>
        </w:rPr>
        <w:t> </w:t>
      </w:r>
      <w:r>
        <w:rPr>
          <w:sz w:val="24"/>
        </w:rPr>
        <w:t>sparingly,</w:t>
      </w:r>
      <w:r>
        <w:rPr>
          <w:spacing w:val="-13"/>
          <w:sz w:val="24"/>
        </w:rPr>
        <w:t> </w:t>
      </w:r>
      <w:r>
        <w:rPr>
          <w:sz w:val="24"/>
        </w:rPr>
        <w:t>water</w:t>
      </w:r>
      <w:r>
        <w:rPr>
          <w:spacing w:val="-14"/>
          <w:sz w:val="24"/>
        </w:rPr>
        <w:t> </w:t>
      </w:r>
      <w:r>
        <w:rPr>
          <w:sz w:val="24"/>
        </w:rPr>
        <w:t>collection</w:t>
      </w:r>
      <w:r>
        <w:rPr>
          <w:spacing w:val="-15"/>
          <w:sz w:val="24"/>
        </w:rPr>
        <w:t> </w:t>
      </w:r>
      <w:r>
        <w:rPr>
          <w:sz w:val="24"/>
        </w:rPr>
        <w:t>from</w:t>
      </w:r>
      <w:r>
        <w:rPr>
          <w:spacing w:val="-15"/>
          <w:sz w:val="24"/>
        </w:rPr>
        <w:t> </w:t>
      </w:r>
      <w:r>
        <w:rPr>
          <w:sz w:val="24"/>
        </w:rPr>
        <w:t>different</w:t>
      </w:r>
      <w:r>
        <w:rPr>
          <w:spacing w:val="-15"/>
          <w:sz w:val="24"/>
        </w:rPr>
        <w:t> </w:t>
      </w:r>
      <w:r>
        <w:rPr>
          <w:sz w:val="24"/>
        </w:rPr>
        <w:t>locations, water collection from shared connection/from neighbor, protest to water authorities, relocation to areas with water supply, rescheduling activities till when water is </w:t>
      </w:r>
      <w:r>
        <w:rPr>
          <w:spacing w:val="-2"/>
          <w:sz w:val="24"/>
        </w:rPr>
        <w:t>available.</w:t>
      </w:r>
    </w:p>
    <w:p>
      <w:pPr>
        <w:pStyle w:val="BodyText"/>
        <w:spacing w:before="9"/>
      </w:pPr>
    </w:p>
    <w:p>
      <w:pPr>
        <w:pStyle w:val="Heading1"/>
        <w:numPr>
          <w:ilvl w:val="1"/>
          <w:numId w:val="1"/>
        </w:numPr>
        <w:tabs>
          <w:tab w:pos="807" w:val="left" w:leader="none"/>
        </w:tabs>
        <w:spacing w:line="240" w:lineRule="auto" w:before="0" w:after="0"/>
        <w:ind w:left="807" w:right="0" w:hanging="540"/>
        <w:jc w:val="left"/>
      </w:pPr>
      <w:r>
        <w:rPr/>
        <w:t>Justification</w:t>
      </w:r>
      <w:r>
        <w:rPr>
          <w:spacing w:val="-3"/>
        </w:rPr>
        <w:t> </w:t>
      </w:r>
      <w:r>
        <w:rPr/>
        <w:t>for</w:t>
      </w:r>
      <w:r>
        <w:rPr>
          <w:spacing w:val="-2"/>
        </w:rPr>
        <w:t> </w:t>
      </w:r>
      <w:r>
        <w:rPr/>
        <w:t>the</w:t>
      </w:r>
      <w:r>
        <w:rPr>
          <w:spacing w:val="-1"/>
        </w:rPr>
        <w:t> </w:t>
      </w:r>
      <w:r>
        <w:rPr>
          <w:spacing w:val="-2"/>
        </w:rPr>
        <w:t>Study</w:t>
      </w:r>
    </w:p>
    <w:p>
      <w:pPr>
        <w:pStyle w:val="BodyText"/>
        <w:spacing w:before="14"/>
        <w:rPr>
          <w:b/>
        </w:rPr>
      </w:pPr>
    </w:p>
    <w:p>
      <w:pPr>
        <w:pStyle w:val="BodyText"/>
        <w:spacing w:line="480" w:lineRule="auto"/>
        <w:ind w:left="267" w:right="103"/>
        <w:jc w:val="both"/>
        <w:rPr>
          <w:i/>
        </w:rPr>
      </w:pPr>
      <w:r>
        <w:rPr>
          <w:spacing w:val="-2"/>
        </w:rPr>
        <w:t>The</w:t>
      </w:r>
      <w:r>
        <w:rPr>
          <w:spacing w:val="-3"/>
        </w:rPr>
        <w:t> </w:t>
      </w:r>
      <w:r>
        <w:rPr>
          <w:spacing w:val="-2"/>
        </w:rPr>
        <w:t>significant contribution of</w:t>
      </w:r>
      <w:r>
        <w:rPr>
          <w:spacing w:val="-3"/>
        </w:rPr>
        <w:t> </w:t>
      </w:r>
      <w:r>
        <w:rPr>
          <w:spacing w:val="-2"/>
        </w:rPr>
        <w:t>water</w:t>
      </w:r>
      <w:r>
        <w:rPr>
          <w:spacing w:val="-3"/>
        </w:rPr>
        <w:t> </w:t>
      </w:r>
      <w:r>
        <w:rPr>
          <w:spacing w:val="-2"/>
        </w:rPr>
        <w:t>resources to socio-economic</w:t>
      </w:r>
      <w:r>
        <w:rPr>
          <w:spacing w:val="-3"/>
        </w:rPr>
        <w:t> </w:t>
      </w:r>
      <w:r>
        <w:rPr>
          <w:spacing w:val="-2"/>
        </w:rPr>
        <w:t>development, public</w:t>
      </w:r>
      <w:r>
        <w:rPr>
          <w:spacing w:val="-3"/>
        </w:rPr>
        <w:t> </w:t>
      </w:r>
      <w:r>
        <w:rPr>
          <w:spacing w:val="-2"/>
        </w:rPr>
        <w:t>health </w:t>
      </w:r>
      <w:r>
        <w:rPr/>
        <w:t>and quality of life implies that issues pertaining to its volumetric availability, accessibility and withdrawal merit public policy consideration. Various water scarcity metrics such as water</w:t>
      </w:r>
      <w:r>
        <w:rPr>
          <w:spacing w:val="8"/>
        </w:rPr>
        <w:t> </w:t>
      </w:r>
      <w:r>
        <w:rPr/>
        <w:t>stress</w:t>
      </w:r>
      <w:r>
        <w:rPr>
          <w:spacing w:val="13"/>
        </w:rPr>
        <w:t> </w:t>
      </w:r>
      <w:r>
        <w:rPr/>
        <w:t>index</w:t>
      </w:r>
      <w:r>
        <w:rPr>
          <w:spacing w:val="13"/>
        </w:rPr>
        <w:t> </w:t>
      </w:r>
      <w:r>
        <w:rPr/>
        <w:t>(Falkenmark,</w:t>
      </w:r>
      <w:r>
        <w:rPr>
          <w:spacing w:val="13"/>
        </w:rPr>
        <w:t> </w:t>
      </w:r>
      <w:r>
        <w:rPr/>
        <w:t>1989),</w:t>
      </w:r>
      <w:r>
        <w:rPr>
          <w:spacing w:val="12"/>
        </w:rPr>
        <w:t> </w:t>
      </w:r>
      <w:r>
        <w:rPr/>
        <w:t>criticality</w:t>
      </w:r>
      <w:r>
        <w:rPr>
          <w:spacing w:val="10"/>
        </w:rPr>
        <w:t> </w:t>
      </w:r>
      <w:r>
        <w:rPr/>
        <w:t>ratio</w:t>
      </w:r>
      <w:r>
        <w:rPr>
          <w:spacing w:val="12"/>
        </w:rPr>
        <w:t> </w:t>
      </w:r>
      <w:r>
        <w:rPr/>
        <w:t>(Raskin</w:t>
      </w:r>
      <w:r>
        <w:rPr>
          <w:spacing w:val="17"/>
        </w:rPr>
        <w:t> </w:t>
      </w:r>
      <w:r>
        <w:rPr>
          <w:i/>
        </w:rPr>
        <w:t>et</w:t>
      </w:r>
      <w:r>
        <w:rPr>
          <w:i/>
          <w:spacing w:val="13"/>
        </w:rPr>
        <w:t> </w:t>
      </w:r>
      <w:r>
        <w:rPr>
          <w:i/>
        </w:rPr>
        <w:t>al.</w:t>
      </w:r>
      <w:r>
        <w:rPr/>
        <w:t>,</w:t>
      </w:r>
      <w:r>
        <w:rPr>
          <w:spacing w:val="12"/>
        </w:rPr>
        <w:t> </w:t>
      </w:r>
      <w:r>
        <w:rPr/>
        <w:t>1997;</w:t>
      </w:r>
      <w:r>
        <w:rPr>
          <w:spacing w:val="13"/>
        </w:rPr>
        <w:t> </w:t>
      </w:r>
      <w:r>
        <w:rPr/>
        <w:t>Vorosmarty</w:t>
      </w:r>
      <w:r>
        <w:rPr>
          <w:spacing w:val="10"/>
        </w:rPr>
        <w:t> </w:t>
      </w:r>
      <w:r>
        <w:rPr>
          <w:i/>
          <w:spacing w:val="-5"/>
        </w:rPr>
        <w:t>et</w:t>
      </w:r>
    </w:p>
    <w:p>
      <w:pPr>
        <w:spacing w:after="0" w:line="480" w:lineRule="auto"/>
        <w:jc w:val="both"/>
        <w:sectPr>
          <w:pgSz w:w="12240" w:h="15840"/>
          <w:pgMar w:header="0" w:footer="1068" w:top="1340" w:bottom="1260" w:left="1720" w:right="1300"/>
        </w:sectPr>
      </w:pPr>
    </w:p>
    <w:p>
      <w:pPr>
        <w:pStyle w:val="BodyText"/>
        <w:spacing w:line="480" w:lineRule="auto" w:before="63"/>
        <w:ind w:left="267" w:right="104"/>
        <w:jc w:val="both"/>
      </w:pPr>
      <w:r>
        <w:rPr>
          <w:i/>
        </w:rPr>
        <w:t>al., </w:t>
      </w:r>
      <w:r>
        <w:rPr/>
        <w:t>2000; Alcamo </w:t>
      </w:r>
      <w:r>
        <w:rPr>
          <w:i/>
        </w:rPr>
        <w:t>et al.</w:t>
      </w:r>
      <w:r>
        <w:rPr/>
        <w:t>,</w:t>
      </w:r>
      <w:r>
        <w:rPr>
          <w:spacing w:val="-4"/>
        </w:rPr>
        <w:t> </w:t>
      </w:r>
      <w:r>
        <w:rPr/>
        <w:t>2003), IWMI</w:t>
      </w:r>
      <w:r>
        <w:rPr>
          <w:spacing w:val="-4"/>
        </w:rPr>
        <w:t> </w:t>
      </w:r>
      <w:r>
        <w:rPr/>
        <w:t>indicator (Seckler </w:t>
      </w:r>
      <w:r>
        <w:rPr>
          <w:i/>
        </w:rPr>
        <w:t>et al.</w:t>
      </w:r>
      <w:r>
        <w:rPr/>
        <w:t>, 1998a; Molden </w:t>
      </w:r>
      <w:r>
        <w:rPr>
          <w:i/>
        </w:rPr>
        <w:t>et al.</w:t>
      </w:r>
      <w:r>
        <w:rPr/>
        <w:t>, 2007) and the water poverty index (Sullivan, 2002, Sullivan </w:t>
      </w:r>
      <w:r>
        <w:rPr>
          <w:i/>
        </w:rPr>
        <w:t>et al.</w:t>
      </w:r>
      <w:r>
        <w:rPr/>
        <w:t>, 2003) have established that global water resources are extremely stressed, and that given the rapid growth in human population, water resources will need to be effectively managed on a sustainable basis. In view of this, an in-depth study of this magnitude can provide a quantitative assessment evidence</w:t>
      </w:r>
      <w:r>
        <w:rPr>
          <w:spacing w:val="-6"/>
        </w:rPr>
        <w:t> </w:t>
      </w:r>
      <w:r>
        <w:rPr/>
        <w:t>of</w:t>
      </w:r>
      <w:r>
        <w:rPr>
          <w:spacing w:val="-6"/>
        </w:rPr>
        <w:t> </w:t>
      </w:r>
      <w:r>
        <w:rPr/>
        <w:t>water</w:t>
      </w:r>
      <w:r>
        <w:rPr>
          <w:spacing w:val="-6"/>
        </w:rPr>
        <w:t> </w:t>
      </w:r>
      <w:r>
        <w:rPr/>
        <w:t>scarcity</w:t>
      </w:r>
      <w:r>
        <w:rPr>
          <w:spacing w:val="-7"/>
        </w:rPr>
        <w:t> </w:t>
      </w:r>
      <w:r>
        <w:rPr/>
        <w:t>challenge</w:t>
      </w:r>
      <w:r>
        <w:rPr>
          <w:spacing w:val="-4"/>
        </w:rPr>
        <w:t> </w:t>
      </w:r>
      <w:r>
        <w:rPr/>
        <w:t>necessary</w:t>
      </w:r>
      <w:r>
        <w:rPr>
          <w:spacing w:val="-10"/>
        </w:rPr>
        <w:t> </w:t>
      </w:r>
      <w:r>
        <w:rPr/>
        <w:t>for</w:t>
      </w:r>
      <w:r>
        <w:rPr>
          <w:spacing w:val="-3"/>
        </w:rPr>
        <w:t> </w:t>
      </w:r>
      <w:r>
        <w:rPr/>
        <w:t>water</w:t>
      </w:r>
      <w:r>
        <w:rPr>
          <w:spacing w:val="-5"/>
        </w:rPr>
        <w:t> </w:t>
      </w:r>
      <w:r>
        <w:rPr/>
        <w:t>policy</w:t>
      </w:r>
      <w:r>
        <w:rPr>
          <w:spacing w:val="-10"/>
        </w:rPr>
        <w:t> </w:t>
      </w:r>
      <w:r>
        <w:rPr/>
        <w:t>planning,</w:t>
      </w:r>
      <w:r>
        <w:rPr>
          <w:spacing w:val="-5"/>
        </w:rPr>
        <w:t> </w:t>
      </w:r>
      <w:r>
        <w:rPr/>
        <w:t>benchmarking</w:t>
      </w:r>
      <w:r>
        <w:rPr>
          <w:spacing w:val="-7"/>
        </w:rPr>
        <w:t> </w:t>
      </w:r>
      <w:r>
        <w:rPr/>
        <w:t>and performance monitoring.</w:t>
      </w:r>
    </w:p>
    <w:p>
      <w:pPr>
        <w:pStyle w:val="BodyText"/>
        <w:spacing w:before="1"/>
      </w:pPr>
    </w:p>
    <w:p>
      <w:pPr>
        <w:pStyle w:val="BodyText"/>
        <w:spacing w:line="480" w:lineRule="auto"/>
        <w:ind w:left="267" w:right="106"/>
        <w:jc w:val="both"/>
      </w:pPr>
      <w:r>
        <w:rPr/>
        <w:t>Such evidence can aid policy makers in effectively identifying specific areas of activities which</w:t>
      </w:r>
      <w:r>
        <w:rPr>
          <w:spacing w:val="-13"/>
        </w:rPr>
        <w:t> </w:t>
      </w:r>
      <w:r>
        <w:rPr/>
        <w:t>could</w:t>
      </w:r>
      <w:r>
        <w:rPr>
          <w:spacing w:val="-13"/>
        </w:rPr>
        <w:t> </w:t>
      </w:r>
      <w:r>
        <w:rPr/>
        <w:t>reduce</w:t>
      </w:r>
      <w:r>
        <w:rPr>
          <w:spacing w:val="-12"/>
        </w:rPr>
        <w:t> </w:t>
      </w:r>
      <w:r>
        <w:rPr/>
        <w:t>existing</w:t>
      </w:r>
      <w:r>
        <w:rPr>
          <w:spacing w:val="-14"/>
        </w:rPr>
        <w:t> </w:t>
      </w:r>
      <w:r>
        <w:rPr/>
        <w:t>water</w:t>
      </w:r>
      <w:r>
        <w:rPr>
          <w:spacing w:val="-12"/>
        </w:rPr>
        <w:t> </w:t>
      </w:r>
      <w:r>
        <w:rPr/>
        <w:t>stress,</w:t>
      </w:r>
      <w:r>
        <w:rPr>
          <w:spacing w:val="-12"/>
        </w:rPr>
        <w:t> </w:t>
      </w:r>
      <w:r>
        <w:rPr/>
        <w:t>and</w:t>
      </w:r>
      <w:r>
        <w:rPr>
          <w:spacing w:val="-11"/>
        </w:rPr>
        <w:t> </w:t>
      </w:r>
      <w:r>
        <w:rPr/>
        <w:t>target</w:t>
      </w:r>
      <w:r>
        <w:rPr>
          <w:spacing w:val="-12"/>
        </w:rPr>
        <w:t> </w:t>
      </w:r>
      <w:r>
        <w:rPr/>
        <w:t>households</w:t>
      </w:r>
      <w:r>
        <w:rPr>
          <w:spacing w:val="-13"/>
        </w:rPr>
        <w:t> </w:t>
      </w:r>
      <w:r>
        <w:rPr/>
        <w:t>and</w:t>
      </w:r>
      <w:r>
        <w:rPr>
          <w:spacing w:val="-13"/>
        </w:rPr>
        <w:t> </w:t>
      </w:r>
      <w:r>
        <w:rPr/>
        <w:t>neighbourhoods</w:t>
      </w:r>
      <w:r>
        <w:rPr>
          <w:spacing w:val="-13"/>
        </w:rPr>
        <w:t> </w:t>
      </w:r>
      <w:r>
        <w:rPr/>
        <w:t>with</w:t>
      </w:r>
      <w:r>
        <w:rPr>
          <w:spacing w:val="-13"/>
        </w:rPr>
        <w:t> </w:t>
      </w:r>
      <w:r>
        <w:rPr/>
        <w:t>the highest levels of poverty</w:t>
      </w:r>
      <w:r>
        <w:rPr>
          <w:spacing w:val="-1"/>
        </w:rPr>
        <w:t> </w:t>
      </w:r>
      <w:r>
        <w:rPr/>
        <w:t>in terms of prioritization of interventions to address specific water deprivations. Aside its contribution to the existing vast body of literature on the linkage between water and poverty, the empirical findings from the current study can stimulate households’ understanding of the complexity of the water problems and beyond the conventional</w:t>
      </w:r>
      <w:r>
        <w:rPr>
          <w:spacing w:val="-13"/>
        </w:rPr>
        <w:t> </w:t>
      </w:r>
      <w:r>
        <w:rPr/>
        <w:t>approach,</w:t>
      </w:r>
      <w:r>
        <w:rPr>
          <w:spacing w:val="-11"/>
        </w:rPr>
        <w:t> </w:t>
      </w:r>
      <w:r>
        <w:rPr/>
        <w:t>the</w:t>
      </w:r>
      <w:r>
        <w:rPr>
          <w:spacing w:val="-12"/>
        </w:rPr>
        <w:t> </w:t>
      </w:r>
      <w:r>
        <w:rPr/>
        <w:t>pragmatic</w:t>
      </w:r>
      <w:r>
        <w:rPr>
          <w:spacing w:val="-12"/>
        </w:rPr>
        <w:t> </w:t>
      </w:r>
      <w:r>
        <w:rPr/>
        <w:t>ways</w:t>
      </w:r>
      <w:r>
        <w:rPr>
          <w:spacing w:val="-11"/>
        </w:rPr>
        <w:t> </w:t>
      </w:r>
      <w:r>
        <w:rPr/>
        <w:t>to</w:t>
      </w:r>
      <w:r>
        <w:rPr>
          <w:spacing w:val="-11"/>
        </w:rPr>
        <w:t> </w:t>
      </w:r>
      <w:r>
        <w:rPr/>
        <w:t>address</w:t>
      </w:r>
      <w:r>
        <w:rPr>
          <w:spacing w:val="-11"/>
        </w:rPr>
        <w:t> </w:t>
      </w:r>
      <w:r>
        <w:rPr/>
        <w:t>water</w:t>
      </w:r>
      <w:r>
        <w:rPr>
          <w:spacing w:val="-12"/>
        </w:rPr>
        <w:t> </w:t>
      </w:r>
      <w:r>
        <w:rPr/>
        <w:t>scarcity</w:t>
      </w:r>
      <w:r>
        <w:rPr>
          <w:spacing w:val="-17"/>
        </w:rPr>
        <w:t> </w:t>
      </w:r>
      <w:r>
        <w:rPr/>
        <w:t>in</w:t>
      </w:r>
      <w:r>
        <w:rPr>
          <w:spacing w:val="-11"/>
        </w:rPr>
        <w:t> </w:t>
      </w:r>
      <w:r>
        <w:rPr/>
        <w:t>a</w:t>
      </w:r>
      <w:r>
        <w:rPr>
          <w:spacing w:val="-12"/>
        </w:rPr>
        <w:t> </w:t>
      </w:r>
      <w:r>
        <w:rPr/>
        <w:t>sustainable</w:t>
      </w:r>
      <w:r>
        <w:rPr>
          <w:spacing w:val="-12"/>
        </w:rPr>
        <w:t> </w:t>
      </w:r>
      <w:r>
        <w:rPr>
          <w:spacing w:val="-2"/>
        </w:rPr>
        <w:t>manner.</w:t>
      </w:r>
    </w:p>
    <w:p>
      <w:pPr>
        <w:pStyle w:val="BodyText"/>
        <w:spacing w:before="8"/>
      </w:pPr>
    </w:p>
    <w:p>
      <w:pPr>
        <w:pStyle w:val="Heading1"/>
        <w:numPr>
          <w:ilvl w:val="1"/>
          <w:numId w:val="1"/>
        </w:numPr>
        <w:tabs>
          <w:tab w:pos="986" w:val="left" w:leader="none"/>
        </w:tabs>
        <w:spacing w:line="240" w:lineRule="auto" w:before="0" w:after="0"/>
        <w:ind w:left="986" w:right="0" w:hanging="719"/>
        <w:jc w:val="both"/>
      </w:pPr>
      <w:r>
        <w:rPr/>
        <w:t>Profile</w:t>
      </w:r>
      <w:r>
        <w:rPr>
          <w:spacing w:val="-4"/>
        </w:rPr>
        <w:t> </w:t>
      </w:r>
      <w:r>
        <w:rPr/>
        <w:t>of the</w:t>
      </w:r>
      <w:r>
        <w:rPr>
          <w:spacing w:val="-1"/>
        </w:rPr>
        <w:t> </w:t>
      </w:r>
      <w:r>
        <w:rPr/>
        <w:t>Study </w:t>
      </w:r>
      <w:r>
        <w:rPr>
          <w:spacing w:val="-4"/>
        </w:rPr>
        <w:t>Area</w:t>
      </w:r>
    </w:p>
    <w:p>
      <w:pPr>
        <w:pStyle w:val="BodyText"/>
        <w:spacing w:before="14"/>
        <w:rPr>
          <w:b/>
        </w:rPr>
      </w:pPr>
    </w:p>
    <w:p>
      <w:pPr>
        <w:pStyle w:val="BodyText"/>
        <w:spacing w:line="480" w:lineRule="auto" w:before="1"/>
        <w:ind w:left="267" w:right="111"/>
        <w:jc w:val="both"/>
      </w:pPr>
      <w:r>
        <w:rPr>
          <w:spacing w:val="-2"/>
        </w:rPr>
        <w:t>The</w:t>
      </w:r>
      <w:r>
        <w:rPr>
          <w:spacing w:val="-7"/>
        </w:rPr>
        <w:t> </w:t>
      </w:r>
      <w:r>
        <w:rPr>
          <w:spacing w:val="-2"/>
        </w:rPr>
        <w:t>study</w:t>
      </w:r>
      <w:r>
        <w:rPr>
          <w:spacing w:val="-12"/>
        </w:rPr>
        <w:t> </w:t>
      </w:r>
      <w:r>
        <w:rPr>
          <w:spacing w:val="-2"/>
        </w:rPr>
        <w:t>area</w:t>
      </w:r>
      <w:r>
        <w:rPr>
          <w:spacing w:val="-7"/>
        </w:rPr>
        <w:t> </w:t>
      </w:r>
      <w:r>
        <w:rPr>
          <w:spacing w:val="-2"/>
        </w:rPr>
        <w:t>can</w:t>
      </w:r>
      <w:r>
        <w:rPr>
          <w:spacing w:val="-6"/>
        </w:rPr>
        <w:t> </w:t>
      </w:r>
      <w:r>
        <w:rPr>
          <w:spacing w:val="-2"/>
        </w:rPr>
        <w:t>be</w:t>
      </w:r>
      <w:r>
        <w:rPr>
          <w:spacing w:val="-7"/>
        </w:rPr>
        <w:t> </w:t>
      </w:r>
      <w:r>
        <w:rPr>
          <w:spacing w:val="-2"/>
        </w:rPr>
        <w:t>described</w:t>
      </w:r>
      <w:r>
        <w:rPr>
          <w:spacing w:val="-6"/>
        </w:rPr>
        <w:t> </w:t>
      </w:r>
      <w:r>
        <w:rPr>
          <w:spacing w:val="-2"/>
        </w:rPr>
        <w:t>in</w:t>
      </w:r>
      <w:r>
        <w:rPr>
          <w:spacing w:val="-5"/>
        </w:rPr>
        <w:t> </w:t>
      </w:r>
      <w:r>
        <w:rPr>
          <w:spacing w:val="-2"/>
        </w:rPr>
        <w:t>terms</w:t>
      </w:r>
      <w:r>
        <w:rPr>
          <w:spacing w:val="-5"/>
        </w:rPr>
        <w:t> </w:t>
      </w:r>
      <w:r>
        <w:rPr>
          <w:spacing w:val="-2"/>
        </w:rPr>
        <w:t>of</w:t>
      </w:r>
      <w:r>
        <w:rPr>
          <w:spacing w:val="-7"/>
        </w:rPr>
        <w:t> </w:t>
      </w:r>
      <w:r>
        <w:rPr>
          <w:spacing w:val="-2"/>
        </w:rPr>
        <w:t>its</w:t>
      </w:r>
      <w:r>
        <w:rPr>
          <w:spacing w:val="-6"/>
        </w:rPr>
        <w:t> </w:t>
      </w:r>
      <w:r>
        <w:rPr>
          <w:spacing w:val="-2"/>
        </w:rPr>
        <w:t>geographical</w:t>
      </w:r>
      <w:r>
        <w:rPr>
          <w:spacing w:val="-5"/>
        </w:rPr>
        <w:t> </w:t>
      </w:r>
      <w:r>
        <w:rPr>
          <w:spacing w:val="-2"/>
        </w:rPr>
        <w:t>description,</w:t>
      </w:r>
      <w:r>
        <w:rPr>
          <w:spacing w:val="-6"/>
        </w:rPr>
        <w:t> </w:t>
      </w:r>
      <w:r>
        <w:rPr>
          <w:spacing w:val="-2"/>
        </w:rPr>
        <w:t>water</w:t>
      </w:r>
      <w:r>
        <w:rPr>
          <w:spacing w:val="-7"/>
        </w:rPr>
        <w:t> </w:t>
      </w:r>
      <w:r>
        <w:rPr>
          <w:spacing w:val="-2"/>
        </w:rPr>
        <w:t>bodies,</w:t>
      </w:r>
      <w:r>
        <w:rPr>
          <w:spacing w:val="-6"/>
        </w:rPr>
        <w:t> </w:t>
      </w:r>
      <w:r>
        <w:rPr>
          <w:spacing w:val="-2"/>
        </w:rPr>
        <w:t>climate </w:t>
      </w:r>
      <w:r>
        <w:rPr/>
        <w:t>and ecology, population and economic base as follows.</w:t>
      </w:r>
    </w:p>
    <w:p>
      <w:pPr>
        <w:pStyle w:val="Heading1"/>
        <w:numPr>
          <w:ilvl w:val="2"/>
          <w:numId w:val="1"/>
        </w:numPr>
        <w:tabs>
          <w:tab w:pos="986" w:val="left" w:leader="none"/>
        </w:tabs>
        <w:spacing w:line="240" w:lineRule="auto" w:before="7" w:after="0"/>
        <w:ind w:left="986" w:right="0" w:hanging="719"/>
        <w:jc w:val="both"/>
      </w:pPr>
      <w:r>
        <w:rPr/>
        <w:t>Geographical</w:t>
      </w:r>
      <w:r>
        <w:rPr>
          <w:spacing w:val="-1"/>
        </w:rPr>
        <w:t> </w:t>
      </w:r>
      <w:r>
        <w:rPr/>
        <w:t>description</w:t>
      </w:r>
      <w:r>
        <w:rPr>
          <w:spacing w:val="-1"/>
        </w:rPr>
        <w:t> </w:t>
      </w:r>
      <w:r>
        <w:rPr/>
        <w:t>and</w:t>
      </w:r>
      <w:r>
        <w:rPr>
          <w:spacing w:val="-1"/>
        </w:rPr>
        <w:t> </w:t>
      </w:r>
      <w:r>
        <w:rPr>
          <w:spacing w:val="-2"/>
        </w:rPr>
        <w:t>location</w:t>
      </w:r>
    </w:p>
    <w:p>
      <w:pPr>
        <w:pStyle w:val="BodyText"/>
        <w:spacing w:line="550" w:lineRule="atLeast" w:before="17"/>
        <w:ind w:left="267" w:right="105"/>
        <w:jc w:val="both"/>
      </w:pPr>
      <w:r>
        <w:rPr/>
        <w:t>The city of Minna acts as both the state and administrative capital of Niger state in Nigeria, and covers an approximate land mass of 88 km</w:t>
      </w:r>
      <w:r>
        <w:rPr>
          <w:vertAlign w:val="superscript"/>
        </w:rPr>
        <w:t>2</w:t>
      </w:r>
      <w:r>
        <w:rPr>
          <w:vertAlign w:val="baseline"/>
        </w:rPr>
        <w:t>. It lies on latitude 9</w:t>
      </w:r>
      <w:r>
        <w:rPr>
          <w:vertAlign w:val="superscript"/>
        </w:rPr>
        <w:t>0</w:t>
      </w:r>
      <w:r>
        <w:rPr>
          <w:vertAlign w:val="baseline"/>
        </w:rPr>
        <w:t> 25’ N and 9</w:t>
      </w:r>
      <w:r>
        <w:rPr>
          <w:vertAlign w:val="superscript"/>
        </w:rPr>
        <w:t>0</w:t>
      </w:r>
      <w:r>
        <w:rPr>
          <w:spacing w:val="-15"/>
          <w:vertAlign w:val="baseline"/>
        </w:rPr>
        <w:t> </w:t>
      </w:r>
      <w:r>
        <w:rPr>
          <w:vertAlign w:val="baseline"/>
        </w:rPr>
        <w:t>40’ N of the equator and longitude 6</w:t>
      </w:r>
      <w:r>
        <w:rPr>
          <w:vertAlign w:val="superscript"/>
        </w:rPr>
        <w:t>0</w:t>
      </w:r>
      <w:r>
        <w:rPr>
          <w:vertAlign w:val="baseline"/>
        </w:rPr>
        <w:t> 24’ E and 6</w:t>
      </w:r>
      <w:r>
        <w:rPr>
          <w:vertAlign w:val="superscript"/>
        </w:rPr>
        <w:t>0</w:t>
      </w:r>
      <w:r>
        <w:rPr>
          <w:spacing w:val="-6"/>
          <w:vertAlign w:val="baseline"/>
        </w:rPr>
        <w:t> </w:t>
      </w:r>
      <w:r>
        <w:rPr>
          <w:vertAlign w:val="baseline"/>
        </w:rPr>
        <w:t>36’ E of the meridian (Figure 1.1). In terms of regional location, the city is located in the North-Central geopolitical zone of Nigeria and provides</w:t>
      </w:r>
      <w:r>
        <w:rPr>
          <w:spacing w:val="35"/>
          <w:vertAlign w:val="baseline"/>
        </w:rPr>
        <w:t> </w:t>
      </w:r>
      <w:r>
        <w:rPr>
          <w:vertAlign w:val="baseline"/>
        </w:rPr>
        <w:t>the</w:t>
      </w:r>
      <w:r>
        <w:rPr>
          <w:spacing w:val="36"/>
          <w:vertAlign w:val="baseline"/>
        </w:rPr>
        <w:t> </w:t>
      </w:r>
      <w:r>
        <w:rPr>
          <w:vertAlign w:val="baseline"/>
        </w:rPr>
        <w:t>gateway</w:t>
      </w:r>
      <w:r>
        <w:rPr>
          <w:spacing w:val="32"/>
          <w:vertAlign w:val="baseline"/>
        </w:rPr>
        <w:t> </w:t>
      </w:r>
      <w:r>
        <w:rPr>
          <w:vertAlign w:val="baseline"/>
        </w:rPr>
        <w:t>to</w:t>
      </w:r>
      <w:r>
        <w:rPr>
          <w:spacing w:val="39"/>
          <w:vertAlign w:val="baseline"/>
        </w:rPr>
        <w:t> </w:t>
      </w:r>
      <w:r>
        <w:rPr>
          <w:vertAlign w:val="baseline"/>
        </w:rPr>
        <w:t>the</w:t>
      </w:r>
      <w:r>
        <w:rPr>
          <w:spacing w:val="36"/>
          <w:vertAlign w:val="baseline"/>
        </w:rPr>
        <w:t> </w:t>
      </w:r>
      <w:r>
        <w:rPr>
          <w:vertAlign w:val="baseline"/>
        </w:rPr>
        <w:t>northern</w:t>
      </w:r>
      <w:r>
        <w:rPr>
          <w:spacing w:val="36"/>
          <w:vertAlign w:val="baseline"/>
        </w:rPr>
        <w:t> </w:t>
      </w:r>
      <w:r>
        <w:rPr>
          <w:vertAlign w:val="baseline"/>
        </w:rPr>
        <w:t>and</w:t>
      </w:r>
      <w:r>
        <w:rPr>
          <w:spacing w:val="37"/>
          <w:vertAlign w:val="baseline"/>
        </w:rPr>
        <w:t> </w:t>
      </w:r>
      <w:r>
        <w:rPr>
          <w:vertAlign w:val="baseline"/>
        </w:rPr>
        <w:t>southern</w:t>
      </w:r>
      <w:r>
        <w:rPr>
          <w:spacing w:val="36"/>
          <w:vertAlign w:val="baseline"/>
        </w:rPr>
        <w:t> </w:t>
      </w:r>
      <w:r>
        <w:rPr>
          <w:vertAlign w:val="baseline"/>
        </w:rPr>
        <w:t>part</w:t>
      </w:r>
      <w:r>
        <w:rPr>
          <w:spacing w:val="36"/>
          <w:vertAlign w:val="baseline"/>
        </w:rPr>
        <w:t> </w:t>
      </w:r>
      <w:r>
        <w:rPr>
          <w:vertAlign w:val="baseline"/>
        </w:rPr>
        <w:t>of</w:t>
      </w:r>
      <w:r>
        <w:rPr>
          <w:spacing w:val="36"/>
          <w:vertAlign w:val="baseline"/>
        </w:rPr>
        <w:t> </w:t>
      </w:r>
      <w:r>
        <w:rPr>
          <w:vertAlign w:val="baseline"/>
        </w:rPr>
        <w:t>Nigeria.</w:t>
      </w:r>
      <w:r>
        <w:rPr>
          <w:spacing w:val="42"/>
          <w:vertAlign w:val="baseline"/>
        </w:rPr>
        <w:t> </w:t>
      </w:r>
      <w:r>
        <w:rPr>
          <w:vertAlign w:val="baseline"/>
        </w:rPr>
        <w:t>Geographically,</w:t>
      </w:r>
      <w:r>
        <w:rPr>
          <w:spacing w:val="37"/>
          <w:vertAlign w:val="baseline"/>
        </w:rPr>
        <w:t> </w:t>
      </w:r>
      <w:r>
        <w:rPr>
          <w:vertAlign w:val="baseline"/>
        </w:rPr>
        <w:t>it</w:t>
      </w:r>
      <w:r>
        <w:rPr>
          <w:spacing w:val="37"/>
          <w:vertAlign w:val="baseline"/>
        </w:rPr>
        <w:t> </w:t>
      </w:r>
      <w:r>
        <w:rPr>
          <w:spacing w:val="-5"/>
          <w:vertAlign w:val="baseline"/>
        </w:rPr>
        <w:t>is</w:t>
      </w:r>
    </w:p>
    <w:p>
      <w:pPr>
        <w:spacing w:after="0" w:line="550" w:lineRule="atLeast"/>
        <w:jc w:val="both"/>
        <w:sectPr>
          <w:pgSz w:w="12240" w:h="15840"/>
          <w:pgMar w:header="0" w:footer="1068" w:top="1340" w:bottom="1260" w:left="1720" w:right="1300"/>
        </w:sectPr>
      </w:pPr>
    </w:p>
    <w:p>
      <w:pPr>
        <w:pStyle w:val="BodyText"/>
        <w:spacing w:line="480" w:lineRule="auto" w:before="63"/>
        <w:ind w:left="267" w:right="111"/>
        <w:jc w:val="both"/>
      </w:pPr>
      <w:r>
        <w:rPr/>
        <w:t>located apart from other bordering cities. By roads, Minna is approximately 112km apart from FCT, 300km from Kaduna, 90km from Bida and 100km to Suleja (Sanusi, 2006).</w:t>
      </w:r>
    </w:p>
    <w:p>
      <w:pPr>
        <w:pStyle w:val="BodyText"/>
      </w:pPr>
    </w:p>
    <w:p>
      <w:pPr>
        <w:pStyle w:val="BodyText"/>
        <w:spacing w:line="480" w:lineRule="auto"/>
        <w:ind w:left="267" w:right="105"/>
        <w:jc w:val="both"/>
      </w:pPr>
      <w:r>
        <w:rPr/>
        <w:t>The geomorphology of the city is characterized by undifferentiated basement of many complex of gneiss and magnetite. The city lies on a highland with major elevations within the</w:t>
      </w:r>
      <w:r>
        <w:rPr>
          <w:spacing w:val="-5"/>
        </w:rPr>
        <w:t> </w:t>
      </w:r>
      <w:r>
        <w:rPr/>
        <w:t>city</w:t>
      </w:r>
      <w:r>
        <w:rPr>
          <w:spacing w:val="-10"/>
        </w:rPr>
        <w:t> </w:t>
      </w:r>
      <w:r>
        <w:rPr/>
        <w:t>ranging</w:t>
      </w:r>
      <w:r>
        <w:rPr>
          <w:spacing w:val="-7"/>
        </w:rPr>
        <w:t> </w:t>
      </w:r>
      <w:r>
        <w:rPr/>
        <w:t>from</w:t>
      </w:r>
      <w:r>
        <w:rPr>
          <w:spacing w:val="-5"/>
        </w:rPr>
        <w:t> </w:t>
      </w:r>
      <w:r>
        <w:rPr/>
        <w:t>240m</w:t>
      </w:r>
      <w:r>
        <w:rPr>
          <w:spacing w:val="-3"/>
        </w:rPr>
        <w:t> </w:t>
      </w:r>
      <w:r>
        <w:rPr/>
        <w:t>–</w:t>
      </w:r>
      <w:r>
        <w:rPr>
          <w:spacing w:val="-5"/>
        </w:rPr>
        <w:t> </w:t>
      </w:r>
      <w:r>
        <w:rPr/>
        <w:t>270m,</w:t>
      </w:r>
      <w:r>
        <w:rPr>
          <w:spacing w:val="-4"/>
        </w:rPr>
        <w:t> </w:t>
      </w:r>
      <w:r>
        <w:rPr/>
        <w:t>though</w:t>
      </w:r>
      <w:r>
        <w:rPr>
          <w:spacing w:val="-5"/>
        </w:rPr>
        <w:t> </w:t>
      </w:r>
      <w:r>
        <w:rPr/>
        <w:t>the</w:t>
      </w:r>
      <w:r>
        <w:rPr>
          <w:spacing w:val="-5"/>
        </w:rPr>
        <w:t> </w:t>
      </w:r>
      <w:r>
        <w:rPr/>
        <w:t>highest</w:t>
      </w:r>
      <w:r>
        <w:rPr>
          <w:spacing w:val="-4"/>
        </w:rPr>
        <w:t> </w:t>
      </w:r>
      <w:r>
        <w:rPr/>
        <w:t>level</w:t>
      </w:r>
      <w:r>
        <w:rPr>
          <w:spacing w:val="-4"/>
        </w:rPr>
        <w:t> </w:t>
      </w:r>
      <w:r>
        <w:rPr/>
        <w:t>of</w:t>
      </w:r>
      <w:r>
        <w:rPr>
          <w:spacing w:val="-6"/>
        </w:rPr>
        <w:t> </w:t>
      </w:r>
      <w:r>
        <w:rPr/>
        <w:t>elevation</w:t>
      </w:r>
      <w:r>
        <w:rPr>
          <w:spacing w:val="-5"/>
        </w:rPr>
        <w:t> </w:t>
      </w:r>
      <w:r>
        <w:rPr/>
        <w:t>in</w:t>
      </w:r>
      <w:r>
        <w:rPr>
          <w:spacing w:val="-4"/>
        </w:rPr>
        <w:t> </w:t>
      </w:r>
      <w:r>
        <w:rPr/>
        <w:t>the</w:t>
      </w:r>
      <w:r>
        <w:rPr>
          <w:spacing w:val="-5"/>
        </w:rPr>
        <w:t> </w:t>
      </w:r>
      <w:r>
        <w:rPr/>
        <w:t>city</w:t>
      </w:r>
      <w:r>
        <w:rPr>
          <w:spacing w:val="-12"/>
        </w:rPr>
        <w:t> </w:t>
      </w:r>
      <w:r>
        <w:rPr/>
        <w:t>is</w:t>
      </w:r>
      <w:r>
        <w:rPr>
          <w:spacing w:val="-4"/>
        </w:rPr>
        <w:t> </w:t>
      </w:r>
      <w:r>
        <w:rPr/>
        <w:t>443m which corresponds to Paida hill (Sanusi, 2006). The city is topographically diverse, with a range of steep hills stretching from north eastern part of Minna westwardly towards Bosso and Tudu-Fulani neighbourhoods and some pockets of rock outcrops within the flat and developable area of the city. This freezes land supply, hence limiting residential developments to the southeast and southwest part of Chanchaga and Kpakungu corridors respectively. The city</w:t>
      </w:r>
      <w:r>
        <w:rPr>
          <w:spacing w:val="-3"/>
        </w:rPr>
        <w:t> </w:t>
      </w:r>
      <w:r>
        <w:rPr/>
        <w:t>is segmented into 29 neighbourhoods, which serve as the basis of the unit of analysis in this study (Figure 1.2).</w:t>
      </w:r>
    </w:p>
    <w:p>
      <w:pPr>
        <w:pStyle w:val="BodyText"/>
        <w:spacing w:before="9"/>
      </w:pPr>
    </w:p>
    <w:p>
      <w:pPr>
        <w:pStyle w:val="Heading1"/>
        <w:numPr>
          <w:ilvl w:val="2"/>
          <w:numId w:val="1"/>
        </w:numPr>
        <w:tabs>
          <w:tab w:pos="987" w:val="left" w:leader="none"/>
        </w:tabs>
        <w:spacing w:line="240" w:lineRule="auto" w:before="0" w:after="0"/>
        <w:ind w:left="987" w:right="0" w:hanging="720"/>
        <w:jc w:val="left"/>
      </w:pPr>
      <w:r>
        <w:rPr/>
        <w:t>Water</w:t>
      </w:r>
      <w:r>
        <w:rPr>
          <w:spacing w:val="-2"/>
        </w:rPr>
        <w:t> </w:t>
      </w:r>
      <w:r>
        <w:rPr/>
        <w:t>resources/bodies and drainage</w:t>
      </w:r>
      <w:r>
        <w:rPr>
          <w:spacing w:val="-1"/>
        </w:rPr>
        <w:t> </w:t>
      </w:r>
      <w:r>
        <w:rPr>
          <w:spacing w:val="-2"/>
        </w:rPr>
        <w:t>channels</w:t>
      </w:r>
    </w:p>
    <w:p>
      <w:pPr>
        <w:pStyle w:val="BodyText"/>
        <w:spacing w:before="14"/>
        <w:rPr>
          <w:b/>
        </w:rPr>
      </w:pPr>
    </w:p>
    <w:p>
      <w:pPr>
        <w:pStyle w:val="BodyText"/>
        <w:spacing w:line="480" w:lineRule="auto"/>
        <w:ind w:left="267" w:right="109"/>
        <w:jc w:val="both"/>
      </w:pPr>
      <w:r>
        <w:rPr/>
        <w:t>Freshwater availability and run-off in the city take the form of river Chanchaga, Tagwai, Suka</w:t>
      </w:r>
      <w:r>
        <w:rPr>
          <w:spacing w:val="-8"/>
        </w:rPr>
        <w:t> </w:t>
      </w:r>
      <w:r>
        <w:rPr/>
        <w:t>and</w:t>
      </w:r>
      <w:r>
        <w:rPr>
          <w:spacing w:val="-7"/>
        </w:rPr>
        <w:t> </w:t>
      </w:r>
      <w:r>
        <w:rPr/>
        <w:t>their</w:t>
      </w:r>
      <w:r>
        <w:rPr>
          <w:spacing w:val="-8"/>
        </w:rPr>
        <w:t> </w:t>
      </w:r>
      <w:r>
        <w:rPr/>
        <w:t>tributaries.</w:t>
      </w:r>
      <w:r>
        <w:rPr>
          <w:spacing w:val="-5"/>
        </w:rPr>
        <w:t> </w:t>
      </w:r>
      <w:r>
        <w:rPr/>
        <w:t>In</w:t>
      </w:r>
      <w:r>
        <w:rPr>
          <w:spacing w:val="-5"/>
        </w:rPr>
        <w:t> </w:t>
      </w:r>
      <w:r>
        <w:rPr/>
        <w:t>the</w:t>
      </w:r>
      <w:r>
        <w:rPr>
          <w:spacing w:val="-8"/>
        </w:rPr>
        <w:t> </w:t>
      </w:r>
      <w:r>
        <w:rPr/>
        <w:t>south</w:t>
      </w:r>
      <w:r>
        <w:rPr>
          <w:spacing w:val="-7"/>
        </w:rPr>
        <w:t> </w:t>
      </w:r>
      <w:r>
        <w:rPr/>
        <w:t>east</w:t>
      </w:r>
      <w:r>
        <w:rPr>
          <w:spacing w:val="-7"/>
        </w:rPr>
        <w:t> </w:t>
      </w:r>
      <w:r>
        <w:rPr/>
        <w:t>part</w:t>
      </w:r>
      <w:r>
        <w:rPr>
          <w:spacing w:val="-8"/>
        </w:rPr>
        <w:t> </w:t>
      </w:r>
      <w:r>
        <w:rPr/>
        <w:t>of</w:t>
      </w:r>
      <w:r>
        <w:rPr>
          <w:spacing w:val="-3"/>
        </w:rPr>
        <w:t> </w:t>
      </w:r>
      <w:r>
        <w:rPr/>
        <w:t>the</w:t>
      </w:r>
      <w:r>
        <w:rPr>
          <w:spacing w:val="-8"/>
        </w:rPr>
        <w:t> </w:t>
      </w:r>
      <w:r>
        <w:rPr/>
        <w:t>city</w:t>
      </w:r>
      <w:r>
        <w:rPr>
          <w:spacing w:val="-12"/>
        </w:rPr>
        <w:t> </w:t>
      </w:r>
      <w:r>
        <w:rPr/>
        <w:t>is</w:t>
      </w:r>
      <w:r>
        <w:rPr>
          <w:spacing w:val="-4"/>
        </w:rPr>
        <w:t> </w:t>
      </w:r>
      <w:r>
        <w:rPr/>
        <w:t>river</w:t>
      </w:r>
      <w:r>
        <w:rPr>
          <w:spacing w:val="-8"/>
        </w:rPr>
        <w:t> </w:t>
      </w:r>
      <w:r>
        <w:rPr/>
        <w:t>Chanchaga</w:t>
      </w:r>
      <w:r>
        <w:rPr>
          <w:spacing w:val="-8"/>
        </w:rPr>
        <w:t> </w:t>
      </w:r>
      <w:r>
        <w:rPr/>
        <w:t>which</w:t>
      </w:r>
      <w:r>
        <w:rPr>
          <w:spacing w:val="-7"/>
        </w:rPr>
        <w:t> </w:t>
      </w:r>
      <w:r>
        <w:rPr/>
        <w:t>takes</w:t>
      </w:r>
      <w:r>
        <w:rPr>
          <w:spacing w:val="-7"/>
        </w:rPr>
        <w:t> </w:t>
      </w:r>
      <w:r>
        <w:rPr/>
        <w:t>its source</w:t>
      </w:r>
      <w:r>
        <w:rPr>
          <w:spacing w:val="-15"/>
        </w:rPr>
        <w:t> </w:t>
      </w:r>
      <w:r>
        <w:rPr/>
        <w:t>from</w:t>
      </w:r>
      <w:r>
        <w:rPr>
          <w:spacing w:val="-15"/>
        </w:rPr>
        <w:t> </w:t>
      </w:r>
      <w:r>
        <w:rPr/>
        <w:t>the</w:t>
      </w:r>
      <w:r>
        <w:rPr>
          <w:spacing w:val="-15"/>
        </w:rPr>
        <w:t> </w:t>
      </w:r>
      <w:r>
        <w:rPr/>
        <w:t>north</w:t>
      </w:r>
      <w:r>
        <w:rPr>
          <w:spacing w:val="-15"/>
        </w:rPr>
        <w:t> </w:t>
      </w:r>
      <w:r>
        <w:rPr/>
        <w:t>central</w:t>
      </w:r>
      <w:r>
        <w:rPr>
          <w:spacing w:val="-15"/>
        </w:rPr>
        <w:t> </w:t>
      </w:r>
      <w:r>
        <w:rPr/>
        <w:t>highlands</w:t>
      </w:r>
      <w:r>
        <w:rPr>
          <w:spacing w:val="-13"/>
        </w:rPr>
        <w:t> </w:t>
      </w:r>
      <w:r>
        <w:rPr/>
        <w:t>and</w:t>
      </w:r>
      <w:r>
        <w:rPr>
          <w:spacing w:val="-15"/>
        </w:rPr>
        <w:t> </w:t>
      </w:r>
      <w:r>
        <w:rPr/>
        <w:t>thereafter</w:t>
      </w:r>
      <w:r>
        <w:rPr>
          <w:spacing w:val="-15"/>
        </w:rPr>
        <w:t> </w:t>
      </w:r>
      <w:r>
        <w:rPr/>
        <w:t>flowing</w:t>
      </w:r>
      <w:r>
        <w:rPr>
          <w:spacing w:val="-15"/>
        </w:rPr>
        <w:t> </w:t>
      </w:r>
      <w:r>
        <w:rPr/>
        <w:t>to</w:t>
      </w:r>
      <w:r>
        <w:rPr>
          <w:spacing w:val="-15"/>
        </w:rPr>
        <w:t> </w:t>
      </w:r>
      <w:r>
        <w:rPr/>
        <w:t>meet</w:t>
      </w:r>
      <w:r>
        <w:rPr>
          <w:spacing w:val="-13"/>
        </w:rPr>
        <w:t> </w:t>
      </w:r>
      <w:r>
        <w:rPr/>
        <w:t>river</w:t>
      </w:r>
      <w:r>
        <w:rPr>
          <w:spacing w:val="-14"/>
        </w:rPr>
        <w:t> </w:t>
      </w:r>
      <w:r>
        <w:rPr/>
        <w:t>Kaduna</w:t>
      </w:r>
      <w:r>
        <w:rPr>
          <w:spacing w:val="-14"/>
        </w:rPr>
        <w:t> </w:t>
      </w:r>
      <w:r>
        <w:rPr/>
        <w:t>at</w:t>
      </w:r>
      <w:r>
        <w:rPr>
          <w:spacing w:val="-15"/>
        </w:rPr>
        <w:t> </w:t>
      </w:r>
      <w:r>
        <w:rPr/>
        <w:t>a</w:t>
      </w:r>
      <w:r>
        <w:rPr>
          <w:spacing w:val="-15"/>
        </w:rPr>
        <w:t> </w:t>
      </w:r>
      <w:r>
        <w:rPr/>
        <w:t>point south west of Minna. The major tributaries of river Chanchaga are: rivers Wana, Shaho, Godina</w:t>
      </w:r>
      <w:r>
        <w:rPr>
          <w:spacing w:val="-7"/>
        </w:rPr>
        <w:t> </w:t>
      </w:r>
      <w:r>
        <w:rPr/>
        <w:t>and</w:t>
      </w:r>
      <w:r>
        <w:rPr>
          <w:spacing w:val="-6"/>
        </w:rPr>
        <w:t> </w:t>
      </w:r>
      <w:r>
        <w:rPr/>
        <w:t>Dunalape,</w:t>
      </w:r>
      <w:r>
        <w:rPr>
          <w:spacing w:val="-6"/>
        </w:rPr>
        <w:t> </w:t>
      </w:r>
      <w:r>
        <w:rPr/>
        <w:t>which</w:t>
      </w:r>
      <w:r>
        <w:rPr>
          <w:spacing w:val="-6"/>
        </w:rPr>
        <w:t> </w:t>
      </w:r>
      <w:r>
        <w:rPr/>
        <w:t>flow</w:t>
      </w:r>
      <w:r>
        <w:rPr>
          <w:spacing w:val="-7"/>
        </w:rPr>
        <w:t> </w:t>
      </w:r>
      <w:r>
        <w:rPr/>
        <w:t>from</w:t>
      </w:r>
      <w:r>
        <w:rPr>
          <w:spacing w:val="-5"/>
        </w:rPr>
        <w:t> </w:t>
      </w:r>
      <w:r>
        <w:rPr/>
        <w:t>their</w:t>
      </w:r>
      <w:r>
        <w:rPr>
          <w:spacing w:val="-7"/>
        </w:rPr>
        <w:t> </w:t>
      </w:r>
      <w:r>
        <w:rPr/>
        <w:t>respective</w:t>
      </w:r>
      <w:r>
        <w:rPr>
          <w:spacing w:val="-7"/>
        </w:rPr>
        <w:t> </w:t>
      </w:r>
      <w:r>
        <w:rPr/>
        <w:t>highlands</w:t>
      </w:r>
      <w:r>
        <w:rPr>
          <w:spacing w:val="-6"/>
        </w:rPr>
        <w:t> </w:t>
      </w:r>
      <w:r>
        <w:rPr/>
        <w:t>and</w:t>
      </w:r>
      <w:r>
        <w:rPr>
          <w:spacing w:val="-6"/>
        </w:rPr>
        <w:t> </w:t>
      </w:r>
      <w:r>
        <w:rPr/>
        <w:t>isolated</w:t>
      </w:r>
      <w:r>
        <w:rPr>
          <w:spacing w:val="-6"/>
        </w:rPr>
        <w:t> </w:t>
      </w:r>
      <w:r>
        <w:rPr/>
        <w:t>areas</w:t>
      </w:r>
      <w:r>
        <w:rPr>
          <w:spacing w:val="-6"/>
        </w:rPr>
        <w:t> </w:t>
      </w:r>
      <w:r>
        <w:rPr/>
        <w:t>such</w:t>
      </w:r>
      <w:r>
        <w:rPr>
          <w:spacing w:val="-6"/>
        </w:rPr>
        <w:t> </w:t>
      </w:r>
      <w:r>
        <w:rPr/>
        <w:t>as Gwam,</w:t>
      </w:r>
      <w:r>
        <w:rPr>
          <w:spacing w:val="-3"/>
        </w:rPr>
        <w:t> </w:t>
      </w:r>
      <w:r>
        <w:rPr/>
        <w:t>Kpewi,</w:t>
      </w:r>
      <w:r>
        <w:rPr>
          <w:spacing w:val="-1"/>
        </w:rPr>
        <w:t> </w:t>
      </w:r>
      <w:r>
        <w:rPr/>
        <w:t>Zuru</w:t>
      </w:r>
      <w:r>
        <w:rPr>
          <w:spacing w:val="-3"/>
        </w:rPr>
        <w:t> </w:t>
      </w:r>
      <w:r>
        <w:rPr/>
        <w:t>and</w:t>
      </w:r>
      <w:r>
        <w:rPr>
          <w:spacing w:val="-1"/>
        </w:rPr>
        <w:t> </w:t>
      </w:r>
      <w:r>
        <w:rPr/>
        <w:t>Tsauran</w:t>
      </w:r>
      <w:r>
        <w:rPr>
          <w:spacing w:val="-3"/>
        </w:rPr>
        <w:t> </w:t>
      </w:r>
      <w:r>
        <w:rPr/>
        <w:t>Nabi</w:t>
      </w:r>
      <w:r>
        <w:rPr>
          <w:spacing w:val="-3"/>
        </w:rPr>
        <w:t> </w:t>
      </w:r>
      <w:r>
        <w:rPr/>
        <w:t>hills</w:t>
      </w:r>
      <w:r>
        <w:rPr>
          <w:spacing w:val="-3"/>
        </w:rPr>
        <w:t> </w:t>
      </w:r>
      <w:r>
        <w:rPr/>
        <w:t>(Dalil</w:t>
      </w:r>
      <w:r>
        <w:rPr>
          <w:spacing w:val="-1"/>
        </w:rPr>
        <w:t> </w:t>
      </w:r>
      <w:r>
        <w:rPr>
          <w:i/>
        </w:rPr>
        <w:t>et</w:t>
      </w:r>
      <w:r>
        <w:rPr>
          <w:i/>
          <w:spacing w:val="-3"/>
        </w:rPr>
        <w:t> </w:t>
      </w:r>
      <w:r>
        <w:rPr>
          <w:i/>
        </w:rPr>
        <w:t>al.</w:t>
      </w:r>
      <w:r>
        <w:rPr/>
        <w:t>,</w:t>
      </w:r>
      <w:r>
        <w:rPr>
          <w:spacing w:val="-3"/>
        </w:rPr>
        <w:t> </w:t>
      </w:r>
      <w:r>
        <w:rPr/>
        <w:t>2015).</w:t>
      </w:r>
      <w:r>
        <w:rPr>
          <w:spacing w:val="-3"/>
        </w:rPr>
        <w:t> </w:t>
      </w:r>
      <w:r>
        <w:rPr/>
        <w:t>The</w:t>
      </w:r>
      <w:r>
        <w:rPr>
          <w:spacing w:val="-5"/>
        </w:rPr>
        <w:t> </w:t>
      </w:r>
      <w:r>
        <w:rPr/>
        <w:t>lower</w:t>
      </w:r>
      <w:r>
        <w:rPr>
          <w:spacing w:val="-3"/>
        </w:rPr>
        <w:t> </w:t>
      </w:r>
      <w:r>
        <w:rPr/>
        <w:t>part</w:t>
      </w:r>
      <w:r>
        <w:rPr>
          <w:spacing w:val="-3"/>
        </w:rPr>
        <w:t> </w:t>
      </w:r>
      <w:r>
        <w:rPr/>
        <w:t>of</w:t>
      </w:r>
      <w:r>
        <w:rPr>
          <w:spacing w:val="-4"/>
        </w:rPr>
        <w:t> </w:t>
      </w:r>
      <w:r>
        <w:rPr/>
        <w:t>the</w:t>
      </w:r>
      <w:r>
        <w:rPr>
          <w:spacing w:val="-3"/>
        </w:rPr>
        <w:t> </w:t>
      </w:r>
      <w:r>
        <w:rPr/>
        <w:t>city</w:t>
      </w:r>
      <w:r>
        <w:rPr>
          <w:spacing w:val="-8"/>
        </w:rPr>
        <w:t> </w:t>
      </w:r>
      <w:r>
        <w:rPr/>
        <w:t>is slice up by river Suka and its tributaries providing flood plains for rice cultivation (Sanusi, </w:t>
      </w:r>
      <w:r>
        <w:rPr>
          <w:spacing w:val="-2"/>
        </w:rPr>
        <w:t>2006).</w:t>
      </w:r>
    </w:p>
    <w:p>
      <w:pPr>
        <w:spacing w:after="0" w:line="480" w:lineRule="auto"/>
        <w:jc w:val="both"/>
        <w:sectPr>
          <w:pgSz w:w="12240" w:h="15840"/>
          <w:pgMar w:header="0" w:footer="1068" w:top="1340" w:bottom="1260" w:left="1720" w:right="1300"/>
        </w:sectPr>
      </w:pPr>
    </w:p>
    <w:p>
      <w:pPr>
        <w:pStyle w:val="BodyText"/>
        <w:spacing w:line="480" w:lineRule="auto" w:before="63"/>
        <w:ind w:left="267" w:right="106"/>
        <w:jc w:val="both"/>
      </w:pPr>
      <w:r>
        <w:rPr/>
        <w:t>The</w:t>
      </w:r>
      <w:r>
        <w:rPr>
          <w:spacing w:val="-1"/>
        </w:rPr>
        <w:t> </w:t>
      </w:r>
      <w:r>
        <w:rPr/>
        <w:t>city</w:t>
      </w:r>
      <w:r>
        <w:rPr>
          <w:spacing w:val="-4"/>
        </w:rPr>
        <w:t> </w:t>
      </w:r>
      <w:r>
        <w:rPr/>
        <w:t>is however drained by</w:t>
      </w:r>
      <w:r>
        <w:rPr>
          <w:spacing w:val="-4"/>
        </w:rPr>
        <w:t> </w:t>
      </w:r>
      <w:r>
        <w:rPr/>
        <w:t>many</w:t>
      </w:r>
      <w:r>
        <w:rPr>
          <w:spacing w:val="-2"/>
        </w:rPr>
        <w:t> </w:t>
      </w:r>
      <w:r>
        <w:rPr/>
        <w:t>drainage channels with a major drainage outlet fed by other</w:t>
      </w:r>
      <w:r>
        <w:rPr>
          <w:spacing w:val="-14"/>
        </w:rPr>
        <w:t> </w:t>
      </w:r>
      <w:r>
        <w:rPr/>
        <w:t>secondary</w:t>
      </w:r>
      <w:r>
        <w:rPr>
          <w:spacing w:val="-14"/>
        </w:rPr>
        <w:t> </w:t>
      </w:r>
      <w:r>
        <w:rPr/>
        <w:t>drainages,</w:t>
      </w:r>
      <w:r>
        <w:rPr>
          <w:spacing w:val="-12"/>
        </w:rPr>
        <w:t> </w:t>
      </w:r>
      <w:r>
        <w:rPr/>
        <w:t>flowing</w:t>
      </w:r>
      <w:r>
        <w:rPr>
          <w:spacing w:val="-12"/>
        </w:rPr>
        <w:t> </w:t>
      </w:r>
      <w:r>
        <w:rPr/>
        <w:t>from</w:t>
      </w:r>
      <w:r>
        <w:rPr>
          <w:spacing w:val="-9"/>
        </w:rPr>
        <w:t> </w:t>
      </w:r>
      <w:r>
        <w:rPr/>
        <w:t>the</w:t>
      </w:r>
      <w:r>
        <w:rPr>
          <w:spacing w:val="-10"/>
        </w:rPr>
        <w:t> </w:t>
      </w:r>
      <w:r>
        <w:rPr/>
        <w:t>centre</w:t>
      </w:r>
      <w:r>
        <w:rPr>
          <w:spacing w:val="-11"/>
        </w:rPr>
        <w:t> </w:t>
      </w:r>
      <w:r>
        <w:rPr/>
        <w:t>of</w:t>
      </w:r>
      <w:r>
        <w:rPr>
          <w:spacing w:val="-13"/>
        </w:rPr>
        <w:t> </w:t>
      </w:r>
      <w:r>
        <w:rPr/>
        <w:t>the</w:t>
      </w:r>
      <w:r>
        <w:rPr>
          <w:spacing w:val="-10"/>
        </w:rPr>
        <w:t> </w:t>
      </w:r>
      <w:r>
        <w:rPr/>
        <w:t>city</w:t>
      </w:r>
      <w:r>
        <w:rPr>
          <w:spacing w:val="-15"/>
        </w:rPr>
        <w:t> </w:t>
      </w:r>
      <w:r>
        <w:rPr/>
        <w:t>towards</w:t>
      </w:r>
      <w:r>
        <w:rPr>
          <w:spacing w:val="-13"/>
        </w:rPr>
        <w:t> </w:t>
      </w:r>
      <w:r>
        <w:rPr/>
        <w:t>the</w:t>
      </w:r>
      <w:r>
        <w:rPr>
          <w:spacing w:val="-10"/>
        </w:rPr>
        <w:t> </w:t>
      </w:r>
      <w:r>
        <w:rPr/>
        <w:t>southwest</w:t>
      </w:r>
      <w:r>
        <w:rPr>
          <w:spacing w:val="-11"/>
        </w:rPr>
        <w:t> </w:t>
      </w:r>
      <w:r>
        <w:rPr/>
        <w:t>part</w:t>
      </w:r>
      <w:r>
        <w:rPr>
          <w:spacing w:val="-10"/>
        </w:rPr>
        <w:t> </w:t>
      </w:r>
      <w:r>
        <w:rPr/>
        <w:t>and outskirt of the city.</w:t>
      </w:r>
    </w:p>
    <w:p>
      <w:pPr>
        <w:spacing w:after="0" w:line="480" w:lineRule="auto"/>
        <w:jc w:val="both"/>
        <w:sectPr>
          <w:pgSz w:w="12240" w:h="15840"/>
          <w:pgMar w:header="0" w:footer="1068" w:top="1340" w:bottom="1260" w:left="1720" w:right="13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6"/>
      </w:pPr>
    </w:p>
    <w:p>
      <w:pPr>
        <w:pStyle w:val="Heading1"/>
        <w:spacing w:line="274" w:lineRule="exact"/>
        <w:ind w:left="1" w:right="1"/>
        <w:jc w:val="center"/>
      </w:pPr>
      <w:r>
        <w:rPr/>
        <mc:AlternateContent>
          <mc:Choice Requires="wps">
            <w:drawing>
              <wp:anchor distT="0" distB="0" distL="0" distR="0" allowOverlap="1" layoutInCell="1" locked="0" behindDoc="0" simplePos="0" relativeHeight="15728640">
                <wp:simplePos x="0" y="0"/>
                <wp:positionH relativeFrom="page">
                  <wp:posOffset>1382267</wp:posOffset>
                </wp:positionH>
                <wp:positionV relativeFrom="paragraph">
                  <wp:posOffset>-5018847</wp:posOffset>
                </wp:positionV>
                <wp:extent cx="7298690" cy="501904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298690" cy="5019040"/>
                          <a:chExt cx="7298690" cy="5019040"/>
                        </a:xfrm>
                      </wpg:grpSpPr>
                      <pic:pic>
                        <pic:nvPicPr>
                          <pic:cNvPr id="4" name="Image 4" descr="C:\Users\hp\Desktop\b.tech project\maps\nigeria_niger.jpg"/>
                          <pic:cNvPicPr/>
                        </pic:nvPicPr>
                        <pic:blipFill>
                          <a:blip r:embed="rId7" cstate="print"/>
                          <a:stretch>
                            <a:fillRect/>
                          </a:stretch>
                        </pic:blipFill>
                        <pic:spPr>
                          <a:xfrm>
                            <a:off x="121146" y="88277"/>
                            <a:ext cx="7096871" cy="4752952"/>
                          </a:xfrm>
                          <a:prstGeom prst="rect">
                            <a:avLst/>
                          </a:prstGeom>
                        </pic:spPr>
                      </pic:pic>
                      <wps:wsp>
                        <wps:cNvPr id="5" name="Graphic 5"/>
                        <wps:cNvSpPr/>
                        <wps:spPr>
                          <a:xfrm>
                            <a:off x="4572" y="4572"/>
                            <a:ext cx="7289800" cy="5009515"/>
                          </a:xfrm>
                          <a:custGeom>
                            <a:avLst/>
                            <a:gdLst/>
                            <a:ahLst/>
                            <a:cxnLst/>
                            <a:rect l="l" t="t" r="r" b="b"/>
                            <a:pathLst>
                              <a:path w="7289800" h="5009515">
                                <a:moveTo>
                                  <a:pt x="0" y="5009388"/>
                                </a:moveTo>
                                <a:lnTo>
                                  <a:pt x="7289292" y="5009388"/>
                                </a:lnTo>
                                <a:lnTo>
                                  <a:pt x="7289292" y="0"/>
                                </a:lnTo>
                                <a:lnTo>
                                  <a:pt x="0" y="0"/>
                                </a:lnTo>
                                <a:lnTo>
                                  <a:pt x="0" y="50093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839996pt;margin-top:-395.184845pt;width:574.7pt;height:395.2pt;mso-position-horizontal-relative:page;mso-position-vertical-relative:paragraph;z-index:15728640" id="docshapegroup3" coordorigin="2177,-7904" coordsize="11494,7904">
                <v:shape style="position:absolute;left:2367;top:-7765;width:11177;height:7485" type="#_x0000_t75" id="docshape4" alt="C:\Users\hp\Desktop\b.tech project\maps\nigeria_niger.jpg" stroked="false">
                  <v:imagedata r:id="rId7" o:title=""/>
                </v:shape>
                <v:rect style="position:absolute;left:2184;top:-7897;width:11480;height:7889" id="docshape5" filled="false" stroked="true" strokeweight=".72pt" strokecolor="#000000">
                  <v:stroke dashstyle="solid"/>
                </v:rect>
                <w10:wrap type="none"/>
              </v:group>
            </w:pict>
          </mc:Fallback>
        </mc:AlternateContent>
      </w:r>
      <w:r>
        <w:rPr/>
        <w:t>Figure</w:t>
      </w:r>
      <w:r>
        <w:rPr>
          <w:spacing w:val="-5"/>
        </w:rPr>
        <w:t> </w:t>
      </w:r>
      <w:r>
        <w:rPr/>
        <w:t>1.1:</w:t>
      </w:r>
      <w:r>
        <w:rPr>
          <w:spacing w:val="-1"/>
        </w:rPr>
        <w:t> </w:t>
      </w:r>
      <w:r>
        <w:rPr/>
        <w:t>Minna</w:t>
      </w:r>
      <w:r>
        <w:rPr>
          <w:spacing w:val="-1"/>
        </w:rPr>
        <w:t> </w:t>
      </w:r>
      <w:r>
        <w:rPr/>
        <w:t>in Niger</w:t>
      </w:r>
      <w:r>
        <w:rPr>
          <w:spacing w:val="-2"/>
        </w:rPr>
        <w:t> State</w:t>
      </w:r>
    </w:p>
    <w:p>
      <w:pPr>
        <w:pStyle w:val="BodyText"/>
        <w:spacing w:line="274" w:lineRule="exact"/>
        <w:ind w:right="1"/>
        <w:jc w:val="center"/>
      </w:pPr>
      <w:r>
        <w:rPr/>
        <w:t>Source:</w:t>
      </w:r>
      <w:r>
        <w:rPr>
          <w:spacing w:val="-2"/>
        </w:rPr>
        <w:t> </w:t>
      </w:r>
      <w:r>
        <w:rPr/>
        <w:t>Source:</w:t>
      </w:r>
      <w:r>
        <w:rPr>
          <w:spacing w:val="-1"/>
        </w:rPr>
        <w:t> </w:t>
      </w:r>
      <w:r>
        <w:rPr/>
        <w:t>Digitized</w:t>
      </w:r>
      <w:r>
        <w:rPr>
          <w:spacing w:val="-1"/>
        </w:rPr>
        <w:t> </w:t>
      </w:r>
      <w:r>
        <w:rPr/>
        <w:t>by</w:t>
      </w:r>
      <w:r>
        <w:rPr>
          <w:spacing w:val="-5"/>
        </w:rPr>
        <w:t> </w:t>
      </w:r>
      <w:r>
        <w:rPr/>
        <w:t>the</w:t>
      </w:r>
      <w:r>
        <w:rPr>
          <w:spacing w:val="-1"/>
        </w:rPr>
        <w:t> </w:t>
      </w:r>
      <w:r>
        <w:rPr>
          <w:spacing w:val="-2"/>
        </w:rPr>
        <w:t>Author</w:t>
      </w:r>
    </w:p>
    <w:p>
      <w:pPr>
        <w:spacing w:after="0" w:line="274" w:lineRule="exact"/>
        <w:jc w:val="center"/>
        <w:sectPr>
          <w:footerReference w:type="default" r:id="rId6"/>
          <w:pgSz w:w="15840" w:h="12240" w:orient="landscape"/>
          <w:pgMar w:header="0" w:footer="1068" w:top="1380" w:bottom="1260" w:left="2260" w:right="2260"/>
        </w:sectPr>
      </w:pPr>
    </w:p>
    <w:p>
      <w:pPr>
        <w:pStyle w:val="BodyText"/>
        <w:spacing w:before="7"/>
        <w:rPr>
          <w:sz w:val="13"/>
        </w:rPr>
      </w:pPr>
    </w:p>
    <w:p>
      <w:pPr>
        <w:pStyle w:val="BodyText"/>
        <w:ind w:left="280"/>
        <w:rPr>
          <w:sz w:val="20"/>
        </w:rPr>
      </w:pPr>
      <w:r>
        <w:rPr>
          <w:sz w:val="20"/>
        </w:rPr>
        <mc:AlternateContent>
          <mc:Choice Requires="wps">
            <w:drawing>
              <wp:inline distT="0" distB="0" distL="0" distR="0">
                <wp:extent cx="5626735" cy="7381240"/>
                <wp:effectExtent l="0" t="0" r="0" b="634"/>
                <wp:docPr id="7" name="Group 7"/>
                <wp:cNvGraphicFramePr>
                  <a:graphicFrameLocks/>
                </wp:cNvGraphicFramePr>
                <a:graphic>
                  <a:graphicData uri="http://schemas.microsoft.com/office/word/2010/wordprocessingGroup">
                    <wpg:wgp>
                      <wpg:cNvPr id="7" name="Group 7"/>
                      <wpg:cNvGrpSpPr/>
                      <wpg:grpSpPr>
                        <a:xfrm>
                          <a:off x="0" y="0"/>
                          <a:ext cx="5626735" cy="7381240"/>
                          <a:chExt cx="5626735" cy="7381240"/>
                        </a:xfrm>
                      </wpg:grpSpPr>
                      <pic:pic>
                        <pic:nvPicPr>
                          <pic:cNvPr id="8" name="Image 8" descr="C:\Users\USER\Documents\Arc 300\Rexx\Ojetunde.jpg"/>
                          <pic:cNvPicPr/>
                        </pic:nvPicPr>
                        <pic:blipFill>
                          <a:blip r:embed="rId9" cstate="print"/>
                          <a:stretch>
                            <a:fillRect/>
                          </a:stretch>
                        </pic:blipFill>
                        <pic:spPr>
                          <a:xfrm>
                            <a:off x="142180" y="144079"/>
                            <a:ext cx="5387978" cy="7084138"/>
                          </a:xfrm>
                          <a:prstGeom prst="rect">
                            <a:avLst/>
                          </a:prstGeom>
                        </pic:spPr>
                      </pic:pic>
                      <wps:wsp>
                        <wps:cNvPr id="9" name="Graphic 9"/>
                        <wps:cNvSpPr/>
                        <wps:spPr>
                          <a:xfrm>
                            <a:off x="4572" y="4572"/>
                            <a:ext cx="5617845" cy="7371715"/>
                          </a:xfrm>
                          <a:custGeom>
                            <a:avLst/>
                            <a:gdLst/>
                            <a:ahLst/>
                            <a:cxnLst/>
                            <a:rect l="l" t="t" r="r" b="b"/>
                            <a:pathLst>
                              <a:path w="5617845" h="7371715">
                                <a:moveTo>
                                  <a:pt x="0" y="7371588"/>
                                </a:moveTo>
                                <a:lnTo>
                                  <a:pt x="5617464" y="7371588"/>
                                </a:lnTo>
                                <a:lnTo>
                                  <a:pt x="5617464" y="0"/>
                                </a:lnTo>
                                <a:lnTo>
                                  <a:pt x="0" y="0"/>
                                </a:lnTo>
                                <a:lnTo>
                                  <a:pt x="0" y="73715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3.05pt;height:581.2pt;mso-position-horizontal-relative:char;mso-position-vertical-relative:line" id="docshapegroup7" coordorigin="0,0" coordsize="8861,11624">
                <v:shape style="position:absolute;left:223;top:226;width:8485;height:11157" type="#_x0000_t75" id="docshape8" alt="C:\Users\USER\Documents\Arc 300\Rexx\Ojetunde.jpg" stroked="false">
                  <v:imagedata r:id="rId9" o:title=""/>
                </v:shape>
                <v:rect style="position:absolute;left:7;top:7;width:8847;height:11609" id="docshape9" filled="false" stroked="true" strokeweight=".72pt" strokecolor="#000000">
                  <v:stroke dashstyle="solid"/>
                </v:rect>
              </v:group>
            </w:pict>
          </mc:Fallback>
        </mc:AlternateContent>
      </w:r>
      <w:r>
        <w:rPr>
          <w:sz w:val="20"/>
        </w:rPr>
      </w:r>
    </w:p>
    <w:p>
      <w:pPr>
        <w:pStyle w:val="Heading1"/>
        <w:spacing w:line="253" w:lineRule="exact"/>
        <w:ind w:left="9" w:right="470"/>
        <w:jc w:val="center"/>
      </w:pPr>
      <w:r>
        <w:rPr/>
        <w:t>Figure</w:t>
      </w:r>
      <w:r>
        <w:rPr>
          <w:spacing w:val="-2"/>
        </w:rPr>
        <w:t> </w:t>
      </w:r>
      <w:r>
        <w:rPr/>
        <w:t>1.2:</w:t>
      </w:r>
      <w:r>
        <w:rPr>
          <w:spacing w:val="-1"/>
        </w:rPr>
        <w:t> </w:t>
      </w:r>
      <w:r>
        <w:rPr/>
        <w:t>Minna </w:t>
      </w:r>
      <w:r>
        <w:rPr>
          <w:spacing w:val="-2"/>
        </w:rPr>
        <w:t>Neighbourhoods</w:t>
      </w:r>
    </w:p>
    <w:p>
      <w:pPr>
        <w:pStyle w:val="BodyText"/>
        <w:spacing w:line="274" w:lineRule="exact"/>
        <w:ind w:left="9" w:right="472"/>
        <w:jc w:val="center"/>
      </w:pPr>
      <w:r>
        <w:rPr/>
        <w:t>Source:</w:t>
      </w:r>
      <w:r>
        <w:rPr>
          <w:spacing w:val="-1"/>
        </w:rPr>
        <w:t> </w:t>
      </w:r>
      <w:r>
        <w:rPr/>
        <w:t>Digitized</w:t>
      </w:r>
      <w:r>
        <w:rPr>
          <w:spacing w:val="-1"/>
        </w:rPr>
        <w:t> </w:t>
      </w:r>
      <w:r>
        <w:rPr/>
        <w:t>by</w:t>
      </w:r>
      <w:r>
        <w:rPr>
          <w:spacing w:val="-5"/>
        </w:rPr>
        <w:t> </w:t>
      </w:r>
      <w:r>
        <w:rPr/>
        <w:t>the</w:t>
      </w:r>
      <w:r>
        <w:rPr>
          <w:spacing w:val="1"/>
        </w:rPr>
        <w:t> </w:t>
      </w:r>
      <w:r>
        <w:rPr>
          <w:spacing w:val="-2"/>
        </w:rPr>
        <w:t>Author</w:t>
      </w:r>
    </w:p>
    <w:p>
      <w:pPr>
        <w:spacing w:after="0" w:line="274" w:lineRule="exact"/>
        <w:jc w:val="center"/>
        <w:sectPr>
          <w:footerReference w:type="default" r:id="rId8"/>
          <w:pgSz w:w="12240" w:h="15840"/>
          <w:pgMar w:header="0" w:footer="1068" w:top="1820" w:bottom="1260" w:left="1720" w:right="680"/>
          <w:pgNumType w:start="14"/>
        </w:sectPr>
      </w:pPr>
    </w:p>
    <w:p>
      <w:pPr>
        <w:pStyle w:val="BodyText"/>
        <w:spacing w:line="480" w:lineRule="auto" w:before="63"/>
        <w:ind w:left="267" w:right="726"/>
        <w:jc w:val="both"/>
      </w:pPr>
      <w:r>
        <w:rPr/>
        <w:t>The hydro-geological structure of the city depicts that the depth of water table in the underlying crystalline basement complex of gneiss and magnetite, lies on the average between 3m -15m (Offodile, 2002). The mean yield of borehole in this aquifer is estimated between 0.75 litres - 1.80 litres per second, at an average depth of 37.30m (Davis and de- Weist, 1970).</w:t>
      </w:r>
    </w:p>
    <w:p>
      <w:pPr>
        <w:pStyle w:val="Heading1"/>
        <w:numPr>
          <w:ilvl w:val="2"/>
          <w:numId w:val="1"/>
        </w:numPr>
        <w:tabs>
          <w:tab w:pos="1046" w:val="left" w:leader="none"/>
        </w:tabs>
        <w:spacing w:line="240" w:lineRule="auto" w:before="8" w:after="0"/>
        <w:ind w:left="1046" w:right="0" w:hanging="779"/>
        <w:jc w:val="both"/>
      </w:pPr>
      <w:r>
        <w:rPr/>
        <w:t>Climate</w:t>
      </w:r>
      <w:r>
        <w:rPr>
          <w:spacing w:val="-2"/>
        </w:rPr>
        <w:t> </w:t>
      </w:r>
      <w:r>
        <w:rPr/>
        <w:t>and</w:t>
      </w:r>
      <w:r>
        <w:rPr>
          <w:spacing w:val="1"/>
        </w:rPr>
        <w:t> </w:t>
      </w:r>
      <w:r>
        <w:rPr>
          <w:spacing w:val="-2"/>
        </w:rPr>
        <w:t>ecology</w:t>
      </w:r>
    </w:p>
    <w:p>
      <w:pPr>
        <w:pStyle w:val="BodyText"/>
        <w:spacing w:before="14"/>
        <w:rPr>
          <w:b/>
        </w:rPr>
      </w:pPr>
    </w:p>
    <w:p>
      <w:pPr>
        <w:pStyle w:val="BodyText"/>
        <w:spacing w:line="480" w:lineRule="auto"/>
        <w:ind w:left="267" w:right="725"/>
        <w:jc w:val="both"/>
      </w:pPr>
      <w:r>
        <w:rPr/>
        <w:t>Minna city falls within the temperate humid and is located within the hinterland and the Guinea</w:t>
      </w:r>
      <w:r>
        <w:rPr>
          <w:spacing w:val="-4"/>
        </w:rPr>
        <w:t> </w:t>
      </w:r>
      <w:r>
        <w:rPr/>
        <w:t>savannah</w:t>
      </w:r>
      <w:r>
        <w:rPr>
          <w:spacing w:val="-3"/>
        </w:rPr>
        <w:t> </w:t>
      </w:r>
      <w:r>
        <w:rPr/>
        <w:t>zone</w:t>
      </w:r>
      <w:r>
        <w:rPr>
          <w:spacing w:val="-4"/>
        </w:rPr>
        <w:t> </w:t>
      </w:r>
      <w:r>
        <w:rPr/>
        <w:t>of</w:t>
      </w:r>
      <w:r>
        <w:rPr>
          <w:spacing w:val="-2"/>
        </w:rPr>
        <w:t> </w:t>
      </w:r>
      <w:r>
        <w:rPr/>
        <w:t>Nigeria</w:t>
      </w:r>
      <w:r>
        <w:rPr>
          <w:spacing w:val="-3"/>
        </w:rPr>
        <w:t> </w:t>
      </w:r>
      <w:r>
        <w:rPr/>
        <w:t>(north</w:t>
      </w:r>
      <w:r>
        <w:rPr>
          <w:spacing w:val="-3"/>
        </w:rPr>
        <w:t> </w:t>
      </w:r>
      <w:r>
        <w:rPr/>
        <w:t>and</w:t>
      </w:r>
      <w:r>
        <w:rPr>
          <w:spacing w:val="-3"/>
        </w:rPr>
        <w:t> </w:t>
      </w:r>
      <w:r>
        <w:rPr/>
        <w:t>the</w:t>
      </w:r>
      <w:r>
        <w:rPr>
          <w:spacing w:val="-4"/>
        </w:rPr>
        <w:t> </w:t>
      </w:r>
      <w:r>
        <w:rPr/>
        <w:t>sub-equatorial</w:t>
      </w:r>
      <w:r>
        <w:rPr>
          <w:spacing w:val="-3"/>
        </w:rPr>
        <w:t> </w:t>
      </w:r>
      <w:r>
        <w:rPr/>
        <w:t>south</w:t>
      </w:r>
      <w:r>
        <w:rPr>
          <w:spacing w:val="-1"/>
        </w:rPr>
        <w:t> </w:t>
      </w:r>
      <w:r>
        <w:rPr/>
        <w:t>climate</w:t>
      </w:r>
      <w:r>
        <w:rPr>
          <w:spacing w:val="-4"/>
        </w:rPr>
        <w:t> </w:t>
      </w:r>
      <w:r>
        <w:rPr/>
        <w:t>regions)</w:t>
      </w:r>
      <w:r>
        <w:rPr>
          <w:spacing w:val="-3"/>
        </w:rPr>
        <w:t> </w:t>
      </w:r>
      <w:r>
        <w:rPr/>
        <w:t>based on koppen classification scheme (Simon </w:t>
      </w:r>
      <w:r>
        <w:rPr>
          <w:i/>
        </w:rPr>
        <w:t>et al.</w:t>
      </w:r>
      <w:r>
        <w:rPr/>
        <w:t>, 2018). Consequently, it has an average monthly temperature that varies significantly, with peak temperature between 40</w:t>
      </w:r>
      <w:r>
        <w:rPr>
          <w:vertAlign w:val="superscript"/>
        </w:rPr>
        <w:t>0</w:t>
      </w:r>
      <w:r>
        <w:rPr>
          <w:vertAlign w:val="baseline"/>
        </w:rPr>
        <w:t>C - 42</w:t>
      </w:r>
      <w:r>
        <w:rPr>
          <w:vertAlign w:val="superscript"/>
        </w:rPr>
        <w:t>0</w:t>
      </w:r>
      <w:r>
        <w:rPr>
          <w:vertAlign w:val="baseline"/>
        </w:rPr>
        <w:t>C around the months of February and March, and the lowest in August at 33</w:t>
      </w:r>
      <w:r>
        <w:rPr>
          <w:vertAlign w:val="superscript"/>
        </w:rPr>
        <w:t>0</w:t>
      </w:r>
      <w:r>
        <w:rPr>
          <w:vertAlign w:val="baseline"/>
        </w:rPr>
        <w:t>C. Minimum temperature levels below 30</w:t>
      </w:r>
      <w:r>
        <w:rPr>
          <w:vertAlign w:val="superscript"/>
        </w:rPr>
        <w:t>0</w:t>
      </w:r>
      <w:r>
        <w:rPr>
          <w:vertAlign w:val="baseline"/>
        </w:rPr>
        <w:t>C occur during harmattan periods, usually in December and January</w:t>
      </w:r>
      <w:r>
        <w:rPr>
          <w:spacing w:val="-15"/>
          <w:vertAlign w:val="baseline"/>
        </w:rPr>
        <w:t> </w:t>
      </w:r>
      <w:r>
        <w:rPr>
          <w:vertAlign w:val="baseline"/>
        </w:rPr>
        <w:t>of</w:t>
      </w:r>
      <w:r>
        <w:rPr>
          <w:spacing w:val="-15"/>
          <w:vertAlign w:val="baseline"/>
        </w:rPr>
        <w:t> </w:t>
      </w:r>
      <w:r>
        <w:rPr>
          <w:vertAlign w:val="baseline"/>
        </w:rPr>
        <w:t>the</w:t>
      </w:r>
      <w:r>
        <w:rPr>
          <w:spacing w:val="-15"/>
          <w:vertAlign w:val="baseline"/>
        </w:rPr>
        <w:t> </w:t>
      </w:r>
      <w:r>
        <w:rPr>
          <w:vertAlign w:val="baseline"/>
        </w:rPr>
        <w:t>next</w:t>
      </w:r>
      <w:r>
        <w:rPr>
          <w:spacing w:val="-15"/>
          <w:vertAlign w:val="baseline"/>
        </w:rPr>
        <w:t> </w:t>
      </w:r>
      <w:r>
        <w:rPr>
          <w:vertAlign w:val="baseline"/>
        </w:rPr>
        <w:t>year</w:t>
      </w:r>
      <w:r>
        <w:rPr>
          <w:spacing w:val="-15"/>
          <w:vertAlign w:val="baseline"/>
        </w:rPr>
        <w:t> </w:t>
      </w:r>
      <w:r>
        <w:rPr>
          <w:vertAlign w:val="baseline"/>
        </w:rPr>
        <w:t>(Dalil</w:t>
      </w:r>
      <w:r>
        <w:rPr>
          <w:spacing w:val="-15"/>
          <w:vertAlign w:val="baseline"/>
        </w:rPr>
        <w:t> </w:t>
      </w:r>
      <w:r>
        <w:rPr>
          <w:i/>
          <w:vertAlign w:val="baseline"/>
        </w:rPr>
        <w:t>et</w:t>
      </w:r>
      <w:r>
        <w:rPr>
          <w:i/>
          <w:spacing w:val="-14"/>
          <w:vertAlign w:val="baseline"/>
        </w:rPr>
        <w:t> </w:t>
      </w:r>
      <w:r>
        <w:rPr>
          <w:i/>
          <w:vertAlign w:val="baseline"/>
        </w:rPr>
        <w:t>al.</w:t>
      </w:r>
      <w:r>
        <w:rPr>
          <w:vertAlign w:val="baseline"/>
        </w:rPr>
        <w:t>,</w:t>
      </w:r>
      <w:r>
        <w:rPr>
          <w:spacing w:val="-14"/>
          <w:vertAlign w:val="baseline"/>
        </w:rPr>
        <w:t> </w:t>
      </w:r>
      <w:r>
        <w:rPr>
          <w:vertAlign w:val="baseline"/>
        </w:rPr>
        <w:t>2015).</w:t>
      </w:r>
      <w:r>
        <w:rPr>
          <w:spacing w:val="-14"/>
          <w:vertAlign w:val="baseline"/>
        </w:rPr>
        <w:t> </w:t>
      </w:r>
      <w:r>
        <w:rPr>
          <w:vertAlign w:val="baseline"/>
        </w:rPr>
        <w:t>Minna</w:t>
      </w:r>
      <w:r>
        <w:rPr>
          <w:spacing w:val="-15"/>
          <w:vertAlign w:val="baseline"/>
        </w:rPr>
        <w:t> </w:t>
      </w:r>
      <w:r>
        <w:rPr>
          <w:vertAlign w:val="baseline"/>
        </w:rPr>
        <w:t>city</w:t>
      </w:r>
      <w:r>
        <w:rPr>
          <w:spacing w:val="-15"/>
          <w:vertAlign w:val="baseline"/>
        </w:rPr>
        <w:t> </w:t>
      </w:r>
      <w:r>
        <w:rPr>
          <w:vertAlign w:val="baseline"/>
        </w:rPr>
        <w:t>received</w:t>
      </w:r>
      <w:r>
        <w:rPr>
          <w:spacing w:val="-14"/>
          <w:vertAlign w:val="baseline"/>
        </w:rPr>
        <w:t> </w:t>
      </w:r>
      <w:r>
        <w:rPr>
          <w:vertAlign w:val="baseline"/>
        </w:rPr>
        <w:t>an</w:t>
      </w:r>
      <w:r>
        <w:rPr>
          <w:spacing w:val="-14"/>
          <w:vertAlign w:val="baseline"/>
        </w:rPr>
        <w:t> </w:t>
      </w:r>
      <w:r>
        <w:rPr>
          <w:vertAlign w:val="baseline"/>
        </w:rPr>
        <w:t>annual</w:t>
      </w:r>
      <w:r>
        <w:rPr>
          <w:spacing w:val="-14"/>
          <w:vertAlign w:val="baseline"/>
        </w:rPr>
        <w:t> </w:t>
      </w:r>
      <w:r>
        <w:rPr>
          <w:vertAlign w:val="baseline"/>
        </w:rPr>
        <w:t>mean</w:t>
      </w:r>
      <w:r>
        <w:rPr>
          <w:spacing w:val="-14"/>
          <w:vertAlign w:val="baseline"/>
        </w:rPr>
        <w:t> </w:t>
      </w:r>
      <w:r>
        <w:rPr>
          <w:vertAlign w:val="baseline"/>
        </w:rPr>
        <w:t>precipitation level of 1300 mm and is characterized by a bimodal rainfall distribution which peaks at 300mm</w:t>
      </w:r>
      <w:r>
        <w:rPr>
          <w:spacing w:val="-15"/>
          <w:vertAlign w:val="baseline"/>
        </w:rPr>
        <w:t> </w:t>
      </w:r>
      <w:r>
        <w:rPr>
          <w:vertAlign w:val="baseline"/>
        </w:rPr>
        <w:t>in</w:t>
      </w:r>
      <w:r>
        <w:rPr>
          <w:spacing w:val="-15"/>
          <w:vertAlign w:val="baseline"/>
        </w:rPr>
        <w:t> </w:t>
      </w:r>
      <w:r>
        <w:rPr>
          <w:vertAlign w:val="baseline"/>
        </w:rPr>
        <w:t>September.</w:t>
      </w:r>
      <w:r>
        <w:rPr>
          <w:spacing w:val="-15"/>
          <w:vertAlign w:val="baseline"/>
        </w:rPr>
        <w:t> </w:t>
      </w:r>
      <w:r>
        <w:rPr>
          <w:vertAlign w:val="baseline"/>
        </w:rPr>
        <w:t>With</w:t>
      </w:r>
      <w:r>
        <w:rPr>
          <w:spacing w:val="-15"/>
          <w:vertAlign w:val="baseline"/>
        </w:rPr>
        <w:t> </w:t>
      </w:r>
      <w:r>
        <w:rPr>
          <w:vertAlign w:val="baseline"/>
        </w:rPr>
        <w:t>an</w:t>
      </w:r>
      <w:r>
        <w:rPr>
          <w:spacing w:val="-15"/>
          <w:vertAlign w:val="baseline"/>
        </w:rPr>
        <w:t> </w:t>
      </w:r>
      <w:r>
        <w:rPr>
          <w:vertAlign w:val="baseline"/>
        </w:rPr>
        <w:t>annual</w:t>
      </w:r>
      <w:r>
        <w:rPr>
          <w:spacing w:val="-15"/>
          <w:vertAlign w:val="baseline"/>
        </w:rPr>
        <w:t> </w:t>
      </w:r>
      <w:r>
        <w:rPr>
          <w:vertAlign w:val="baseline"/>
        </w:rPr>
        <w:t>rainfall</w:t>
      </w:r>
      <w:r>
        <w:rPr>
          <w:spacing w:val="-15"/>
          <w:vertAlign w:val="baseline"/>
        </w:rPr>
        <w:t> </w:t>
      </w:r>
      <w:r>
        <w:rPr>
          <w:vertAlign w:val="baseline"/>
        </w:rPr>
        <w:t>of</w:t>
      </w:r>
      <w:r>
        <w:rPr>
          <w:spacing w:val="-15"/>
          <w:vertAlign w:val="baseline"/>
        </w:rPr>
        <w:t> </w:t>
      </w:r>
      <w:r>
        <w:rPr>
          <w:vertAlign w:val="baseline"/>
        </w:rPr>
        <w:t>1334mm</w:t>
      </w:r>
      <w:r>
        <w:rPr>
          <w:spacing w:val="-15"/>
          <w:vertAlign w:val="baseline"/>
        </w:rPr>
        <w:t> </w:t>
      </w:r>
      <w:r>
        <w:rPr>
          <w:vertAlign w:val="baseline"/>
        </w:rPr>
        <w:t>(Abubakar,</w:t>
      </w:r>
      <w:r>
        <w:rPr>
          <w:spacing w:val="-15"/>
          <w:vertAlign w:val="baseline"/>
        </w:rPr>
        <w:t> </w:t>
      </w:r>
      <w:r>
        <w:rPr>
          <w:vertAlign w:val="baseline"/>
        </w:rPr>
        <w:t>2017),</w:t>
      </w:r>
      <w:r>
        <w:rPr>
          <w:spacing w:val="-15"/>
          <w:vertAlign w:val="baseline"/>
        </w:rPr>
        <w:t> </w:t>
      </w:r>
      <w:r>
        <w:rPr>
          <w:vertAlign w:val="baseline"/>
        </w:rPr>
        <w:t>the</w:t>
      </w:r>
      <w:r>
        <w:rPr>
          <w:spacing w:val="-15"/>
          <w:vertAlign w:val="baseline"/>
        </w:rPr>
        <w:t> </w:t>
      </w:r>
      <w:r>
        <w:rPr>
          <w:vertAlign w:val="baseline"/>
        </w:rPr>
        <w:t>rainy</w:t>
      </w:r>
      <w:r>
        <w:rPr>
          <w:spacing w:val="-15"/>
          <w:vertAlign w:val="baseline"/>
        </w:rPr>
        <w:t> </w:t>
      </w:r>
      <w:r>
        <w:rPr>
          <w:vertAlign w:val="baseline"/>
        </w:rPr>
        <w:t>season commences in the month of May and ends around October, while the dry season lasts from October</w:t>
      </w:r>
      <w:r>
        <w:rPr>
          <w:spacing w:val="-4"/>
          <w:vertAlign w:val="baseline"/>
        </w:rPr>
        <w:t> </w:t>
      </w:r>
      <w:r>
        <w:rPr>
          <w:vertAlign w:val="baseline"/>
        </w:rPr>
        <w:t>to</w:t>
      </w:r>
      <w:r>
        <w:rPr>
          <w:spacing w:val="-2"/>
          <w:vertAlign w:val="baseline"/>
        </w:rPr>
        <w:t> </w:t>
      </w:r>
      <w:r>
        <w:rPr>
          <w:vertAlign w:val="baseline"/>
        </w:rPr>
        <w:t>March.</w:t>
      </w:r>
      <w:r>
        <w:rPr>
          <w:spacing w:val="-2"/>
          <w:vertAlign w:val="baseline"/>
        </w:rPr>
        <w:t> </w:t>
      </w:r>
      <w:r>
        <w:rPr>
          <w:vertAlign w:val="baseline"/>
        </w:rPr>
        <w:t>The</w:t>
      </w:r>
      <w:r>
        <w:rPr>
          <w:spacing w:val="-4"/>
          <w:vertAlign w:val="baseline"/>
        </w:rPr>
        <w:t> </w:t>
      </w:r>
      <w:r>
        <w:rPr>
          <w:vertAlign w:val="baseline"/>
        </w:rPr>
        <w:t>variability</w:t>
      </w:r>
      <w:r>
        <w:rPr>
          <w:spacing w:val="-7"/>
          <w:vertAlign w:val="baseline"/>
        </w:rPr>
        <w:t> </w:t>
      </w:r>
      <w:r>
        <w:rPr>
          <w:vertAlign w:val="baseline"/>
        </w:rPr>
        <w:t>and</w:t>
      </w:r>
      <w:r>
        <w:rPr>
          <w:spacing w:val="-2"/>
          <w:vertAlign w:val="baseline"/>
        </w:rPr>
        <w:t> </w:t>
      </w:r>
      <w:r>
        <w:rPr>
          <w:vertAlign w:val="baseline"/>
        </w:rPr>
        <w:t>decline</w:t>
      </w:r>
      <w:r>
        <w:rPr>
          <w:spacing w:val="-3"/>
          <w:vertAlign w:val="baseline"/>
        </w:rPr>
        <w:t> </w:t>
      </w:r>
      <w:r>
        <w:rPr>
          <w:vertAlign w:val="baseline"/>
        </w:rPr>
        <w:t>in</w:t>
      </w:r>
      <w:r>
        <w:rPr>
          <w:spacing w:val="-2"/>
          <w:vertAlign w:val="baseline"/>
        </w:rPr>
        <w:t> </w:t>
      </w:r>
      <w:r>
        <w:rPr>
          <w:vertAlign w:val="baseline"/>
        </w:rPr>
        <w:t>rainfall</w:t>
      </w:r>
      <w:r>
        <w:rPr>
          <w:spacing w:val="-2"/>
          <w:vertAlign w:val="baseline"/>
        </w:rPr>
        <w:t> </w:t>
      </w:r>
      <w:r>
        <w:rPr>
          <w:vertAlign w:val="baseline"/>
        </w:rPr>
        <w:t>during</w:t>
      </w:r>
      <w:r>
        <w:rPr>
          <w:spacing w:val="-5"/>
          <w:vertAlign w:val="baseline"/>
        </w:rPr>
        <w:t> </w:t>
      </w:r>
      <w:r>
        <w:rPr>
          <w:vertAlign w:val="baseline"/>
        </w:rPr>
        <w:t>the</w:t>
      </w:r>
      <w:r>
        <w:rPr>
          <w:spacing w:val="-3"/>
          <w:vertAlign w:val="baseline"/>
        </w:rPr>
        <w:t> </w:t>
      </w:r>
      <w:r>
        <w:rPr>
          <w:vertAlign w:val="baseline"/>
        </w:rPr>
        <w:t>dry</w:t>
      </w:r>
      <w:r>
        <w:rPr>
          <w:spacing w:val="-7"/>
          <w:vertAlign w:val="baseline"/>
        </w:rPr>
        <w:t> </w:t>
      </w:r>
      <w:r>
        <w:rPr>
          <w:vertAlign w:val="baseline"/>
        </w:rPr>
        <w:t>season</w:t>
      </w:r>
      <w:r>
        <w:rPr>
          <w:spacing w:val="-2"/>
          <w:vertAlign w:val="baseline"/>
        </w:rPr>
        <w:t> </w:t>
      </w:r>
      <w:r>
        <w:rPr>
          <w:vertAlign w:val="baseline"/>
        </w:rPr>
        <w:t>will</w:t>
      </w:r>
      <w:r>
        <w:rPr>
          <w:spacing w:val="-2"/>
          <w:vertAlign w:val="baseline"/>
        </w:rPr>
        <w:t> </w:t>
      </w:r>
      <w:r>
        <w:rPr>
          <w:vertAlign w:val="baseline"/>
        </w:rPr>
        <w:t>however form an integral part of water assessment framework employed in this study.</w:t>
      </w:r>
    </w:p>
    <w:p>
      <w:pPr>
        <w:pStyle w:val="Heading1"/>
        <w:numPr>
          <w:ilvl w:val="2"/>
          <w:numId w:val="1"/>
        </w:numPr>
        <w:tabs>
          <w:tab w:pos="986" w:val="left" w:leader="none"/>
        </w:tabs>
        <w:spacing w:line="240" w:lineRule="auto" w:before="9" w:after="0"/>
        <w:ind w:left="986" w:right="0" w:hanging="719"/>
        <w:jc w:val="both"/>
      </w:pPr>
      <w:r>
        <w:rPr/>
        <w:t>Population and </w:t>
      </w:r>
      <w:r>
        <w:rPr>
          <w:spacing w:val="-2"/>
        </w:rPr>
        <w:t>demographics</w:t>
      </w:r>
    </w:p>
    <w:p>
      <w:pPr>
        <w:pStyle w:val="BodyText"/>
        <w:spacing w:line="550" w:lineRule="atLeast" w:before="17"/>
        <w:ind w:left="267" w:right="727"/>
        <w:jc w:val="both"/>
      </w:pPr>
      <w:r>
        <w:rPr/>
        <w:t>Minna city is home to approximately 541,672 inhabitants of heterogeneous ethnic and religion background. This figure is based on the projection of the 2006 population and housing census at 2.6% annual population growth rate (National Population Commission, 2020). Between 50% - 57% of the population are male with 17.1% - 54.1% of the total population</w:t>
      </w:r>
      <w:r>
        <w:rPr>
          <w:spacing w:val="46"/>
        </w:rPr>
        <w:t> </w:t>
      </w:r>
      <w:r>
        <w:rPr/>
        <w:t>being</w:t>
      </w:r>
      <w:r>
        <w:rPr>
          <w:spacing w:val="47"/>
        </w:rPr>
        <w:t> </w:t>
      </w:r>
      <w:r>
        <w:rPr/>
        <w:t>unable</w:t>
      </w:r>
      <w:r>
        <w:rPr>
          <w:spacing w:val="48"/>
        </w:rPr>
        <w:t> </w:t>
      </w:r>
      <w:r>
        <w:rPr/>
        <w:t>to</w:t>
      </w:r>
      <w:r>
        <w:rPr>
          <w:spacing w:val="47"/>
        </w:rPr>
        <w:t> </w:t>
      </w:r>
      <w:r>
        <w:rPr/>
        <w:t>read</w:t>
      </w:r>
      <w:r>
        <w:rPr>
          <w:spacing w:val="49"/>
        </w:rPr>
        <w:t> </w:t>
      </w:r>
      <w:r>
        <w:rPr/>
        <w:t>and</w:t>
      </w:r>
      <w:r>
        <w:rPr>
          <w:spacing w:val="46"/>
        </w:rPr>
        <w:t> </w:t>
      </w:r>
      <w:r>
        <w:rPr/>
        <w:t>write</w:t>
      </w:r>
      <w:r>
        <w:rPr>
          <w:spacing w:val="46"/>
        </w:rPr>
        <w:t> </w:t>
      </w:r>
      <w:r>
        <w:rPr/>
        <w:t>in</w:t>
      </w:r>
      <w:r>
        <w:rPr>
          <w:spacing w:val="47"/>
        </w:rPr>
        <w:t> </w:t>
      </w:r>
      <w:r>
        <w:rPr/>
        <w:t>English</w:t>
      </w:r>
      <w:r>
        <w:rPr>
          <w:spacing w:val="47"/>
        </w:rPr>
        <w:t> </w:t>
      </w:r>
      <w:r>
        <w:rPr/>
        <w:t>language</w:t>
      </w:r>
      <w:r>
        <w:rPr>
          <w:spacing w:val="48"/>
        </w:rPr>
        <w:t> </w:t>
      </w:r>
      <w:r>
        <w:rPr/>
        <w:t>(Niger</w:t>
      </w:r>
      <w:r>
        <w:rPr>
          <w:spacing w:val="50"/>
        </w:rPr>
        <w:t> </w:t>
      </w:r>
      <w:r>
        <w:rPr/>
        <w:t>State</w:t>
      </w:r>
      <w:r>
        <w:rPr>
          <w:spacing w:val="45"/>
        </w:rPr>
        <w:t> </w:t>
      </w:r>
      <w:r>
        <w:rPr/>
        <w:t>Bureau</w:t>
      </w:r>
      <w:r>
        <w:rPr>
          <w:spacing w:val="48"/>
        </w:rPr>
        <w:t> </w:t>
      </w:r>
      <w:r>
        <w:rPr>
          <w:spacing w:val="-7"/>
        </w:rPr>
        <w:t>of</w:t>
      </w:r>
    </w:p>
    <w:p>
      <w:pPr>
        <w:spacing w:after="0" w:line="550" w:lineRule="atLeast"/>
        <w:jc w:val="both"/>
        <w:sectPr>
          <w:pgSz w:w="12240" w:h="15840"/>
          <w:pgMar w:header="0" w:footer="1068" w:top="1340" w:bottom="1260" w:left="1720" w:right="680"/>
        </w:sectPr>
      </w:pPr>
    </w:p>
    <w:p>
      <w:pPr>
        <w:pStyle w:val="BodyText"/>
        <w:spacing w:line="480" w:lineRule="auto" w:before="83"/>
        <w:ind w:left="267" w:right="723"/>
        <w:jc w:val="both"/>
      </w:pPr>
      <w:r>
        <w:rPr/>
        <w:t>Statistics,</w:t>
      </w:r>
      <w:r>
        <w:rPr>
          <w:spacing w:val="-5"/>
        </w:rPr>
        <w:t> </w:t>
      </w:r>
      <w:r>
        <w:rPr/>
        <w:t>2014).</w:t>
      </w:r>
      <w:r>
        <w:rPr>
          <w:spacing w:val="-7"/>
        </w:rPr>
        <w:t> </w:t>
      </w:r>
      <w:r>
        <w:rPr/>
        <w:t>With</w:t>
      </w:r>
      <w:r>
        <w:rPr>
          <w:spacing w:val="-7"/>
        </w:rPr>
        <w:t> </w:t>
      </w:r>
      <w:r>
        <w:rPr/>
        <w:t>a</w:t>
      </w:r>
      <w:r>
        <w:rPr>
          <w:spacing w:val="-6"/>
        </w:rPr>
        <w:t> </w:t>
      </w:r>
      <w:r>
        <w:rPr/>
        <w:t>land</w:t>
      </w:r>
      <w:r>
        <w:rPr>
          <w:spacing w:val="-5"/>
        </w:rPr>
        <w:t> </w:t>
      </w:r>
      <w:r>
        <w:rPr/>
        <w:t>mass</w:t>
      </w:r>
      <w:r>
        <w:rPr>
          <w:spacing w:val="-5"/>
        </w:rPr>
        <w:t> </w:t>
      </w:r>
      <w:r>
        <w:rPr/>
        <w:t>of</w:t>
      </w:r>
      <w:r>
        <w:rPr>
          <w:spacing w:val="-6"/>
        </w:rPr>
        <w:t> </w:t>
      </w:r>
      <w:r>
        <w:rPr/>
        <w:t>88km</w:t>
      </w:r>
      <w:r>
        <w:rPr>
          <w:vertAlign w:val="superscript"/>
        </w:rPr>
        <w:t>2</w:t>
      </w:r>
      <w:r>
        <w:rPr>
          <w:vertAlign w:val="baseline"/>
        </w:rPr>
        <w:t>,</w:t>
      </w:r>
      <w:r>
        <w:rPr>
          <w:spacing w:val="-7"/>
          <w:vertAlign w:val="baseline"/>
        </w:rPr>
        <w:t> </w:t>
      </w:r>
      <w:r>
        <w:rPr>
          <w:vertAlign w:val="baseline"/>
        </w:rPr>
        <w:t>the</w:t>
      </w:r>
      <w:r>
        <w:rPr>
          <w:spacing w:val="-5"/>
          <w:vertAlign w:val="baseline"/>
        </w:rPr>
        <w:t> </w:t>
      </w:r>
      <w:r>
        <w:rPr>
          <w:vertAlign w:val="baseline"/>
        </w:rPr>
        <w:t>population</w:t>
      </w:r>
      <w:r>
        <w:rPr>
          <w:spacing w:val="-4"/>
          <w:vertAlign w:val="baseline"/>
        </w:rPr>
        <w:t> </w:t>
      </w:r>
      <w:r>
        <w:rPr>
          <w:vertAlign w:val="baseline"/>
        </w:rPr>
        <w:t>density</w:t>
      </w:r>
      <w:r>
        <w:rPr>
          <w:spacing w:val="-12"/>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city</w:t>
      </w:r>
      <w:r>
        <w:rPr>
          <w:spacing w:val="-10"/>
          <w:vertAlign w:val="baseline"/>
        </w:rPr>
        <w:t> </w:t>
      </w:r>
      <w:r>
        <w:rPr>
          <w:vertAlign w:val="baseline"/>
        </w:rPr>
        <w:t>which</w:t>
      </w:r>
      <w:r>
        <w:rPr>
          <w:spacing w:val="-5"/>
          <w:vertAlign w:val="baseline"/>
        </w:rPr>
        <w:t> </w:t>
      </w:r>
      <w:r>
        <w:rPr>
          <w:vertAlign w:val="baseline"/>
        </w:rPr>
        <w:t>covers both Bosso and Chanchaga local government areas is around 6155 persons per km</w:t>
      </w:r>
      <w:r>
        <w:rPr>
          <w:vertAlign w:val="superscript"/>
        </w:rPr>
        <w:t>2</w:t>
      </w:r>
      <w:r>
        <w:rPr>
          <w:vertAlign w:val="baseline"/>
        </w:rPr>
        <w:t>. The average size of households in Minna city is 8 persons and coincides with the average household size for Niger state (Niger State Bureau of Statistics, 2014).</w:t>
      </w:r>
    </w:p>
    <w:p>
      <w:pPr>
        <w:pStyle w:val="BodyText"/>
      </w:pPr>
    </w:p>
    <w:p>
      <w:pPr>
        <w:pStyle w:val="BodyText"/>
        <w:spacing w:line="480" w:lineRule="auto"/>
        <w:ind w:left="267" w:right="729"/>
        <w:jc w:val="both"/>
      </w:pPr>
      <w:r>
        <w:rPr/>
        <w:t>The</w:t>
      </w:r>
      <w:r>
        <w:rPr>
          <w:spacing w:val="-15"/>
        </w:rPr>
        <w:t> </w:t>
      </w:r>
      <w:r>
        <w:rPr/>
        <w:t>source</w:t>
      </w:r>
      <w:r>
        <w:rPr>
          <w:spacing w:val="-15"/>
        </w:rPr>
        <w:t> </w:t>
      </w:r>
      <w:r>
        <w:rPr/>
        <w:t>of</w:t>
      </w:r>
      <w:r>
        <w:rPr>
          <w:spacing w:val="-14"/>
        </w:rPr>
        <w:t> </w:t>
      </w:r>
      <w:r>
        <w:rPr/>
        <w:t>drinking</w:t>
      </w:r>
      <w:r>
        <w:rPr>
          <w:spacing w:val="-15"/>
        </w:rPr>
        <w:t> </w:t>
      </w:r>
      <w:r>
        <w:rPr/>
        <w:t>water</w:t>
      </w:r>
      <w:r>
        <w:rPr>
          <w:spacing w:val="-14"/>
        </w:rPr>
        <w:t> </w:t>
      </w:r>
      <w:r>
        <w:rPr/>
        <w:t>available</w:t>
      </w:r>
      <w:r>
        <w:rPr>
          <w:spacing w:val="-14"/>
        </w:rPr>
        <w:t> </w:t>
      </w:r>
      <w:r>
        <w:rPr/>
        <w:t>to</w:t>
      </w:r>
      <w:r>
        <w:rPr>
          <w:spacing w:val="-13"/>
        </w:rPr>
        <w:t> </w:t>
      </w:r>
      <w:r>
        <w:rPr/>
        <w:t>these</w:t>
      </w:r>
      <w:r>
        <w:rPr>
          <w:spacing w:val="-14"/>
        </w:rPr>
        <w:t> </w:t>
      </w:r>
      <w:r>
        <w:rPr/>
        <w:t>households</w:t>
      </w:r>
      <w:r>
        <w:rPr>
          <w:spacing w:val="-13"/>
        </w:rPr>
        <w:t> </w:t>
      </w:r>
      <w:r>
        <w:rPr/>
        <w:t>is</w:t>
      </w:r>
      <w:r>
        <w:rPr>
          <w:spacing w:val="-12"/>
        </w:rPr>
        <w:t> </w:t>
      </w:r>
      <w:r>
        <w:rPr/>
        <w:t>characterized</w:t>
      </w:r>
      <w:r>
        <w:rPr>
          <w:spacing w:val="-11"/>
        </w:rPr>
        <w:t> </w:t>
      </w:r>
      <w:r>
        <w:rPr/>
        <w:t>by</w:t>
      </w:r>
      <w:r>
        <w:rPr>
          <w:spacing w:val="-15"/>
        </w:rPr>
        <w:t> </w:t>
      </w:r>
      <w:r>
        <w:rPr/>
        <w:t>both</w:t>
      </w:r>
      <w:r>
        <w:rPr>
          <w:spacing w:val="-13"/>
        </w:rPr>
        <w:t> </w:t>
      </w:r>
      <w:r>
        <w:rPr/>
        <w:t>improved and</w:t>
      </w:r>
      <w:r>
        <w:rPr>
          <w:spacing w:val="-8"/>
        </w:rPr>
        <w:t> </w:t>
      </w:r>
      <w:r>
        <w:rPr/>
        <w:t>unimproved</w:t>
      </w:r>
      <w:r>
        <w:rPr>
          <w:spacing w:val="-8"/>
        </w:rPr>
        <w:t> </w:t>
      </w:r>
      <w:r>
        <w:rPr/>
        <w:t>water</w:t>
      </w:r>
      <w:r>
        <w:rPr>
          <w:spacing w:val="-9"/>
        </w:rPr>
        <w:t> </w:t>
      </w:r>
      <w:r>
        <w:rPr/>
        <w:t>supply.</w:t>
      </w:r>
      <w:r>
        <w:rPr>
          <w:spacing w:val="-8"/>
        </w:rPr>
        <w:t> </w:t>
      </w:r>
      <w:r>
        <w:rPr/>
        <w:t>Based</w:t>
      </w:r>
      <w:r>
        <w:rPr>
          <w:spacing w:val="-8"/>
        </w:rPr>
        <w:t> </w:t>
      </w:r>
      <w:r>
        <w:rPr/>
        <w:t>on</w:t>
      </w:r>
      <w:r>
        <w:rPr>
          <w:spacing w:val="-8"/>
        </w:rPr>
        <w:t> </w:t>
      </w:r>
      <w:r>
        <w:rPr/>
        <w:t>the</w:t>
      </w:r>
      <w:r>
        <w:rPr>
          <w:spacing w:val="-9"/>
        </w:rPr>
        <w:t> </w:t>
      </w:r>
      <w:r>
        <w:rPr/>
        <w:t>socioeconomic</w:t>
      </w:r>
      <w:r>
        <w:rPr>
          <w:spacing w:val="-9"/>
        </w:rPr>
        <w:t> </w:t>
      </w:r>
      <w:r>
        <w:rPr/>
        <w:t>survey</w:t>
      </w:r>
      <w:r>
        <w:rPr>
          <w:spacing w:val="-13"/>
        </w:rPr>
        <w:t> </w:t>
      </w:r>
      <w:r>
        <w:rPr/>
        <w:t>conducted</w:t>
      </w:r>
      <w:r>
        <w:rPr>
          <w:spacing w:val="-8"/>
        </w:rPr>
        <w:t> </w:t>
      </w:r>
      <w:r>
        <w:rPr/>
        <w:t>by</w:t>
      </w:r>
      <w:r>
        <w:rPr>
          <w:spacing w:val="-15"/>
        </w:rPr>
        <w:t> </w:t>
      </w:r>
      <w:r>
        <w:rPr/>
        <w:t>Niger</w:t>
      </w:r>
      <w:r>
        <w:rPr>
          <w:spacing w:val="-9"/>
        </w:rPr>
        <w:t> </w:t>
      </w:r>
      <w:r>
        <w:rPr/>
        <w:t>State Bureau</w:t>
      </w:r>
      <w:r>
        <w:rPr>
          <w:spacing w:val="-3"/>
        </w:rPr>
        <w:t> </w:t>
      </w:r>
      <w:r>
        <w:rPr/>
        <w:t>of</w:t>
      </w:r>
      <w:r>
        <w:rPr>
          <w:spacing w:val="-3"/>
        </w:rPr>
        <w:t> </w:t>
      </w:r>
      <w:r>
        <w:rPr/>
        <w:t>Statistic</w:t>
      </w:r>
      <w:r>
        <w:rPr>
          <w:spacing w:val="-4"/>
        </w:rPr>
        <w:t> </w:t>
      </w:r>
      <w:r>
        <w:rPr/>
        <w:t>(2014)</w:t>
      </w:r>
      <w:r>
        <w:rPr>
          <w:spacing w:val="-3"/>
        </w:rPr>
        <w:t> </w:t>
      </w:r>
      <w:r>
        <w:rPr/>
        <w:t>across</w:t>
      </w:r>
      <w:r>
        <w:rPr>
          <w:spacing w:val="-3"/>
        </w:rPr>
        <w:t> </w:t>
      </w:r>
      <w:r>
        <w:rPr/>
        <w:t>the</w:t>
      </w:r>
      <w:r>
        <w:rPr>
          <w:spacing w:val="-3"/>
        </w:rPr>
        <w:t> </w:t>
      </w:r>
      <w:r>
        <w:rPr/>
        <w:t>state,</w:t>
      </w:r>
      <w:r>
        <w:rPr>
          <w:spacing w:val="-2"/>
        </w:rPr>
        <w:t> </w:t>
      </w:r>
      <w:r>
        <w:rPr/>
        <w:t>the</w:t>
      </w:r>
      <w:r>
        <w:rPr>
          <w:spacing w:val="-3"/>
        </w:rPr>
        <w:t> </w:t>
      </w:r>
      <w:r>
        <w:rPr/>
        <w:t>proportion</w:t>
      </w:r>
      <w:r>
        <w:rPr>
          <w:spacing w:val="-3"/>
        </w:rPr>
        <w:t> </w:t>
      </w:r>
      <w:r>
        <w:rPr/>
        <w:t>of</w:t>
      </w:r>
      <w:r>
        <w:rPr>
          <w:spacing w:val="-3"/>
        </w:rPr>
        <w:t> </w:t>
      </w:r>
      <w:r>
        <w:rPr/>
        <w:t>households</w:t>
      </w:r>
      <w:r>
        <w:rPr>
          <w:spacing w:val="-3"/>
        </w:rPr>
        <w:t> </w:t>
      </w:r>
      <w:r>
        <w:rPr/>
        <w:t>who</w:t>
      </w:r>
      <w:r>
        <w:rPr>
          <w:spacing w:val="-3"/>
        </w:rPr>
        <w:t> </w:t>
      </w:r>
      <w:r>
        <w:rPr/>
        <w:t>used</w:t>
      </w:r>
      <w:r>
        <w:rPr>
          <w:spacing w:val="-3"/>
        </w:rPr>
        <w:t> </w:t>
      </w:r>
      <w:r>
        <w:rPr/>
        <w:t>improved and unimproved water for drinking in Minna is provided in Table 1.1.</w:t>
      </w:r>
    </w:p>
    <w:p>
      <w:pPr>
        <w:pStyle w:val="Heading1"/>
        <w:spacing w:before="6" w:after="4"/>
        <w:jc w:val="both"/>
      </w:pPr>
      <w:r>
        <w:rPr/>
        <w:t>Table</w:t>
      </w:r>
      <w:r>
        <w:rPr>
          <w:spacing w:val="-17"/>
        </w:rPr>
        <w:t> </w:t>
      </w:r>
      <w:r>
        <w:rPr/>
        <w:t>1.1:</w:t>
      </w:r>
      <w:r>
        <w:rPr>
          <w:spacing w:val="-15"/>
        </w:rPr>
        <w:t> </w:t>
      </w:r>
      <w:r>
        <w:rPr/>
        <w:t>Percentage</w:t>
      </w:r>
      <w:r>
        <w:rPr>
          <w:spacing w:val="-15"/>
        </w:rPr>
        <w:t> </w:t>
      </w:r>
      <w:r>
        <w:rPr/>
        <w:t>Distribution</w:t>
      </w:r>
      <w:r>
        <w:rPr>
          <w:spacing w:val="-15"/>
        </w:rPr>
        <w:t> </w:t>
      </w:r>
      <w:r>
        <w:rPr/>
        <w:t>of</w:t>
      </w:r>
      <w:r>
        <w:rPr>
          <w:spacing w:val="-14"/>
        </w:rPr>
        <w:t> </w:t>
      </w:r>
      <w:r>
        <w:rPr/>
        <w:t>Household</w:t>
      </w:r>
      <w:r>
        <w:rPr>
          <w:spacing w:val="-13"/>
        </w:rPr>
        <w:t> </w:t>
      </w:r>
      <w:r>
        <w:rPr/>
        <w:t>by</w:t>
      </w:r>
      <w:r>
        <w:rPr>
          <w:spacing w:val="-15"/>
        </w:rPr>
        <w:t> </w:t>
      </w:r>
      <w:r>
        <w:rPr/>
        <w:t>Source</w:t>
      </w:r>
      <w:r>
        <w:rPr>
          <w:spacing w:val="-15"/>
        </w:rPr>
        <w:t> </w:t>
      </w:r>
      <w:r>
        <w:rPr/>
        <w:t>of</w:t>
      </w:r>
      <w:r>
        <w:rPr>
          <w:spacing w:val="-12"/>
        </w:rPr>
        <w:t> </w:t>
      </w:r>
      <w:r>
        <w:rPr/>
        <w:t>Drinking</w:t>
      </w:r>
      <w:r>
        <w:rPr>
          <w:spacing w:val="-15"/>
        </w:rPr>
        <w:t> </w:t>
      </w:r>
      <w:r>
        <w:rPr/>
        <w:t>Water</w:t>
      </w:r>
      <w:r>
        <w:rPr>
          <w:spacing w:val="-15"/>
        </w:rPr>
        <w:t> </w:t>
      </w:r>
      <w:r>
        <w:rPr/>
        <w:t>in</w:t>
      </w:r>
      <w:r>
        <w:rPr>
          <w:spacing w:val="-12"/>
        </w:rPr>
        <w:t> </w:t>
      </w:r>
      <w:r>
        <w:rPr>
          <w:spacing w:val="-2"/>
        </w:rPr>
        <w:t>Minna</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1"/>
        <w:gridCol w:w="5006"/>
        <w:gridCol w:w="948"/>
        <w:gridCol w:w="1521"/>
        <w:gridCol w:w="736"/>
      </w:tblGrid>
      <w:tr>
        <w:trPr>
          <w:trHeight w:val="551" w:hRule="atLeast"/>
        </w:trPr>
        <w:tc>
          <w:tcPr>
            <w:tcW w:w="641" w:type="dxa"/>
            <w:tcBorders>
              <w:top w:val="single" w:sz="8" w:space="0" w:color="000000"/>
              <w:bottom w:val="single" w:sz="8" w:space="0" w:color="000000"/>
            </w:tcBorders>
          </w:tcPr>
          <w:p>
            <w:pPr>
              <w:pStyle w:val="TableParagraph"/>
              <w:spacing w:line="272" w:lineRule="exact"/>
              <w:ind w:left="115"/>
              <w:rPr>
                <w:b/>
                <w:sz w:val="24"/>
              </w:rPr>
            </w:pPr>
            <w:r>
              <w:rPr>
                <w:b/>
                <w:spacing w:val="-5"/>
                <w:sz w:val="24"/>
              </w:rPr>
              <w:t>S/N</w:t>
            </w:r>
          </w:p>
        </w:tc>
        <w:tc>
          <w:tcPr>
            <w:tcW w:w="5006" w:type="dxa"/>
            <w:tcBorders>
              <w:top w:val="single" w:sz="8" w:space="0" w:color="000000"/>
              <w:bottom w:val="single" w:sz="8" w:space="0" w:color="000000"/>
            </w:tcBorders>
          </w:tcPr>
          <w:p>
            <w:pPr>
              <w:pStyle w:val="TableParagraph"/>
              <w:spacing w:line="272" w:lineRule="exact"/>
              <w:ind w:left="150"/>
              <w:rPr>
                <w:b/>
                <w:sz w:val="24"/>
              </w:rPr>
            </w:pPr>
            <w:r>
              <w:rPr>
                <w:b/>
                <w:sz w:val="24"/>
              </w:rPr>
              <w:t>Drinking</w:t>
            </w:r>
            <w:r>
              <w:rPr>
                <w:b/>
                <w:spacing w:val="-4"/>
                <w:sz w:val="24"/>
              </w:rPr>
              <w:t> </w:t>
            </w:r>
            <w:r>
              <w:rPr>
                <w:b/>
                <w:sz w:val="24"/>
              </w:rPr>
              <w:t>water</w:t>
            </w:r>
            <w:r>
              <w:rPr>
                <w:b/>
                <w:spacing w:val="-1"/>
                <w:sz w:val="24"/>
              </w:rPr>
              <w:t> </w:t>
            </w:r>
            <w:r>
              <w:rPr>
                <w:b/>
                <w:spacing w:val="-4"/>
                <w:sz w:val="24"/>
              </w:rPr>
              <w:t>type</w:t>
            </w:r>
          </w:p>
        </w:tc>
        <w:tc>
          <w:tcPr>
            <w:tcW w:w="948" w:type="dxa"/>
            <w:tcBorders>
              <w:top w:val="single" w:sz="8" w:space="0" w:color="000000"/>
              <w:bottom w:val="single" w:sz="8" w:space="0" w:color="000000"/>
            </w:tcBorders>
          </w:tcPr>
          <w:p>
            <w:pPr>
              <w:pStyle w:val="TableParagraph"/>
              <w:spacing w:line="272" w:lineRule="exact"/>
              <w:ind w:left="106"/>
              <w:rPr>
                <w:b/>
                <w:sz w:val="24"/>
              </w:rPr>
            </w:pPr>
            <w:r>
              <w:rPr>
                <w:b/>
                <w:spacing w:val="-2"/>
                <w:sz w:val="24"/>
              </w:rPr>
              <w:t>*Bosso</w:t>
            </w:r>
          </w:p>
          <w:p>
            <w:pPr>
              <w:pStyle w:val="TableParagraph"/>
              <w:spacing w:line="259" w:lineRule="exact"/>
              <w:ind w:left="106"/>
              <w:rPr>
                <w:b/>
                <w:sz w:val="24"/>
              </w:rPr>
            </w:pPr>
            <w:r>
              <w:rPr>
                <w:b/>
                <w:spacing w:val="-5"/>
                <w:sz w:val="24"/>
              </w:rPr>
              <w:t>LGA</w:t>
            </w:r>
          </w:p>
        </w:tc>
        <w:tc>
          <w:tcPr>
            <w:tcW w:w="1521" w:type="dxa"/>
            <w:tcBorders>
              <w:top w:val="single" w:sz="8" w:space="0" w:color="000000"/>
              <w:bottom w:val="single" w:sz="8" w:space="0" w:color="000000"/>
            </w:tcBorders>
          </w:tcPr>
          <w:p>
            <w:pPr>
              <w:pStyle w:val="TableParagraph"/>
              <w:spacing w:line="272" w:lineRule="exact"/>
              <w:ind w:left="130"/>
              <w:rPr>
                <w:b/>
                <w:sz w:val="24"/>
              </w:rPr>
            </w:pPr>
            <w:r>
              <w:rPr>
                <w:b/>
                <w:spacing w:val="-2"/>
                <w:sz w:val="24"/>
              </w:rPr>
              <w:t>*Chanchaga</w:t>
            </w:r>
          </w:p>
          <w:p>
            <w:pPr>
              <w:pStyle w:val="TableParagraph"/>
              <w:spacing w:line="259" w:lineRule="exact"/>
              <w:ind w:left="130"/>
              <w:rPr>
                <w:b/>
                <w:sz w:val="24"/>
              </w:rPr>
            </w:pPr>
            <w:r>
              <w:rPr>
                <w:b/>
                <w:spacing w:val="-5"/>
                <w:sz w:val="24"/>
              </w:rPr>
              <w:t>LGA</w:t>
            </w:r>
          </w:p>
        </w:tc>
        <w:tc>
          <w:tcPr>
            <w:tcW w:w="736" w:type="dxa"/>
            <w:tcBorders>
              <w:top w:val="single" w:sz="8" w:space="0" w:color="000000"/>
              <w:bottom w:val="single" w:sz="8" w:space="0" w:color="000000"/>
            </w:tcBorders>
          </w:tcPr>
          <w:p>
            <w:pPr>
              <w:pStyle w:val="TableParagraph"/>
              <w:spacing w:line="272" w:lineRule="exact"/>
              <w:ind w:left="105"/>
              <w:rPr>
                <w:b/>
                <w:sz w:val="24"/>
              </w:rPr>
            </w:pPr>
            <w:r>
              <w:rPr>
                <w:b/>
                <w:spacing w:val="-2"/>
                <w:sz w:val="24"/>
              </w:rPr>
              <w:t>State</w:t>
            </w:r>
          </w:p>
        </w:tc>
      </w:tr>
      <w:tr>
        <w:trPr>
          <w:trHeight w:val="413" w:hRule="atLeast"/>
        </w:trPr>
        <w:tc>
          <w:tcPr>
            <w:tcW w:w="641" w:type="dxa"/>
            <w:tcBorders>
              <w:top w:val="single" w:sz="8" w:space="0" w:color="000000"/>
            </w:tcBorders>
          </w:tcPr>
          <w:p>
            <w:pPr>
              <w:pStyle w:val="TableParagraph"/>
              <w:spacing w:line="272" w:lineRule="exact"/>
              <w:ind w:left="115"/>
              <w:rPr>
                <w:b/>
                <w:sz w:val="24"/>
              </w:rPr>
            </w:pPr>
            <w:r>
              <w:rPr>
                <w:b/>
                <w:spacing w:val="-10"/>
                <w:sz w:val="24"/>
              </w:rPr>
              <w:t>1</w:t>
            </w:r>
          </w:p>
        </w:tc>
        <w:tc>
          <w:tcPr>
            <w:tcW w:w="5006" w:type="dxa"/>
            <w:tcBorders>
              <w:top w:val="single" w:sz="8" w:space="0" w:color="000000"/>
            </w:tcBorders>
          </w:tcPr>
          <w:p>
            <w:pPr>
              <w:pStyle w:val="TableParagraph"/>
              <w:spacing w:line="268" w:lineRule="exact"/>
              <w:ind w:left="150"/>
              <w:rPr>
                <w:sz w:val="24"/>
              </w:rPr>
            </w:pPr>
            <w:r>
              <w:rPr>
                <w:sz w:val="24"/>
              </w:rPr>
              <w:t>Percentage</w:t>
            </w:r>
            <w:r>
              <w:rPr>
                <w:spacing w:val="-3"/>
                <w:sz w:val="24"/>
              </w:rPr>
              <w:t> </w:t>
            </w:r>
            <w:r>
              <w:rPr>
                <w:sz w:val="24"/>
              </w:rPr>
              <w:t>of</w:t>
            </w:r>
            <w:r>
              <w:rPr>
                <w:spacing w:val="-1"/>
                <w:sz w:val="24"/>
              </w:rPr>
              <w:t> </w:t>
            </w:r>
            <w:r>
              <w:rPr>
                <w:sz w:val="24"/>
              </w:rPr>
              <w:t>household</w:t>
            </w:r>
            <w:r>
              <w:rPr>
                <w:spacing w:val="2"/>
                <w:sz w:val="24"/>
              </w:rPr>
              <w:t> </w:t>
            </w:r>
            <w:r>
              <w:rPr>
                <w:sz w:val="24"/>
              </w:rPr>
              <w:t>with</w:t>
            </w:r>
            <w:r>
              <w:rPr>
                <w:spacing w:val="-1"/>
                <w:sz w:val="24"/>
              </w:rPr>
              <w:t> </w:t>
            </w:r>
            <w:r>
              <w:rPr>
                <w:spacing w:val="-2"/>
                <w:sz w:val="24"/>
              </w:rPr>
              <w:t>water(treated)</w:t>
            </w:r>
          </w:p>
        </w:tc>
        <w:tc>
          <w:tcPr>
            <w:tcW w:w="948" w:type="dxa"/>
            <w:tcBorders>
              <w:top w:val="single" w:sz="8" w:space="0" w:color="000000"/>
            </w:tcBorders>
          </w:tcPr>
          <w:p>
            <w:pPr>
              <w:pStyle w:val="TableParagraph"/>
              <w:spacing w:line="268" w:lineRule="exact"/>
              <w:ind w:left="106"/>
              <w:rPr>
                <w:sz w:val="24"/>
              </w:rPr>
            </w:pPr>
            <w:r>
              <w:rPr>
                <w:spacing w:val="-5"/>
                <w:sz w:val="24"/>
              </w:rPr>
              <w:t>3.6</w:t>
            </w:r>
          </w:p>
        </w:tc>
        <w:tc>
          <w:tcPr>
            <w:tcW w:w="1521" w:type="dxa"/>
            <w:tcBorders>
              <w:top w:val="single" w:sz="8" w:space="0" w:color="000000"/>
            </w:tcBorders>
          </w:tcPr>
          <w:p>
            <w:pPr>
              <w:pStyle w:val="TableParagraph"/>
              <w:spacing w:line="268" w:lineRule="exact"/>
              <w:ind w:left="130"/>
              <w:rPr>
                <w:sz w:val="24"/>
              </w:rPr>
            </w:pPr>
            <w:r>
              <w:rPr>
                <w:spacing w:val="-4"/>
                <w:sz w:val="24"/>
              </w:rPr>
              <w:t>21.9</w:t>
            </w:r>
          </w:p>
        </w:tc>
        <w:tc>
          <w:tcPr>
            <w:tcW w:w="736" w:type="dxa"/>
            <w:tcBorders>
              <w:top w:val="single" w:sz="8" w:space="0" w:color="000000"/>
            </w:tcBorders>
          </w:tcPr>
          <w:p>
            <w:pPr>
              <w:pStyle w:val="TableParagraph"/>
              <w:spacing w:line="268" w:lineRule="exact"/>
              <w:ind w:left="105"/>
              <w:rPr>
                <w:sz w:val="24"/>
              </w:rPr>
            </w:pPr>
            <w:r>
              <w:rPr>
                <w:spacing w:val="-5"/>
                <w:sz w:val="24"/>
              </w:rPr>
              <w:t>2.4</w:t>
            </w:r>
          </w:p>
        </w:tc>
      </w:tr>
      <w:tr>
        <w:trPr>
          <w:trHeight w:val="687" w:hRule="atLeast"/>
        </w:trPr>
        <w:tc>
          <w:tcPr>
            <w:tcW w:w="641" w:type="dxa"/>
          </w:tcPr>
          <w:p>
            <w:pPr>
              <w:pStyle w:val="TableParagraph"/>
              <w:spacing w:before="135"/>
              <w:ind w:left="115"/>
              <w:rPr>
                <w:b/>
                <w:sz w:val="24"/>
              </w:rPr>
            </w:pPr>
            <w:r>
              <w:rPr>
                <w:b/>
                <w:spacing w:val="-10"/>
                <w:sz w:val="24"/>
              </w:rPr>
              <w:t>2</w:t>
            </w:r>
          </w:p>
        </w:tc>
        <w:tc>
          <w:tcPr>
            <w:tcW w:w="5006" w:type="dxa"/>
          </w:tcPr>
          <w:p>
            <w:pPr>
              <w:pStyle w:val="TableParagraph"/>
              <w:tabs>
                <w:tab w:pos="1424" w:val="left" w:leader="none"/>
                <w:tab w:pos="1848" w:val="left" w:leader="none"/>
                <w:tab w:pos="3061" w:val="left" w:leader="none"/>
                <w:tab w:pos="3711" w:val="left" w:leader="none"/>
                <w:tab w:pos="4347" w:val="left" w:leader="none"/>
              </w:tabs>
              <w:spacing w:line="270" w:lineRule="atLeast" w:before="115"/>
              <w:ind w:left="150" w:right="109"/>
              <w:rPr>
                <w:sz w:val="24"/>
              </w:rPr>
            </w:pPr>
            <w:r>
              <w:rPr>
                <w:spacing w:val="-2"/>
                <w:sz w:val="24"/>
              </w:rPr>
              <w:t>Percentage</w:t>
            </w:r>
            <w:r>
              <w:rPr>
                <w:sz w:val="24"/>
              </w:rPr>
              <w:tab/>
            </w:r>
            <w:r>
              <w:rPr>
                <w:spacing w:val="-6"/>
                <w:sz w:val="24"/>
              </w:rPr>
              <w:t>of</w:t>
            </w:r>
            <w:r>
              <w:rPr>
                <w:sz w:val="24"/>
              </w:rPr>
              <w:tab/>
            </w:r>
            <w:r>
              <w:rPr>
                <w:spacing w:val="-2"/>
                <w:sz w:val="24"/>
              </w:rPr>
              <w:t>household</w:t>
            </w:r>
            <w:r>
              <w:rPr>
                <w:sz w:val="24"/>
              </w:rPr>
              <w:tab/>
            </w:r>
            <w:r>
              <w:rPr>
                <w:spacing w:val="-4"/>
                <w:sz w:val="24"/>
              </w:rPr>
              <w:t>with</w:t>
            </w:r>
            <w:r>
              <w:rPr>
                <w:sz w:val="24"/>
              </w:rPr>
              <w:tab/>
            </w:r>
            <w:r>
              <w:rPr>
                <w:spacing w:val="-4"/>
                <w:sz w:val="24"/>
              </w:rPr>
              <w:t>pipe</w:t>
            </w:r>
            <w:r>
              <w:rPr>
                <w:sz w:val="24"/>
              </w:rPr>
              <w:tab/>
            </w:r>
            <w:r>
              <w:rPr>
                <w:spacing w:val="-2"/>
                <w:sz w:val="24"/>
              </w:rPr>
              <w:t>borne water(untreated)</w:t>
            </w:r>
          </w:p>
        </w:tc>
        <w:tc>
          <w:tcPr>
            <w:tcW w:w="948" w:type="dxa"/>
          </w:tcPr>
          <w:p>
            <w:pPr>
              <w:pStyle w:val="TableParagraph"/>
              <w:spacing w:before="130"/>
              <w:ind w:left="106"/>
              <w:rPr>
                <w:sz w:val="24"/>
              </w:rPr>
            </w:pPr>
            <w:r>
              <w:rPr>
                <w:spacing w:val="-5"/>
                <w:sz w:val="24"/>
              </w:rPr>
              <w:t>3.6</w:t>
            </w:r>
          </w:p>
        </w:tc>
        <w:tc>
          <w:tcPr>
            <w:tcW w:w="1521" w:type="dxa"/>
          </w:tcPr>
          <w:p>
            <w:pPr>
              <w:pStyle w:val="TableParagraph"/>
              <w:spacing w:before="130"/>
              <w:ind w:left="130"/>
              <w:rPr>
                <w:sz w:val="24"/>
              </w:rPr>
            </w:pPr>
            <w:r>
              <w:rPr>
                <w:spacing w:val="-10"/>
                <w:sz w:val="24"/>
              </w:rPr>
              <w:t>0</w:t>
            </w:r>
          </w:p>
        </w:tc>
        <w:tc>
          <w:tcPr>
            <w:tcW w:w="736" w:type="dxa"/>
          </w:tcPr>
          <w:p>
            <w:pPr>
              <w:pStyle w:val="TableParagraph"/>
              <w:spacing w:before="130"/>
              <w:ind w:left="105"/>
              <w:rPr>
                <w:sz w:val="24"/>
              </w:rPr>
            </w:pPr>
            <w:r>
              <w:rPr>
                <w:spacing w:val="-5"/>
                <w:sz w:val="24"/>
              </w:rPr>
              <w:t>5.5</w:t>
            </w:r>
          </w:p>
        </w:tc>
      </w:tr>
      <w:tr>
        <w:trPr>
          <w:trHeight w:val="552" w:hRule="atLeast"/>
        </w:trPr>
        <w:tc>
          <w:tcPr>
            <w:tcW w:w="641" w:type="dxa"/>
          </w:tcPr>
          <w:p>
            <w:pPr>
              <w:pStyle w:val="TableParagraph"/>
              <w:spacing w:line="276" w:lineRule="exact"/>
              <w:ind w:left="115"/>
              <w:rPr>
                <w:b/>
                <w:sz w:val="24"/>
              </w:rPr>
            </w:pPr>
            <w:r>
              <w:rPr>
                <w:b/>
                <w:spacing w:val="-10"/>
                <w:sz w:val="24"/>
              </w:rPr>
              <w:t>3</w:t>
            </w:r>
          </w:p>
        </w:tc>
        <w:tc>
          <w:tcPr>
            <w:tcW w:w="5006" w:type="dxa"/>
          </w:tcPr>
          <w:p>
            <w:pPr>
              <w:pStyle w:val="TableParagraph"/>
              <w:spacing w:line="271" w:lineRule="exact"/>
              <w:ind w:left="150"/>
              <w:rPr>
                <w:sz w:val="24"/>
              </w:rPr>
            </w:pPr>
            <w:r>
              <w:rPr>
                <w:sz w:val="24"/>
              </w:rPr>
              <w:t>Percentage</w:t>
            </w:r>
            <w:r>
              <w:rPr>
                <w:spacing w:val="26"/>
                <w:sz w:val="24"/>
              </w:rPr>
              <w:t>  </w:t>
            </w:r>
            <w:r>
              <w:rPr>
                <w:sz w:val="24"/>
              </w:rPr>
              <w:t>of</w:t>
            </w:r>
            <w:r>
              <w:rPr>
                <w:spacing w:val="28"/>
                <w:sz w:val="24"/>
              </w:rPr>
              <w:t>  </w:t>
            </w:r>
            <w:r>
              <w:rPr>
                <w:sz w:val="24"/>
              </w:rPr>
              <w:t>household</w:t>
            </w:r>
            <w:r>
              <w:rPr>
                <w:spacing w:val="27"/>
                <w:sz w:val="24"/>
              </w:rPr>
              <w:t>  </w:t>
            </w:r>
            <w:r>
              <w:rPr>
                <w:sz w:val="24"/>
              </w:rPr>
              <w:t>with</w:t>
            </w:r>
            <w:r>
              <w:rPr>
                <w:spacing w:val="28"/>
                <w:sz w:val="24"/>
              </w:rPr>
              <w:t>  </w:t>
            </w:r>
            <w:r>
              <w:rPr>
                <w:spacing w:val="-2"/>
                <w:sz w:val="24"/>
              </w:rPr>
              <w:t>borehole/hand</w:t>
            </w:r>
          </w:p>
          <w:p>
            <w:pPr>
              <w:pStyle w:val="TableParagraph"/>
              <w:spacing w:line="261" w:lineRule="exact"/>
              <w:ind w:left="150"/>
              <w:rPr>
                <w:sz w:val="24"/>
              </w:rPr>
            </w:pPr>
            <w:r>
              <w:rPr>
                <w:spacing w:val="-4"/>
                <w:sz w:val="24"/>
              </w:rPr>
              <w:t>pump</w:t>
            </w:r>
          </w:p>
        </w:tc>
        <w:tc>
          <w:tcPr>
            <w:tcW w:w="948" w:type="dxa"/>
          </w:tcPr>
          <w:p>
            <w:pPr>
              <w:pStyle w:val="TableParagraph"/>
              <w:spacing w:line="271" w:lineRule="exact"/>
              <w:ind w:left="106"/>
              <w:rPr>
                <w:sz w:val="24"/>
              </w:rPr>
            </w:pPr>
            <w:r>
              <w:rPr>
                <w:spacing w:val="-4"/>
                <w:sz w:val="24"/>
              </w:rPr>
              <w:t>61.3</w:t>
            </w:r>
          </w:p>
        </w:tc>
        <w:tc>
          <w:tcPr>
            <w:tcW w:w="1521" w:type="dxa"/>
          </w:tcPr>
          <w:p>
            <w:pPr>
              <w:pStyle w:val="TableParagraph"/>
              <w:spacing w:line="271" w:lineRule="exact"/>
              <w:ind w:left="130"/>
              <w:rPr>
                <w:sz w:val="24"/>
              </w:rPr>
            </w:pPr>
            <w:r>
              <w:rPr>
                <w:spacing w:val="-5"/>
                <w:sz w:val="24"/>
              </w:rPr>
              <w:t>6.3</w:t>
            </w:r>
          </w:p>
        </w:tc>
        <w:tc>
          <w:tcPr>
            <w:tcW w:w="736" w:type="dxa"/>
          </w:tcPr>
          <w:p>
            <w:pPr>
              <w:pStyle w:val="TableParagraph"/>
              <w:spacing w:line="271" w:lineRule="exact"/>
              <w:ind w:left="105"/>
              <w:rPr>
                <w:sz w:val="24"/>
              </w:rPr>
            </w:pPr>
            <w:r>
              <w:rPr>
                <w:spacing w:val="-5"/>
                <w:sz w:val="24"/>
              </w:rPr>
              <w:t>45</w:t>
            </w:r>
          </w:p>
        </w:tc>
      </w:tr>
      <w:tr>
        <w:trPr>
          <w:trHeight w:val="552" w:hRule="atLeast"/>
        </w:trPr>
        <w:tc>
          <w:tcPr>
            <w:tcW w:w="641" w:type="dxa"/>
          </w:tcPr>
          <w:p>
            <w:pPr>
              <w:pStyle w:val="TableParagraph"/>
              <w:spacing w:line="276" w:lineRule="exact"/>
              <w:ind w:left="115"/>
              <w:rPr>
                <w:b/>
                <w:sz w:val="24"/>
              </w:rPr>
            </w:pPr>
            <w:r>
              <w:rPr>
                <w:b/>
                <w:spacing w:val="-10"/>
                <w:sz w:val="24"/>
              </w:rPr>
              <w:t>4</w:t>
            </w:r>
          </w:p>
        </w:tc>
        <w:tc>
          <w:tcPr>
            <w:tcW w:w="5006" w:type="dxa"/>
          </w:tcPr>
          <w:p>
            <w:pPr>
              <w:pStyle w:val="TableParagraph"/>
              <w:tabs>
                <w:tab w:pos="1450" w:val="left" w:leader="none"/>
                <w:tab w:pos="1901" w:val="left" w:leader="none"/>
                <w:tab w:pos="3138" w:val="left" w:leader="none"/>
                <w:tab w:pos="3815" w:val="left" w:leader="none"/>
              </w:tabs>
              <w:spacing w:line="271" w:lineRule="exact"/>
              <w:ind w:left="150"/>
              <w:rPr>
                <w:sz w:val="24"/>
              </w:rPr>
            </w:pPr>
            <w:r>
              <w:rPr>
                <w:spacing w:val="-2"/>
                <w:sz w:val="24"/>
              </w:rPr>
              <w:t>Percentage</w:t>
            </w:r>
            <w:r>
              <w:rPr>
                <w:sz w:val="24"/>
              </w:rPr>
              <w:tab/>
            </w:r>
            <w:r>
              <w:rPr>
                <w:spacing w:val="-5"/>
                <w:sz w:val="24"/>
              </w:rPr>
              <w:t>of</w:t>
            </w:r>
            <w:r>
              <w:rPr>
                <w:sz w:val="24"/>
              </w:rPr>
              <w:tab/>
            </w:r>
            <w:r>
              <w:rPr>
                <w:spacing w:val="-2"/>
                <w:sz w:val="24"/>
              </w:rPr>
              <w:t>household</w:t>
            </w:r>
            <w:r>
              <w:rPr>
                <w:sz w:val="24"/>
              </w:rPr>
              <w:tab/>
            </w:r>
            <w:r>
              <w:rPr>
                <w:spacing w:val="-4"/>
                <w:sz w:val="24"/>
              </w:rPr>
              <w:t>with</w:t>
            </w:r>
            <w:r>
              <w:rPr>
                <w:sz w:val="24"/>
              </w:rPr>
              <w:tab/>
            </w:r>
            <w:r>
              <w:rPr>
                <w:spacing w:val="-2"/>
                <w:sz w:val="24"/>
              </w:rPr>
              <w:t>well/spring</w:t>
            </w:r>
          </w:p>
          <w:p>
            <w:pPr>
              <w:pStyle w:val="TableParagraph"/>
              <w:spacing w:line="261" w:lineRule="exact"/>
              <w:ind w:left="150"/>
              <w:rPr>
                <w:sz w:val="24"/>
              </w:rPr>
            </w:pPr>
            <w:r>
              <w:rPr>
                <w:spacing w:val="-2"/>
                <w:sz w:val="24"/>
              </w:rPr>
              <w:t>(protected)</w:t>
            </w:r>
          </w:p>
        </w:tc>
        <w:tc>
          <w:tcPr>
            <w:tcW w:w="948" w:type="dxa"/>
          </w:tcPr>
          <w:p>
            <w:pPr>
              <w:pStyle w:val="TableParagraph"/>
              <w:spacing w:line="271" w:lineRule="exact"/>
              <w:ind w:left="106"/>
              <w:rPr>
                <w:sz w:val="24"/>
              </w:rPr>
            </w:pPr>
            <w:r>
              <w:rPr>
                <w:spacing w:val="-4"/>
                <w:sz w:val="24"/>
              </w:rPr>
              <w:t>12.4</w:t>
            </w:r>
          </w:p>
        </w:tc>
        <w:tc>
          <w:tcPr>
            <w:tcW w:w="1521" w:type="dxa"/>
          </w:tcPr>
          <w:p>
            <w:pPr>
              <w:pStyle w:val="TableParagraph"/>
              <w:spacing w:line="271" w:lineRule="exact"/>
              <w:ind w:left="130"/>
              <w:rPr>
                <w:sz w:val="24"/>
              </w:rPr>
            </w:pPr>
            <w:r>
              <w:rPr>
                <w:spacing w:val="-4"/>
                <w:sz w:val="24"/>
              </w:rPr>
              <w:t>34.4</w:t>
            </w:r>
          </w:p>
        </w:tc>
        <w:tc>
          <w:tcPr>
            <w:tcW w:w="736" w:type="dxa"/>
          </w:tcPr>
          <w:p>
            <w:pPr>
              <w:pStyle w:val="TableParagraph"/>
              <w:spacing w:line="271" w:lineRule="exact"/>
              <w:ind w:left="105"/>
              <w:rPr>
                <w:sz w:val="24"/>
              </w:rPr>
            </w:pPr>
            <w:r>
              <w:rPr>
                <w:spacing w:val="-4"/>
                <w:sz w:val="24"/>
              </w:rPr>
              <w:t>22.6</w:t>
            </w:r>
          </w:p>
        </w:tc>
      </w:tr>
      <w:tr>
        <w:trPr>
          <w:trHeight w:val="552" w:hRule="atLeast"/>
        </w:trPr>
        <w:tc>
          <w:tcPr>
            <w:tcW w:w="641" w:type="dxa"/>
          </w:tcPr>
          <w:p>
            <w:pPr>
              <w:pStyle w:val="TableParagraph"/>
              <w:spacing w:line="276" w:lineRule="exact"/>
              <w:ind w:left="115"/>
              <w:rPr>
                <w:b/>
                <w:sz w:val="24"/>
              </w:rPr>
            </w:pPr>
            <w:r>
              <w:rPr>
                <w:b/>
                <w:spacing w:val="-10"/>
                <w:sz w:val="24"/>
              </w:rPr>
              <w:t>5</w:t>
            </w:r>
          </w:p>
        </w:tc>
        <w:tc>
          <w:tcPr>
            <w:tcW w:w="5006" w:type="dxa"/>
          </w:tcPr>
          <w:p>
            <w:pPr>
              <w:pStyle w:val="TableParagraph"/>
              <w:tabs>
                <w:tab w:pos="1450" w:val="left" w:leader="none"/>
                <w:tab w:pos="1899" w:val="left" w:leader="none"/>
                <w:tab w:pos="3137" w:val="left" w:leader="none"/>
                <w:tab w:pos="3813" w:val="left" w:leader="none"/>
              </w:tabs>
              <w:spacing w:line="271" w:lineRule="exact"/>
              <w:ind w:left="150"/>
              <w:rPr>
                <w:sz w:val="24"/>
              </w:rPr>
            </w:pPr>
            <w:r>
              <w:rPr>
                <w:spacing w:val="-2"/>
                <w:sz w:val="24"/>
              </w:rPr>
              <w:t>Percentage</w:t>
            </w:r>
            <w:r>
              <w:rPr>
                <w:sz w:val="24"/>
              </w:rPr>
              <w:tab/>
            </w:r>
            <w:r>
              <w:rPr>
                <w:spacing w:val="-5"/>
                <w:sz w:val="24"/>
              </w:rPr>
              <w:t>of</w:t>
            </w:r>
            <w:r>
              <w:rPr>
                <w:sz w:val="24"/>
              </w:rPr>
              <w:tab/>
            </w:r>
            <w:r>
              <w:rPr>
                <w:spacing w:val="-2"/>
                <w:sz w:val="24"/>
              </w:rPr>
              <w:t>household</w:t>
            </w:r>
            <w:r>
              <w:rPr>
                <w:sz w:val="24"/>
              </w:rPr>
              <w:tab/>
            </w:r>
            <w:r>
              <w:rPr>
                <w:spacing w:val="-4"/>
                <w:sz w:val="24"/>
              </w:rPr>
              <w:t>with</w:t>
            </w:r>
            <w:r>
              <w:rPr>
                <w:sz w:val="24"/>
              </w:rPr>
              <w:tab/>
            </w:r>
            <w:r>
              <w:rPr>
                <w:spacing w:val="-2"/>
                <w:sz w:val="24"/>
              </w:rPr>
              <w:t>well/spring</w:t>
            </w:r>
          </w:p>
          <w:p>
            <w:pPr>
              <w:pStyle w:val="TableParagraph"/>
              <w:spacing w:line="261" w:lineRule="exact"/>
              <w:ind w:left="150"/>
              <w:rPr>
                <w:sz w:val="24"/>
              </w:rPr>
            </w:pPr>
            <w:r>
              <w:rPr>
                <w:spacing w:val="-2"/>
                <w:sz w:val="24"/>
              </w:rPr>
              <w:t>(unprotected)</w:t>
            </w:r>
          </w:p>
        </w:tc>
        <w:tc>
          <w:tcPr>
            <w:tcW w:w="948" w:type="dxa"/>
          </w:tcPr>
          <w:p>
            <w:pPr>
              <w:pStyle w:val="TableParagraph"/>
              <w:spacing w:line="271" w:lineRule="exact"/>
              <w:ind w:left="106"/>
              <w:rPr>
                <w:sz w:val="24"/>
              </w:rPr>
            </w:pPr>
            <w:r>
              <w:rPr>
                <w:spacing w:val="-5"/>
                <w:sz w:val="24"/>
              </w:rPr>
              <w:t>0.7</w:t>
            </w:r>
          </w:p>
        </w:tc>
        <w:tc>
          <w:tcPr>
            <w:tcW w:w="1521" w:type="dxa"/>
          </w:tcPr>
          <w:p>
            <w:pPr>
              <w:pStyle w:val="TableParagraph"/>
              <w:spacing w:line="271" w:lineRule="exact"/>
              <w:ind w:left="130"/>
              <w:rPr>
                <w:sz w:val="24"/>
              </w:rPr>
            </w:pPr>
            <w:r>
              <w:rPr>
                <w:spacing w:val="-10"/>
                <w:sz w:val="24"/>
              </w:rPr>
              <w:t>0</w:t>
            </w:r>
          </w:p>
        </w:tc>
        <w:tc>
          <w:tcPr>
            <w:tcW w:w="736" w:type="dxa"/>
          </w:tcPr>
          <w:p>
            <w:pPr>
              <w:pStyle w:val="TableParagraph"/>
              <w:spacing w:line="271" w:lineRule="exact"/>
              <w:ind w:left="105"/>
              <w:rPr>
                <w:sz w:val="24"/>
              </w:rPr>
            </w:pPr>
            <w:r>
              <w:rPr>
                <w:spacing w:val="-5"/>
                <w:sz w:val="24"/>
              </w:rPr>
              <w:t>7.9</w:t>
            </w:r>
          </w:p>
        </w:tc>
      </w:tr>
      <w:tr>
        <w:trPr>
          <w:trHeight w:val="416" w:hRule="atLeast"/>
        </w:trPr>
        <w:tc>
          <w:tcPr>
            <w:tcW w:w="641" w:type="dxa"/>
          </w:tcPr>
          <w:p>
            <w:pPr>
              <w:pStyle w:val="TableParagraph"/>
              <w:spacing w:line="276" w:lineRule="exact"/>
              <w:ind w:left="115"/>
              <w:rPr>
                <w:b/>
                <w:sz w:val="24"/>
              </w:rPr>
            </w:pPr>
            <w:r>
              <w:rPr>
                <w:b/>
                <w:spacing w:val="-10"/>
                <w:sz w:val="24"/>
              </w:rPr>
              <w:t>6</w:t>
            </w:r>
          </w:p>
        </w:tc>
        <w:tc>
          <w:tcPr>
            <w:tcW w:w="5006" w:type="dxa"/>
          </w:tcPr>
          <w:p>
            <w:pPr>
              <w:pStyle w:val="TableParagraph"/>
              <w:spacing w:line="271" w:lineRule="exact"/>
              <w:ind w:left="150"/>
              <w:rPr>
                <w:sz w:val="24"/>
              </w:rPr>
            </w:pPr>
            <w:r>
              <w:rPr>
                <w:sz w:val="24"/>
              </w:rPr>
              <w:t>Percentage</w:t>
            </w:r>
            <w:r>
              <w:rPr>
                <w:spacing w:val="-3"/>
                <w:sz w:val="24"/>
              </w:rPr>
              <w:t> </w:t>
            </w:r>
            <w:r>
              <w:rPr>
                <w:sz w:val="24"/>
              </w:rPr>
              <w:t>of</w:t>
            </w:r>
            <w:r>
              <w:rPr>
                <w:spacing w:val="-1"/>
                <w:sz w:val="24"/>
              </w:rPr>
              <w:t> </w:t>
            </w:r>
            <w:r>
              <w:rPr>
                <w:sz w:val="24"/>
              </w:rPr>
              <w:t>household</w:t>
            </w:r>
            <w:r>
              <w:rPr>
                <w:spacing w:val="1"/>
                <w:sz w:val="24"/>
              </w:rPr>
              <w:t> </w:t>
            </w:r>
            <w:r>
              <w:rPr>
                <w:sz w:val="24"/>
              </w:rPr>
              <w:t>with</w:t>
            </w:r>
            <w:r>
              <w:rPr>
                <w:spacing w:val="-1"/>
                <w:sz w:val="24"/>
              </w:rPr>
              <w:t> </w:t>
            </w:r>
            <w:r>
              <w:rPr>
                <w:spacing w:val="-2"/>
                <w:sz w:val="24"/>
              </w:rPr>
              <w:t>river/spring</w:t>
            </w:r>
          </w:p>
        </w:tc>
        <w:tc>
          <w:tcPr>
            <w:tcW w:w="948" w:type="dxa"/>
          </w:tcPr>
          <w:p>
            <w:pPr>
              <w:pStyle w:val="TableParagraph"/>
              <w:spacing w:line="271" w:lineRule="exact"/>
              <w:ind w:left="106"/>
              <w:rPr>
                <w:sz w:val="24"/>
              </w:rPr>
            </w:pPr>
            <w:r>
              <w:rPr>
                <w:spacing w:val="-4"/>
                <w:sz w:val="24"/>
              </w:rPr>
              <w:t>10.2</w:t>
            </w:r>
          </w:p>
        </w:tc>
        <w:tc>
          <w:tcPr>
            <w:tcW w:w="1521" w:type="dxa"/>
          </w:tcPr>
          <w:p>
            <w:pPr>
              <w:pStyle w:val="TableParagraph"/>
              <w:spacing w:line="271" w:lineRule="exact"/>
              <w:ind w:left="130"/>
              <w:rPr>
                <w:sz w:val="24"/>
              </w:rPr>
            </w:pPr>
            <w:r>
              <w:rPr>
                <w:spacing w:val="-10"/>
                <w:sz w:val="24"/>
              </w:rPr>
              <w:t>0</w:t>
            </w:r>
          </w:p>
        </w:tc>
        <w:tc>
          <w:tcPr>
            <w:tcW w:w="736" w:type="dxa"/>
          </w:tcPr>
          <w:p>
            <w:pPr>
              <w:pStyle w:val="TableParagraph"/>
              <w:spacing w:line="271" w:lineRule="exact"/>
              <w:ind w:left="105"/>
              <w:rPr>
                <w:sz w:val="24"/>
              </w:rPr>
            </w:pPr>
            <w:r>
              <w:rPr>
                <w:spacing w:val="-4"/>
                <w:sz w:val="24"/>
              </w:rPr>
              <w:t>13.6</w:t>
            </w:r>
          </w:p>
        </w:tc>
      </w:tr>
      <w:tr>
        <w:trPr>
          <w:trHeight w:val="552" w:hRule="atLeast"/>
        </w:trPr>
        <w:tc>
          <w:tcPr>
            <w:tcW w:w="641" w:type="dxa"/>
          </w:tcPr>
          <w:p>
            <w:pPr>
              <w:pStyle w:val="TableParagraph"/>
              <w:spacing w:before="135"/>
              <w:ind w:left="115"/>
              <w:rPr>
                <w:b/>
                <w:sz w:val="24"/>
              </w:rPr>
            </w:pPr>
            <w:r>
              <w:rPr>
                <w:b/>
                <w:spacing w:val="-10"/>
                <w:sz w:val="24"/>
              </w:rPr>
              <w:t>7</w:t>
            </w:r>
          </w:p>
        </w:tc>
        <w:tc>
          <w:tcPr>
            <w:tcW w:w="5006" w:type="dxa"/>
          </w:tcPr>
          <w:p>
            <w:pPr>
              <w:pStyle w:val="TableParagraph"/>
              <w:spacing w:before="130"/>
              <w:ind w:left="150"/>
              <w:rPr>
                <w:sz w:val="24"/>
              </w:rPr>
            </w:pPr>
            <w:r>
              <w:rPr>
                <w:sz w:val="24"/>
              </w:rPr>
              <w:t>Percentage</w:t>
            </w:r>
            <w:r>
              <w:rPr>
                <w:spacing w:val="-3"/>
                <w:sz w:val="24"/>
              </w:rPr>
              <w:t> </w:t>
            </w:r>
            <w:r>
              <w:rPr>
                <w:sz w:val="24"/>
              </w:rPr>
              <w:t>of</w:t>
            </w:r>
            <w:r>
              <w:rPr>
                <w:spacing w:val="-1"/>
                <w:sz w:val="24"/>
              </w:rPr>
              <w:t> </w:t>
            </w:r>
            <w:r>
              <w:rPr>
                <w:sz w:val="24"/>
              </w:rPr>
              <w:t>household</w:t>
            </w:r>
            <w:r>
              <w:rPr>
                <w:spacing w:val="1"/>
                <w:sz w:val="24"/>
              </w:rPr>
              <w:t> </w:t>
            </w:r>
            <w:r>
              <w:rPr>
                <w:sz w:val="24"/>
              </w:rPr>
              <w:t>with</w:t>
            </w:r>
            <w:r>
              <w:rPr>
                <w:spacing w:val="-1"/>
                <w:sz w:val="24"/>
              </w:rPr>
              <w:t> </w:t>
            </w:r>
            <w:r>
              <w:rPr>
                <w:spacing w:val="-2"/>
                <w:sz w:val="24"/>
              </w:rPr>
              <w:t>lake/reservoir</w:t>
            </w:r>
          </w:p>
        </w:tc>
        <w:tc>
          <w:tcPr>
            <w:tcW w:w="948" w:type="dxa"/>
          </w:tcPr>
          <w:p>
            <w:pPr>
              <w:pStyle w:val="TableParagraph"/>
              <w:spacing w:before="130"/>
              <w:ind w:left="106"/>
              <w:rPr>
                <w:sz w:val="24"/>
              </w:rPr>
            </w:pPr>
            <w:r>
              <w:rPr>
                <w:spacing w:val="-10"/>
                <w:sz w:val="24"/>
              </w:rPr>
              <w:t>0</w:t>
            </w:r>
          </w:p>
        </w:tc>
        <w:tc>
          <w:tcPr>
            <w:tcW w:w="1521" w:type="dxa"/>
          </w:tcPr>
          <w:p>
            <w:pPr>
              <w:pStyle w:val="TableParagraph"/>
              <w:spacing w:before="130"/>
              <w:ind w:left="130"/>
              <w:rPr>
                <w:sz w:val="24"/>
              </w:rPr>
            </w:pPr>
            <w:r>
              <w:rPr>
                <w:spacing w:val="-10"/>
                <w:sz w:val="24"/>
              </w:rPr>
              <w:t>0</w:t>
            </w:r>
          </w:p>
        </w:tc>
        <w:tc>
          <w:tcPr>
            <w:tcW w:w="736" w:type="dxa"/>
          </w:tcPr>
          <w:p>
            <w:pPr>
              <w:pStyle w:val="TableParagraph"/>
              <w:spacing w:before="130"/>
              <w:ind w:left="105"/>
              <w:rPr>
                <w:sz w:val="24"/>
              </w:rPr>
            </w:pPr>
            <w:r>
              <w:rPr>
                <w:spacing w:val="-5"/>
                <w:sz w:val="24"/>
              </w:rPr>
              <w:t>0.2</w:t>
            </w:r>
          </w:p>
        </w:tc>
      </w:tr>
      <w:tr>
        <w:trPr>
          <w:trHeight w:val="551" w:hRule="atLeast"/>
        </w:trPr>
        <w:tc>
          <w:tcPr>
            <w:tcW w:w="641" w:type="dxa"/>
          </w:tcPr>
          <w:p>
            <w:pPr>
              <w:pStyle w:val="TableParagraph"/>
              <w:spacing w:before="135"/>
              <w:ind w:left="115"/>
              <w:rPr>
                <w:b/>
                <w:sz w:val="24"/>
              </w:rPr>
            </w:pPr>
            <w:r>
              <w:rPr>
                <w:b/>
                <w:spacing w:val="-10"/>
                <w:sz w:val="24"/>
              </w:rPr>
              <w:t>8</w:t>
            </w:r>
          </w:p>
        </w:tc>
        <w:tc>
          <w:tcPr>
            <w:tcW w:w="5006" w:type="dxa"/>
          </w:tcPr>
          <w:p>
            <w:pPr>
              <w:pStyle w:val="TableParagraph"/>
              <w:spacing w:before="130"/>
              <w:ind w:left="150"/>
              <w:rPr>
                <w:sz w:val="24"/>
              </w:rPr>
            </w:pPr>
            <w:r>
              <w:rPr>
                <w:sz w:val="24"/>
              </w:rPr>
              <w:t>Percentage</w:t>
            </w:r>
            <w:r>
              <w:rPr>
                <w:spacing w:val="-3"/>
                <w:sz w:val="24"/>
              </w:rPr>
              <w:t> </w:t>
            </w:r>
            <w:r>
              <w:rPr>
                <w:sz w:val="24"/>
              </w:rPr>
              <w:t>of</w:t>
            </w:r>
            <w:r>
              <w:rPr>
                <w:spacing w:val="-1"/>
                <w:sz w:val="24"/>
              </w:rPr>
              <w:t> </w:t>
            </w:r>
            <w:r>
              <w:rPr>
                <w:sz w:val="24"/>
              </w:rPr>
              <w:t>household with</w:t>
            </w:r>
            <w:r>
              <w:rPr>
                <w:spacing w:val="-1"/>
                <w:sz w:val="24"/>
              </w:rPr>
              <w:t> </w:t>
            </w:r>
            <w:r>
              <w:rPr>
                <w:sz w:val="24"/>
              </w:rPr>
              <w:t>rain</w:t>
            </w:r>
            <w:r>
              <w:rPr>
                <w:spacing w:val="-1"/>
                <w:sz w:val="24"/>
              </w:rPr>
              <w:t> </w:t>
            </w:r>
            <w:r>
              <w:rPr>
                <w:spacing w:val="-2"/>
                <w:sz w:val="24"/>
              </w:rPr>
              <w:t>water</w:t>
            </w:r>
          </w:p>
        </w:tc>
        <w:tc>
          <w:tcPr>
            <w:tcW w:w="948" w:type="dxa"/>
          </w:tcPr>
          <w:p>
            <w:pPr>
              <w:pStyle w:val="TableParagraph"/>
              <w:spacing w:before="130"/>
              <w:ind w:left="106"/>
              <w:rPr>
                <w:sz w:val="24"/>
              </w:rPr>
            </w:pPr>
            <w:r>
              <w:rPr>
                <w:spacing w:val="-5"/>
                <w:sz w:val="24"/>
              </w:rPr>
              <w:t>0.7</w:t>
            </w:r>
          </w:p>
        </w:tc>
        <w:tc>
          <w:tcPr>
            <w:tcW w:w="1521" w:type="dxa"/>
          </w:tcPr>
          <w:p>
            <w:pPr>
              <w:pStyle w:val="TableParagraph"/>
              <w:spacing w:before="130"/>
              <w:ind w:left="130"/>
              <w:rPr>
                <w:sz w:val="24"/>
              </w:rPr>
            </w:pPr>
            <w:r>
              <w:rPr>
                <w:spacing w:val="-10"/>
                <w:sz w:val="24"/>
              </w:rPr>
              <w:t>0</w:t>
            </w:r>
          </w:p>
        </w:tc>
        <w:tc>
          <w:tcPr>
            <w:tcW w:w="736" w:type="dxa"/>
          </w:tcPr>
          <w:p>
            <w:pPr>
              <w:pStyle w:val="TableParagraph"/>
              <w:spacing w:before="130"/>
              <w:ind w:left="105"/>
              <w:rPr>
                <w:sz w:val="24"/>
              </w:rPr>
            </w:pPr>
            <w:r>
              <w:rPr>
                <w:spacing w:val="-5"/>
                <w:sz w:val="24"/>
              </w:rPr>
              <w:t>0.1</w:t>
            </w:r>
          </w:p>
        </w:tc>
      </w:tr>
      <w:tr>
        <w:trPr>
          <w:trHeight w:val="688" w:hRule="atLeast"/>
        </w:trPr>
        <w:tc>
          <w:tcPr>
            <w:tcW w:w="641" w:type="dxa"/>
          </w:tcPr>
          <w:p>
            <w:pPr>
              <w:pStyle w:val="TableParagraph"/>
              <w:spacing w:before="135"/>
              <w:ind w:left="115"/>
              <w:rPr>
                <w:b/>
                <w:sz w:val="24"/>
              </w:rPr>
            </w:pPr>
            <w:r>
              <w:rPr>
                <w:b/>
                <w:spacing w:val="-10"/>
                <w:sz w:val="24"/>
              </w:rPr>
              <w:t>9</w:t>
            </w:r>
          </w:p>
        </w:tc>
        <w:tc>
          <w:tcPr>
            <w:tcW w:w="5006" w:type="dxa"/>
          </w:tcPr>
          <w:p>
            <w:pPr>
              <w:pStyle w:val="TableParagraph"/>
              <w:tabs>
                <w:tab w:pos="1417" w:val="left" w:leader="none"/>
                <w:tab w:pos="1832" w:val="left" w:leader="none"/>
                <w:tab w:pos="3036" w:val="left" w:leader="none"/>
                <w:tab w:pos="3679" w:val="left" w:leader="none"/>
                <w:tab w:pos="4425" w:val="left" w:leader="none"/>
              </w:tabs>
              <w:spacing w:line="270" w:lineRule="atLeast" w:before="116"/>
              <w:ind w:left="150" w:right="113"/>
              <w:rPr>
                <w:sz w:val="24"/>
              </w:rPr>
            </w:pPr>
            <w:r>
              <w:rPr>
                <w:spacing w:val="-2"/>
                <w:sz w:val="24"/>
              </w:rPr>
              <w:t>Percentage</w:t>
            </w:r>
            <w:r>
              <w:rPr>
                <w:sz w:val="24"/>
              </w:rPr>
              <w:tab/>
            </w:r>
            <w:r>
              <w:rPr>
                <w:spacing w:val="-6"/>
                <w:sz w:val="24"/>
              </w:rPr>
              <w:t>of</w:t>
            </w:r>
            <w:r>
              <w:rPr>
                <w:sz w:val="24"/>
              </w:rPr>
              <w:tab/>
            </w:r>
            <w:r>
              <w:rPr>
                <w:spacing w:val="-2"/>
                <w:sz w:val="24"/>
              </w:rPr>
              <w:t>household</w:t>
            </w:r>
            <w:r>
              <w:rPr>
                <w:sz w:val="24"/>
              </w:rPr>
              <w:tab/>
            </w:r>
            <w:r>
              <w:rPr>
                <w:spacing w:val="-4"/>
                <w:sz w:val="24"/>
              </w:rPr>
              <w:t>with</w:t>
            </w:r>
            <w:r>
              <w:rPr>
                <w:sz w:val="24"/>
              </w:rPr>
              <w:tab/>
            </w:r>
            <w:r>
              <w:rPr>
                <w:spacing w:val="-2"/>
                <w:sz w:val="24"/>
              </w:rPr>
              <w:t>water</w:t>
            </w:r>
            <w:r>
              <w:rPr>
                <w:sz w:val="24"/>
              </w:rPr>
              <w:tab/>
            </w:r>
            <w:r>
              <w:rPr>
                <w:spacing w:val="-4"/>
                <w:sz w:val="24"/>
              </w:rPr>
              <w:t>from </w:t>
            </w:r>
            <w:r>
              <w:rPr>
                <w:spacing w:val="-2"/>
                <w:sz w:val="24"/>
              </w:rPr>
              <w:t>tanker/truck/vendor</w:t>
            </w:r>
          </w:p>
        </w:tc>
        <w:tc>
          <w:tcPr>
            <w:tcW w:w="948" w:type="dxa"/>
          </w:tcPr>
          <w:p>
            <w:pPr>
              <w:pStyle w:val="TableParagraph"/>
              <w:spacing w:before="130"/>
              <w:ind w:left="106"/>
              <w:rPr>
                <w:sz w:val="24"/>
              </w:rPr>
            </w:pPr>
            <w:r>
              <w:rPr>
                <w:spacing w:val="-5"/>
                <w:sz w:val="24"/>
              </w:rPr>
              <w:t>7.3</w:t>
            </w:r>
          </w:p>
        </w:tc>
        <w:tc>
          <w:tcPr>
            <w:tcW w:w="1521" w:type="dxa"/>
          </w:tcPr>
          <w:p>
            <w:pPr>
              <w:pStyle w:val="TableParagraph"/>
              <w:spacing w:before="130"/>
              <w:ind w:left="130"/>
              <w:rPr>
                <w:sz w:val="24"/>
              </w:rPr>
            </w:pPr>
            <w:r>
              <w:rPr>
                <w:spacing w:val="-4"/>
                <w:sz w:val="24"/>
              </w:rPr>
              <w:t>37.5</w:t>
            </w:r>
          </w:p>
        </w:tc>
        <w:tc>
          <w:tcPr>
            <w:tcW w:w="736" w:type="dxa"/>
          </w:tcPr>
          <w:p>
            <w:pPr>
              <w:pStyle w:val="TableParagraph"/>
              <w:spacing w:before="130"/>
              <w:ind w:left="105"/>
              <w:rPr>
                <w:sz w:val="24"/>
              </w:rPr>
            </w:pPr>
            <w:r>
              <w:rPr>
                <w:spacing w:val="-5"/>
                <w:sz w:val="24"/>
              </w:rPr>
              <w:t>2.3</w:t>
            </w:r>
          </w:p>
        </w:tc>
      </w:tr>
      <w:tr>
        <w:trPr>
          <w:trHeight w:val="556" w:hRule="atLeast"/>
        </w:trPr>
        <w:tc>
          <w:tcPr>
            <w:tcW w:w="641" w:type="dxa"/>
            <w:tcBorders>
              <w:bottom w:val="single" w:sz="8" w:space="0" w:color="000000"/>
            </w:tcBorders>
          </w:tcPr>
          <w:p>
            <w:pPr>
              <w:pStyle w:val="TableParagraph"/>
              <w:spacing w:line="276" w:lineRule="exact"/>
              <w:ind w:left="115"/>
              <w:rPr>
                <w:b/>
                <w:sz w:val="24"/>
              </w:rPr>
            </w:pPr>
            <w:r>
              <w:rPr>
                <w:b/>
                <w:spacing w:val="-5"/>
                <w:sz w:val="24"/>
              </w:rPr>
              <w:t>10</w:t>
            </w:r>
          </w:p>
        </w:tc>
        <w:tc>
          <w:tcPr>
            <w:tcW w:w="5006" w:type="dxa"/>
            <w:tcBorders>
              <w:bottom w:val="single" w:sz="8" w:space="0" w:color="000000"/>
            </w:tcBorders>
          </w:tcPr>
          <w:p>
            <w:pPr>
              <w:pStyle w:val="TableParagraph"/>
              <w:spacing w:line="271" w:lineRule="exact"/>
              <w:ind w:left="150"/>
              <w:rPr>
                <w:sz w:val="24"/>
              </w:rPr>
            </w:pPr>
            <w:r>
              <w:rPr>
                <w:spacing w:val="-2"/>
                <w:sz w:val="24"/>
              </w:rPr>
              <w:t>Others</w:t>
            </w:r>
          </w:p>
        </w:tc>
        <w:tc>
          <w:tcPr>
            <w:tcW w:w="948" w:type="dxa"/>
            <w:tcBorders>
              <w:bottom w:val="single" w:sz="8" w:space="0" w:color="000000"/>
            </w:tcBorders>
          </w:tcPr>
          <w:p>
            <w:pPr>
              <w:pStyle w:val="TableParagraph"/>
              <w:spacing w:line="271" w:lineRule="exact"/>
              <w:ind w:left="106"/>
              <w:rPr>
                <w:sz w:val="24"/>
              </w:rPr>
            </w:pPr>
            <w:r>
              <w:rPr>
                <w:spacing w:val="-10"/>
                <w:sz w:val="24"/>
              </w:rPr>
              <w:t>0</w:t>
            </w:r>
          </w:p>
        </w:tc>
        <w:tc>
          <w:tcPr>
            <w:tcW w:w="1521" w:type="dxa"/>
            <w:tcBorders>
              <w:bottom w:val="single" w:sz="8" w:space="0" w:color="000000"/>
            </w:tcBorders>
          </w:tcPr>
          <w:p>
            <w:pPr>
              <w:pStyle w:val="TableParagraph"/>
              <w:spacing w:line="271" w:lineRule="exact"/>
              <w:ind w:left="130"/>
              <w:rPr>
                <w:sz w:val="24"/>
              </w:rPr>
            </w:pPr>
            <w:r>
              <w:rPr>
                <w:spacing w:val="-10"/>
                <w:sz w:val="24"/>
              </w:rPr>
              <w:t>0</w:t>
            </w:r>
          </w:p>
        </w:tc>
        <w:tc>
          <w:tcPr>
            <w:tcW w:w="736" w:type="dxa"/>
            <w:tcBorders>
              <w:bottom w:val="single" w:sz="8" w:space="0" w:color="000000"/>
            </w:tcBorders>
          </w:tcPr>
          <w:p>
            <w:pPr>
              <w:pStyle w:val="TableParagraph"/>
              <w:spacing w:line="271" w:lineRule="exact"/>
              <w:ind w:left="105"/>
              <w:rPr>
                <w:sz w:val="24"/>
              </w:rPr>
            </w:pPr>
            <w:r>
              <w:rPr>
                <w:spacing w:val="-5"/>
                <w:sz w:val="24"/>
              </w:rPr>
              <w:t>0.1</w:t>
            </w:r>
          </w:p>
        </w:tc>
      </w:tr>
    </w:tbl>
    <w:p>
      <w:pPr>
        <w:pStyle w:val="BodyText"/>
        <w:ind w:left="267" w:right="1909"/>
      </w:pPr>
      <w:r>
        <w:rPr/>
        <w:t>*The</w:t>
      </w:r>
      <w:r>
        <w:rPr>
          <w:spacing w:val="-6"/>
        </w:rPr>
        <w:t> </w:t>
      </w:r>
      <w:r>
        <w:rPr/>
        <w:t>neighbourhoods</w:t>
      </w:r>
      <w:r>
        <w:rPr>
          <w:spacing w:val="-4"/>
        </w:rPr>
        <w:t> </w:t>
      </w:r>
      <w:r>
        <w:rPr/>
        <w:t>in</w:t>
      </w:r>
      <w:r>
        <w:rPr>
          <w:spacing w:val="-2"/>
        </w:rPr>
        <w:t> </w:t>
      </w:r>
      <w:r>
        <w:rPr/>
        <w:t>the</w:t>
      </w:r>
      <w:r>
        <w:rPr>
          <w:spacing w:val="-4"/>
        </w:rPr>
        <w:t> </w:t>
      </w:r>
      <w:r>
        <w:rPr/>
        <w:t>study</w:t>
      </w:r>
      <w:r>
        <w:rPr>
          <w:spacing w:val="-9"/>
        </w:rPr>
        <w:t> </w:t>
      </w:r>
      <w:r>
        <w:rPr/>
        <w:t>area</w:t>
      </w:r>
      <w:r>
        <w:rPr>
          <w:spacing w:val="-3"/>
        </w:rPr>
        <w:t> </w:t>
      </w:r>
      <w:r>
        <w:rPr/>
        <w:t>are</w:t>
      </w:r>
      <w:r>
        <w:rPr>
          <w:spacing w:val="-6"/>
        </w:rPr>
        <w:t> </w:t>
      </w:r>
      <w:r>
        <w:rPr/>
        <w:t>located</w:t>
      </w:r>
      <w:r>
        <w:rPr>
          <w:spacing w:val="-3"/>
        </w:rPr>
        <w:t> </w:t>
      </w:r>
      <w:r>
        <w:rPr/>
        <w:t>within</w:t>
      </w:r>
      <w:r>
        <w:rPr>
          <w:spacing w:val="-4"/>
        </w:rPr>
        <w:t> </w:t>
      </w:r>
      <w:r>
        <w:rPr/>
        <w:t>the</w:t>
      </w:r>
      <w:r>
        <w:rPr>
          <w:spacing w:val="-4"/>
        </w:rPr>
        <w:t> </w:t>
      </w:r>
      <w:r>
        <w:rPr/>
        <w:t>two</w:t>
      </w:r>
      <w:r>
        <w:rPr>
          <w:spacing w:val="-3"/>
        </w:rPr>
        <w:t> </w:t>
      </w:r>
      <w:r>
        <w:rPr/>
        <w:t>LGAs. Source: Niger State Bureau of Statistics Socioeconomic Survey (2014)</w:t>
      </w:r>
    </w:p>
    <w:p>
      <w:pPr>
        <w:spacing w:after="0"/>
        <w:sectPr>
          <w:pgSz w:w="12240" w:h="15840"/>
          <w:pgMar w:header="0" w:footer="1068" w:top="1320" w:bottom="1260" w:left="1720" w:right="680"/>
        </w:sectPr>
      </w:pPr>
    </w:p>
    <w:p>
      <w:pPr>
        <w:pStyle w:val="BodyText"/>
        <w:spacing w:line="480" w:lineRule="auto" w:before="63"/>
        <w:ind w:left="267" w:right="725"/>
        <w:jc w:val="both"/>
      </w:pPr>
      <w:r>
        <w:rPr/>
        <w:t>As</w:t>
      </w:r>
      <w:r>
        <w:rPr>
          <w:spacing w:val="-8"/>
        </w:rPr>
        <w:t> </w:t>
      </w:r>
      <w:r>
        <w:rPr/>
        <w:t>shown</w:t>
      </w:r>
      <w:r>
        <w:rPr>
          <w:spacing w:val="-8"/>
        </w:rPr>
        <w:t> </w:t>
      </w:r>
      <w:r>
        <w:rPr/>
        <w:t>in</w:t>
      </w:r>
      <w:r>
        <w:rPr>
          <w:spacing w:val="-7"/>
        </w:rPr>
        <w:t> </w:t>
      </w:r>
      <w:r>
        <w:rPr/>
        <w:t>Table</w:t>
      </w:r>
      <w:r>
        <w:rPr>
          <w:spacing w:val="-8"/>
        </w:rPr>
        <w:t> </w:t>
      </w:r>
      <w:r>
        <w:rPr/>
        <w:t>1.1,</w:t>
      </w:r>
      <w:r>
        <w:rPr>
          <w:spacing w:val="-7"/>
        </w:rPr>
        <w:t> </w:t>
      </w:r>
      <w:r>
        <w:rPr/>
        <w:t>it</w:t>
      </w:r>
      <w:r>
        <w:rPr>
          <w:spacing w:val="-4"/>
        </w:rPr>
        <w:t> </w:t>
      </w:r>
      <w:r>
        <w:rPr/>
        <w:t>is</w:t>
      </w:r>
      <w:r>
        <w:rPr>
          <w:spacing w:val="-7"/>
        </w:rPr>
        <w:t> </w:t>
      </w:r>
      <w:r>
        <w:rPr/>
        <w:t>apparent</w:t>
      </w:r>
      <w:r>
        <w:rPr>
          <w:spacing w:val="-7"/>
        </w:rPr>
        <w:t> </w:t>
      </w:r>
      <w:r>
        <w:rPr/>
        <w:t>that</w:t>
      </w:r>
      <w:r>
        <w:rPr>
          <w:spacing w:val="-7"/>
        </w:rPr>
        <w:t> </w:t>
      </w:r>
      <w:r>
        <w:rPr/>
        <w:t>the</w:t>
      </w:r>
      <w:r>
        <w:rPr>
          <w:spacing w:val="-8"/>
        </w:rPr>
        <w:t> </w:t>
      </w:r>
      <w:r>
        <w:rPr/>
        <w:t>percentage</w:t>
      </w:r>
      <w:r>
        <w:rPr>
          <w:spacing w:val="-9"/>
        </w:rPr>
        <w:t> </w:t>
      </w:r>
      <w:r>
        <w:rPr/>
        <w:t>of</w:t>
      </w:r>
      <w:r>
        <w:rPr>
          <w:spacing w:val="-8"/>
        </w:rPr>
        <w:t> </w:t>
      </w:r>
      <w:r>
        <w:rPr/>
        <w:t>households</w:t>
      </w:r>
      <w:r>
        <w:rPr>
          <w:spacing w:val="-7"/>
        </w:rPr>
        <w:t> </w:t>
      </w:r>
      <w:r>
        <w:rPr/>
        <w:t>with</w:t>
      </w:r>
      <w:r>
        <w:rPr>
          <w:spacing w:val="-4"/>
        </w:rPr>
        <w:t> </w:t>
      </w:r>
      <w:r>
        <w:rPr/>
        <w:t>access</w:t>
      </w:r>
      <w:r>
        <w:rPr>
          <w:spacing w:val="-7"/>
        </w:rPr>
        <w:t> </w:t>
      </w:r>
      <w:r>
        <w:rPr/>
        <w:t>to</w:t>
      </w:r>
      <w:r>
        <w:rPr>
          <w:spacing w:val="-7"/>
        </w:rPr>
        <w:t> </w:t>
      </w:r>
      <w:r>
        <w:rPr/>
        <w:t>treated drinking water in the study area is above the State average. More so, a small proportion of the households has access to safe drinking water, with most residents depending mainly on other secondary water delivery mechanisms such as boreholes, wells, rivers and water </w:t>
      </w:r>
      <w:r>
        <w:rPr>
          <w:spacing w:val="-2"/>
        </w:rPr>
        <w:t>vendors.</w:t>
      </w:r>
    </w:p>
    <w:p>
      <w:pPr>
        <w:pStyle w:val="Heading1"/>
        <w:numPr>
          <w:ilvl w:val="2"/>
          <w:numId w:val="1"/>
        </w:numPr>
        <w:tabs>
          <w:tab w:pos="986" w:val="left" w:leader="none"/>
        </w:tabs>
        <w:spacing w:line="240" w:lineRule="auto" w:before="8" w:after="0"/>
        <w:ind w:left="986" w:right="0" w:hanging="719"/>
        <w:jc w:val="both"/>
      </w:pPr>
      <w:r>
        <w:rPr/>
        <w:t>Economic</w:t>
      </w:r>
      <w:r>
        <w:rPr>
          <w:spacing w:val="-2"/>
        </w:rPr>
        <w:t> </w:t>
      </w:r>
      <w:r>
        <w:rPr/>
        <w:t>base</w:t>
      </w:r>
      <w:r>
        <w:rPr>
          <w:spacing w:val="-3"/>
        </w:rPr>
        <w:t> </w:t>
      </w:r>
      <w:r>
        <w:rPr/>
        <w:t>and</w:t>
      </w:r>
      <w:r>
        <w:rPr>
          <w:spacing w:val="-1"/>
        </w:rPr>
        <w:t> </w:t>
      </w:r>
      <w:r>
        <w:rPr>
          <w:spacing w:val="-2"/>
        </w:rPr>
        <w:t>development</w:t>
      </w:r>
    </w:p>
    <w:p>
      <w:pPr>
        <w:pStyle w:val="BodyText"/>
        <w:spacing w:before="14"/>
        <w:rPr>
          <w:b/>
        </w:rPr>
      </w:pPr>
    </w:p>
    <w:p>
      <w:pPr>
        <w:pStyle w:val="BodyText"/>
        <w:spacing w:line="480" w:lineRule="auto"/>
        <w:ind w:left="267" w:right="726"/>
        <w:jc w:val="both"/>
      </w:pPr>
      <w:r>
        <w:rPr/>
        <w:t>The</w:t>
      </w:r>
      <w:r>
        <w:rPr>
          <w:spacing w:val="-11"/>
        </w:rPr>
        <w:t> </w:t>
      </w:r>
      <w:r>
        <w:rPr/>
        <w:t>city</w:t>
      </w:r>
      <w:r>
        <w:rPr>
          <w:spacing w:val="-14"/>
        </w:rPr>
        <w:t> </w:t>
      </w:r>
      <w:r>
        <w:rPr/>
        <w:t>of</w:t>
      </w:r>
      <w:r>
        <w:rPr>
          <w:spacing w:val="-11"/>
        </w:rPr>
        <w:t> </w:t>
      </w:r>
      <w:r>
        <w:rPr/>
        <w:t>Minna</w:t>
      </w:r>
      <w:r>
        <w:rPr>
          <w:spacing w:val="-11"/>
        </w:rPr>
        <w:t> </w:t>
      </w:r>
      <w:r>
        <w:rPr/>
        <w:t>has</w:t>
      </w:r>
      <w:r>
        <w:rPr>
          <w:spacing w:val="-10"/>
        </w:rPr>
        <w:t> </w:t>
      </w:r>
      <w:r>
        <w:rPr/>
        <w:t>a</w:t>
      </w:r>
      <w:r>
        <w:rPr>
          <w:spacing w:val="-11"/>
        </w:rPr>
        <w:t> </w:t>
      </w:r>
      <w:r>
        <w:rPr/>
        <w:t>diverse</w:t>
      </w:r>
      <w:r>
        <w:rPr>
          <w:spacing w:val="-11"/>
        </w:rPr>
        <w:t> </w:t>
      </w:r>
      <w:r>
        <w:rPr/>
        <w:t>economic</w:t>
      </w:r>
      <w:r>
        <w:rPr>
          <w:spacing w:val="-11"/>
        </w:rPr>
        <w:t> </w:t>
      </w:r>
      <w:r>
        <w:rPr/>
        <w:t>base</w:t>
      </w:r>
      <w:r>
        <w:rPr>
          <w:spacing w:val="-11"/>
        </w:rPr>
        <w:t> </w:t>
      </w:r>
      <w:r>
        <w:rPr/>
        <w:t>which</w:t>
      </w:r>
      <w:r>
        <w:rPr>
          <w:spacing w:val="-11"/>
        </w:rPr>
        <w:t> </w:t>
      </w:r>
      <w:r>
        <w:rPr/>
        <w:t>contributes</w:t>
      </w:r>
      <w:r>
        <w:rPr>
          <w:spacing w:val="-10"/>
        </w:rPr>
        <w:t> </w:t>
      </w:r>
      <w:r>
        <w:rPr/>
        <w:t>to</w:t>
      </w:r>
      <w:r>
        <w:rPr>
          <w:spacing w:val="-10"/>
        </w:rPr>
        <w:t> </w:t>
      </w:r>
      <w:r>
        <w:rPr/>
        <w:t>its</w:t>
      </w:r>
      <w:r>
        <w:rPr>
          <w:spacing w:val="-12"/>
        </w:rPr>
        <w:t> </w:t>
      </w:r>
      <w:r>
        <w:rPr/>
        <w:t>economic</w:t>
      </w:r>
      <w:r>
        <w:rPr>
          <w:spacing w:val="-11"/>
        </w:rPr>
        <w:t> </w:t>
      </w:r>
      <w:r>
        <w:rPr/>
        <w:t>growth</w:t>
      </w:r>
      <w:r>
        <w:rPr>
          <w:spacing w:val="-10"/>
        </w:rPr>
        <w:t> </w:t>
      </w:r>
      <w:r>
        <w:rPr/>
        <w:t>and development. Though, the city was initially a largely agrarian economy, the rail line construction by the colonialists provided the impetus for the economic development of the city. Aside the creation of Niger state in 1976 with its state capital in Minna, notable developments which further boast the economy of the city includes: the construction of an aerodrome in 1929, Bosso dam in 1947, Chanchaga dam in 1978 and electricity supply in 1962. These physical developments increased the industrialization of the city</w:t>
      </w:r>
      <w:r>
        <w:rPr>
          <w:spacing w:val="-1"/>
        </w:rPr>
        <w:t> </w:t>
      </w:r>
      <w:r>
        <w:rPr/>
        <w:t>and provide a veritable source of employment opportunities to the inhabitants of the city.</w:t>
      </w:r>
    </w:p>
    <w:p>
      <w:pPr>
        <w:pStyle w:val="BodyText"/>
        <w:spacing w:before="1"/>
      </w:pPr>
    </w:p>
    <w:p>
      <w:pPr>
        <w:pStyle w:val="BodyText"/>
        <w:spacing w:line="480" w:lineRule="auto" w:before="1"/>
        <w:ind w:left="267" w:right="727"/>
        <w:jc w:val="both"/>
      </w:pPr>
      <w:r>
        <w:rPr/>
        <w:t>With</w:t>
      </w:r>
      <w:r>
        <w:rPr>
          <w:spacing w:val="-8"/>
        </w:rPr>
        <w:t> </w:t>
      </w:r>
      <w:r>
        <w:rPr/>
        <w:t>an</w:t>
      </w:r>
      <w:r>
        <w:rPr>
          <w:spacing w:val="-8"/>
        </w:rPr>
        <w:t> </w:t>
      </w:r>
      <w:r>
        <w:rPr/>
        <w:t>unprecedented</w:t>
      </w:r>
      <w:r>
        <w:rPr>
          <w:spacing w:val="-6"/>
        </w:rPr>
        <w:t> </w:t>
      </w:r>
      <w:r>
        <w:rPr/>
        <w:t>rapid</w:t>
      </w:r>
      <w:r>
        <w:rPr>
          <w:spacing w:val="-8"/>
        </w:rPr>
        <w:t> </w:t>
      </w:r>
      <w:r>
        <w:rPr/>
        <w:t>population</w:t>
      </w:r>
      <w:r>
        <w:rPr>
          <w:spacing w:val="-8"/>
        </w:rPr>
        <w:t> </w:t>
      </w:r>
      <w:r>
        <w:rPr/>
        <w:t>at</w:t>
      </w:r>
      <w:r>
        <w:rPr>
          <w:spacing w:val="-8"/>
        </w:rPr>
        <w:t> </w:t>
      </w:r>
      <w:r>
        <w:rPr/>
        <w:t>7.9%</w:t>
      </w:r>
      <w:r>
        <w:rPr>
          <w:spacing w:val="-9"/>
        </w:rPr>
        <w:t> </w:t>
      </w:r>
      <w:r>
        <w:rPr/>
        <w:t>annual</w:t>
      </w:r>
      <w:r>
        <w:rPr>
          <w:spacing w:val="-8"/>
        </w:rPr>
        <w:t> </w:t>
      </w:r>
      <w:r>
        <w:rPr/>
        <w:t>growth</w:t>
      </w:r>
      <w:r>
        <w:rPr>
          <w:spacing w:val="-8"/>
        </w:rPr>
        <w:t> </w:t>
      </w:r>
      <w:r>
        <w:rPr/>
        <w:t>rate</w:t>
      </w:r>
      <w:r>
        <w:rPr>
          <w:spacing w:val="-6"/>
        </w:rPr>
        <w:t> </w:t>
      </w:r>
      <w:r>
        <w:rPr/>
        <w:t>which</w:t>
      </w:r>
      <w:r>
        <w:rPr>
          <w:spacing w:val="-6"/>
        </w:rPr>
        <w:t> </w:t>
      </w:r>
      <w:r>
        <w:rPr/>
        <w:t>was</w:t>
      </w:r>
      <w:r>
        <w:rPr>
          <w:spacing w:val="-8"/>
        </w:rPr>
        <w:t> </w:t>
      </w:r>
      <w:r>
        <w:rPr/>
        <w:t>far</w:t>
      </w:r>
      <w:r>
        <w:rPr>
          <w:spacing w:val="-7"/>
        </w:rPr>
        <w:t> </w:t>
      </w:r>
      <w:r>
        <w:rPr/>
        <w:t>above</w:t>
      </w:r>
      <w:r>
        <w:rPr>
          <w:spacing w:val="-9"/>
        </w:rPr>
        <w:t> </w:t>
      </w:r>
      <w:r>
        <w:rPr/>
        <w:t>the national growth rate of 2.83% in Nigeria between 1991 and 2002, the city became more urbanized</w:t>
      </w:r>
      <w:r>
        <w:rPr>
          <w:spacing w:val="-8"/>
        </w:rPr>
        <w:t> </w:t>
      </w:r>
      <w:r>
        <w:rPr/>
        <w:t>with</w:t>
      </w:r>
      <w:r>
        <w:rPr>
          <w:spacing w:val="-8"/>
        </w:rPr>
        <w:t> </w:t>
      </w:r>
      <w:r>
        <w:rPr/>
        <w:t>increase</w:t>
      </w:r>
      <w:r>
        <w:rPr>
          <w:spacing w:val="-9"/>
        </w:rPr>
        <w:t> </w:t>
      </w:r>
      <w:r>
        <w:rPr/>
        <w:t>in</w:t>
      </w:r>
      <w:r>
        <w:rPr>
          <w:spacing w:val="-8"/>
        </w:rPr>
        <w:t> </w:t>
      </w:r>
      <w:r>
        <w:rPr/>
        <w:t>its</w:t>
      </w:r>
      <w:r>
        <w:rPr>
          <w:spacing w:val="-8"/>
        </w:rPr>
        <w:t> </w:t>
      </w:r>
      <w:r>
        <w:rPr/>
        <w:t>administrative</w:t>
      </w:r>
      <w:r>
        <w:rPr>
          <w:spacing w:val="-9"/>
        </w:rPr>
        <w:t> </w:t>
      </w:r>
      <w:r>
        <w:rPr/>
        <w:t>ward,</w:t>
      </w:r>
      <w:r>
        <w:rPr>
          <w:spacing w:val="-7"/>
        </w:rPr>
        <w:t> </w:t>
      </w:r>
      <w:r>
        <w:rPr/>
        <w:t>built-up</w:t>
      </w:r>
      <w:r>
        <w:rPr>
          <w:spacing w:val="-8"/>
        </w:rPr>
        <w:t> </w:t>
      </w:r>
      <w:r>
        <w:rPr/>
        <w:t>areas,</w:t>
      </w:r>
      <w:r>
        <w:rPr>
          <w:spacing w:val="-6"/>
        </w:rPr>
        <w:t> </w:t>
      </w:r>
      <w:r>
        <w:rPr/>
        <w:t>trading,</w:t>
      </w:r>
      <w:r>
        <w:rPr>
          <w:spacing w:val="-8"/>
        </w:rPr>
        <w:t> </w:t>
      </w:r>
      <w:r>
        <w:rPr/>
        <w:t>informal</w:t>
      </w:r>
      <w:r>
        <w:rPr>
          <w:spacing w:val="-8"/>
        </w:rPr>
        <w:t> </w:t>
      </w:r>
      <w:r>
        <w:rPr/>
        <w:t>activities (weaving, traditional manufacturing and restaurant services), public sector and professional services (Sanusi, 2006). Presently, the city has an array of services impacting on its Gross Domestic Product (GDP). This includes: educational institutions, federal and state civil service, private sector, financial services, agriculture and agro-allied industries.</w:t>
      </w:r>
    </w:p>
    <w:p>
      <w:pPr>
        <w:spacing w:after="0" w:line="480" w:lineRule="auto"/>
        <w:jc w:val="both"/>
        <w:sectPr>
          <w:pgSz w:w="12240" w:h="15840"/>
          <w:pgMar w:header="0" w:footer="1068" w:top="1340" w:bottom="1260" w:left="1720" w:right="680"/>
        </w:sectPr>
      </w:pPr>
    </w:p>
    <w:p>
      <w:pPr>
        <w:spacing w:before="70"/>
        <w:ind w:left="9" w:right="470" w:firstLine="0"/>
        <w:jc w:val="center"/>
        <w:rPr>
          <w:b/>
          <w:sz w:val="24"/>
        </w:rPr>
      </w:pPr>
      <w:r>
        <w:rPr>
          <w:b/>
          <w:sz w:val="24"/>
        </w:rPr>
        <w:t>CHAPTER</w:t>
      </w:r>
      <w:r>
        <w:rPr>
          <w:b/>
          <w:spacing w:val="-4"/>
          <w:sz w:val="24"/>
        </w:rPr>
        <w:t> </w:t>
      </w:r>
      <w:r>
        <w:rPr>
          <w:b/>
          <w:spacing w:val="-5"/>
          <w:sz w:val="24"/>
        </w:rPr>
        <w:t>TWO</w:t>
      </w:r>
    </w:p>
    <w:p>
      <w:pPr>
        <w:pStyle w:val="BodyText"/>
        <w:spacing w:before="22"/>
        <w:rPr>
          <w:b/>
        </w:rPr>
      </w:pPr>
    </w:p>
    <w:p>
      <w:pPr>
        <w:pStyle w:val="ListParagraph"/>
        <w:numPr>
          <w:ilvl w:val="1"/>
          <w:numId w:val="6"/>
        </w:numPr>
        <w:tabs>
          <w:tab w:pos="3568" w:val="left" w:leader="none"/>
        </w:tabs>
        <w:spacing w:line="240" w:lineRule="auto" w:before="0" w:after="0"/>
        <w:ind w:left="3568" w:right="0" w:hanging="3301"/>
        <w:jc w:val="left"/>
        <w:rPr>
          <w:b/>
          <w:sz w:val="24"/>
        </w:rPr>
      </w:pPr>
      <w:r>
        <w:rPr>
          <w:b/>
          <w:sz w:val="24"/>
        </w:rPr>
        <w:t>LITERATURE</w:t>
      </w:r>
      <w:r>
        <w:rPr>
          <w:b/>
          <w:spacing w:val="-2"/>
          <w:sz w:val="24"/>
        </w:rPr>
        <w:t> REVIEW</w:t>
      </w:r>
    </w:p>
    <w:p>
      <w:pPr>
        <w:pStyle w:val="BodyText"/>
        <w:spacing w:before="22"/>
        <w:rPr>
          <w:b/>
        </w:rPr>
      </w:pPr>
    </w:p>
    <w:p>
      <w:pPr>
        <w:pStyle w:val="ListParagraph"/>
        <w:numPr>
          <w:ilvl w:val="1"/>
          <w:numId w:val="6"/>
        </w:numPr>
        <w:tabs>
          <w:tab w:pos="867" w:val="left" w:leader="none"/>
        </w:tabs>
        <w:spacing w:line="240" w:lineRule="auto" w:before="0" w:after="0"/>
        <w:ind w:left="867" w:right="0" w:hanging="600"/>
        <w:jc w:val="left"/>
        <w:rPr>
          <w:b/>
          <w:sz w:val="24"/>
        </w:rPr>
      </w:pPr>
      <w:r>
        <w:rPr>
          <w:b/>
          <w:sz w:val="24"/>
        </w:rPr>
        <w:t>Theoretical</w:t>
      </w:r>
      <w:r>
        <w:rPr>
          <w:b/>
          <w:spacing w:val="-3"/>
          <w:sz w:val="24"/>
        </w:rPr>
        <w:t> </w:t>
      </w:r>
      <w:r>
        <w:rPr>
          <w:b/>
          <w:spacing w:val="-2"/>
          <w:sz w:val="24"/>
        </w:rPr>
        <w:t>Framework</w:t>
      </w:r>
    </w:p>
    <w:p>
      <w:pPr>
        <w:pStyle w:val="BodyText"/>
        <w:spacing w:before="14"/>
        <w:rPr>
          <w:b/>
        </w:rPr>
      </w:pPr>
    </w:p>
    <w:p>
      <w:pPr>
        <w:pStyle w:val="BodyText"/>
        <w:spacing w:line="480" w:lineRule="auto"/>
        <w:ind w:left="267" w:right="730"/>
        <w:jc w:val="both"/>
      </w:pPr>
      <w:r>
        <w:rPr/>
        <w:t>In spite a growing body of knowledge on water governance (Cleaver and Tonner, 2006; Franks and Cleaver, 2007; Huitema </w:t>
      </w:r>
      <w:r>
        <w:rPr>
          <w:i/>
        </w:rPr>
        <w:t>et al.</w:t>
      </w:r>
      <w:r>
        <w:rPr/>
        <w:t>, 2009) there is a lack of consensus on a single theory to provide explanations on the nexus between water provision and institutions. The current study however hinges on the common pool theory, the integrated water resource management for sustainable development, concepts of adaptive capacity, water poverty</w:t>
      </w:r>
      <w:r>
        <w:rPr>
          <w:spacing w:val="-1"/>
        </w:rPr>
        <w:t> </w:t>
      </w:r>
      <w:r>
        <w:rPr/>
        <w:t>and the Exit, Voice, Loyalty and Neglect (EVLN) approach to water coping measures.</w:t>
      </w:r>
    </w:p>
    <w:p>
      <w:pPr>
        <w:pStyle w:val="BodyText"/>
        <w:spacing w:before="8"/>
      </w:pPr>
    </w:p>
    <w:p>
      <w:pPr>
        <w:pStyle w:val="Heading1"/>
        <w:numPr>
          <w:ilvl w:val="1"/>
          <w:numId w:val="6"/>
        </w:numPr>
        <w:tabs>
          <w:tab w:pos="807" w:val="left" w:leader="none"/>
        </w:tabs>
        <w:spacing w:line="240" w:lineRule="auto" w:before="0" w:after="0"/>
        <w:ind w:left="807" w:right="0" w:hanging="540"/>
        <w:jc w:val="left"/>
      </w:pPr>
      <w:r>
        <w:rPr/>
        <w:t>The</w:t>
      </w:r>
      <w:r>
        <w:rPr>
          <w:spacing w:val="-3"/>
        </w:rPr>
        <w:t> </w:t>
      </w:r>
      <w:r>
        <w:rPr/>
        <w:t>Theory</w:t>
      </w:r>
      <w:r>
        <w:rPr>
          <w:spacing w:val="-1"/>
        </w:rPr>
        <w:t> </w:t>
      </w:r>
      <w:r>
        <w:rPr/>
        <w:t>of</w:t>
      </w:r>
      <w:r>
        <w:rPr>
          <w:spacing w:val="-1"/>
        </w:rPr>
        <w:t> </w:t>
      </w:r>
      <w:r>
        <w:rPr/>
        <w:t>Common</w:t>
      </w:r>
      <w:r>
        <w:rPr>
          <w:spacing w:val="-1"/>
        </w:rPr>
        <w:t> </w:t>
      </w:r>
      <w:r>
        <w:rPr/>
        <w:t>Pool</w:t>
      </w:r>
      <w:r>
        <w:rPr>
          <w:spacing w:val="-2"/>
        </w:rPr>
        <w:t> </w:t>
      </w:r>
      <w:r>
        <w:rPr/>
        <w:t>Resources</w:t>
      </w:r>
      <w:r>
        <w:rPr>
          <w:spacing w:val="-1"/>
        </w:rPr>
        <w:t> </w:t>
      </w:r>
      <w:r>
        <w:rPr/>
        <w:t>and</w:t>
      </w:r>
      <w:r>
        <w:rPr>
          <w:spacing w:val="-1"/>
        </w:rPr>
        <w:t> </w:t>
      </w:r>
      <w:r>
        <w:rPr>
          <w:spacing w:val="-2"/>
        </w:rPr>
        <w:t>Water</w:t>
      </w:r>
    </w:p>
    <w:p>
      <w:pPr>
        <w:pStyle w:val="BodyText"/>
        <w:spacing w:before="15"/>
        <w:rPr>
          <w:b/>
        </w:rPr>
      </w:pPr>
    </w:p>
    <w:p>
      <w:pPr>
        <w:pStyle w:val="BodyText"/>
        <w:spacing w:line="480" w:lineRule="auto"/>
        <w:ind w:left="267" w:right="726"/>
        <w:jc w:val="both"/>
      </w:pPr>
      <w:r>
        <w:rPr/>
        <w:t>The theory</w:t>
      </w:r>
      <w:r>
        <w:rPr>
          <w:spacing w:val="-3"/>
        </w:rPr>
        <w:t> </w:t>
      </w:r>
      <w:r>
        <w:rPr/>
        <w:t>of common pool resource which is also known as the “</w:t>
      </w:r>
      <w:r>
        <w:rPr>
          <w:i/>
        </w:rPr>
        <w:t>tragedy of the commons</w:t>
      </w:r>
      <w:r>
        <w:rPr/>
        <w:t>” provides the theoretical basis for understanding the overarching causes of resources over- exploitation and the need for sustainable management of natural resources. Propounded by Hardin (1968), the tragedy of the commons is theoretically rooted in Aristotle’s philosophy that “anything” that is to the greatest number of people has the least care bestowed on it (Jowett,</w:t>
      </w:r>
      <w:r>
        <w:rPr>
          <w:spacing w:val="-15"/>
        </w:rPr>
        <w:t> </w:t>
      </w:r>
      <w:r>
        <w:rPr/>
        <w:t>1941).</w:t>
      </w:r>
      <w:r>
        <w:rPr>
          <w:spacing w:val="-15"/>
        </w:rPr>
        <w:t> </w:t>
      </w:r>
      <w:r>
        <w:rPr/>
        <w:t>The</w:t>
      </w:r>
      <w:r>
        <w:rPr>
          <w:spacing w:val="-15"/>
        </w:rPr>
        <w:t> </w:t>
      </w:r>
      <w:r>
        <w:rPr/>
        <w:t>theory</w:t>
      </w:r>
      <w:r>
        <w:rPr>
          <w:spacing w:val="-15"/>
        </w:rPr>
        <w:t> </w:t>
      </w:r>
      <w:r>
        <w:rPr/>
        <w:t>is</w:t>
      </w:r>
      <w:r>
        <w:rPr>
          <w:spacing w:val="-15"/>
        </w:rPr>
        <w:t> </w:t>
      </w:r>
      <w:r>
        <w:rPr/>
        <w:t>an</w:t>
      </w:r>
      <w:r>
        <w:rPr>
          <w:spacing w:val="-15"/>
        </w:rPr>
        <w:t> </w:t>
      </w:r>
      <w:r>
        <w:rPr/>
        <w:t>embodiment</w:t>
      </w:r>
      <w:r>
        <w:rPr>
          <w:spacing w:val="-15"/>
        </w:rPr>
        <w:t> </w:t>
      </w:r>
      <w:r>
        <w:rPr/>
        <w:t>of</w:t>
      </w:r>
      <w:r>
        <w:rPr>
          <w:spacing w:val="-15"/>
        </w:rPr>
        <w:t> </w:t>
      </w:r>
      <w:r>
        <w:rPr/>
        <w:t>two</w:t>
      </w:r>
      <w:r>
        <w:rPr>
          <w:spacing w:val="-15"/>
        </w:rPr>
        <w:t> </w:t>
      </w:r>
      <w:r>
        <w:rPr/>
        <w:t>keywords:</w:t>
      </w:r>
      <w:r>
        <w:rPr>
          <w:spacing w:val="-15"/>
        </w:rPr>
        <w:t> </w:t>
      </w:r>
      <w:r>
        <w:rPr>
          <w:i/>
        </w:rPr>
        <w:t>tragedy</w:t>
      </w:r>
      <w:r>
        <w:rPr>
          <w:i/>
          <w:spacing w:val="-15"/>
        </w:rPr>
        <w:t> </w:t>
      </w:r>
      <w:r>
        <w:rPr/>
        <w:t>and</w:t>
      </w:r>
      <w:r>
        <w:rPr>
          <w:spacing w:val="-15"/>
        </w:rPr>
        <w:t> </w:t>
      </w:r>
      <w:r>
        <w:rPr>
          <w:i/>
        </w:rPr>
        <w:t>commons</w:t>
      </w:r>
      <w:r>
        <w:rPr/>
        <w:t>.</w:t>
      </w:r>
      <w:r>
        <w:rPr>
          <w:spacing w:val="-15"/>
        </w:rPr>
        <w:t> </w:t>
      </w:r>
      <w:r>
        <w:rPr/>
        <w:t>Hardin (1968) in his literature stated that the term ‘</w:t>
      </w:r>
      <w:r>
        <w:rPr>
          <w:i/>
        </w:rPr>
        <w:t>tragedy’ </w:t>
      </w:r>
      <w:r>
        <w:rPr/>
        <w:t>does not depict unhappiness but rather the remorseless working of things. On the other hand, ‘</w:t>
      </w:r>
      <w:r>
        <w:rPr>
          <w:i/>
        </w:rPr>
        <w:t>Commons’ </w:t>
      </w:r>
      <w:r>
        <w:rPr/>
        <w:t>is contextualized as a common pool of resources or environmental objects, where access to such resources or environmental</w:t>
      </w:r>
      <w:r>
        <w:rPr>
          <w:spacing w:val="-15"/>
        </w:rPr>
        <w:t> </w:t>
      </w:r>
      <w:r>
        <w:rPr/>
        <w:t>objects</w:t>
      </w:r>
      <w:r>
        <w:rPr>
          <w:spacing w:val="-15"/>
        </w:rPr>
        <w:t> </w:t>
      </w:r>
      <w:r>
        <w:rPr/>
        <w:t>is</w:t>
      </w:r>
      <w:r>
        <w:rPr>
          <w:spacing w:val="-15"/>
        </w:rPr>
        <w:t> </w:t>
      </w:r>
      <w:r>
        <w:rPr/>
        <w:t>open,</w:t>
      </w:r>
      <w:r>
        <w:rPr>
          <w:spacing w:val="-15"/>
        </w:rPr>
        <w:t> </w:t>
      </w:r>
      <w:r>
        <w:rPr/>
        <w:t>unregulated</w:t>
      </w:r>
      <w:r>
        <w:rPr>
          <w:spacing w:val="-15"/>
        </w:rPr>
        <w:t> </w:t>
      </w:r>
      <w:r>
        <w:rPr/>
        <w:t>and</w:t>
      </w:r>
      <w:r>
        <w:rPr>
          <w:spacing w:val="-15"/>
        </w:rPr>
        <w:t> </w:t>
      </w:r>
      <w:r>
        <w:rPr/>
        <w:t>never</w:t>
      </w:r>
      <w:r>
        <w:rPr>
          <w:spacing w:val="-15"/>
        </w:rPr>
        <w:t> </w:t>
      </w:r>
      <w:r>
        <w:rPr/>
        <w:t>exclusively</w:t>
      </w:r>
      <w:r>
        <w:rPr>
          <w:spacing w:val="-15"/>
        </w:rPr>
        <w:t> </w:t>
      </w:r>
      <w:r>
        <w:rPr/>
        <w:t>appropriated</w:t>
      </w:r>
      <w:r>
        <w:rPr>
          <w:spacing w:val="-15"/>
        </w:rPr>
        <w:t> </w:t>
      </w:r>
      <w:r>
        <w:rPr/>
        <w:t>by</w:t>
      </w:r>
      <w:r>
        <w:rPr>
          <w:spacing w:val="-15"/>
        </w:rPr>
        <w:t> </w:t>
      </w:r>
      <w:r>
        <w:rPr/>
        <w:t>individuals or group of persons.</w:t>
      </w:r>
    </w:p>
    <w:p>
      <w:pPr>
        <w:spacing w:after="0" w:line="480" w:lineRule="auto"/>
        <w:jc w:val="both"/>
        <w:sectPr>
          <w:pgSz w:w="12240" w:h="15840"/>
          <w:pgMar w:header="0" w:footer="1068" w:top="1340" w:bottom="1260" w:left="1720" w:right="680"/>
        </w:sectPr>
      </w:pPr>
    </w:p>
    <w:p>
      <w:pPr>
        <w:pStyle w:val="BodyText"/>
        <w:spacing w:line="480" w:lineRule="auto" w:before="63"/>
        <w:ind w:left="267" w:right="727"/>
        <w:jc w:val="both"/>
      </w:pPr>
      <w:r>
        <w:rPr/>
        <w:t>Common</w:t>
      </w:r>
      <w:r>
        <w:rPr>
          <w:spacing w:val="-1"/>
        </w:rPr>
        <w:t> </w:t>
      </w:r>
      <w:r>
        <w:rPr/>
        <w:t>pool</w:t>
      </w:r>
      <w:r>
        <w:rPr>
          <w:spacing w:val="-1"/>
        </w:rPr>
        <w:t> </w:t>
      </w:r>
      <w:r>
        <w:rPr/>
        <w:t>resources (forests,</w:t>
      </w:r>
      <w:r>
        <w:rPr>
          <w:spacing w:val="-1"/>
        </w:rPr>
        <w:t> </w:t>
      </w:r>
      <w:r>
        <w:rPr/>
        <w:t>pasture,</w:t>
      </w:r>
      <w:r>
        <w:rPr>
          <w:spacing w:val="-1"/>
        </w:rPr>
        <w:t> </w:t>
      </w:r>
      <w:r>
        <w:rPr/>
        <w:t>water, wildlife</w:t>
      </w:r>
      <w:r>
        <w:rPr>
          <w:spacing w:val="-3"/>
        </w:rPr>
        <w:t> </w:t>
      </w:r>
      <w:r>
        <w:rPr/>
        <w:t>and</w:t>
      </w:r>
      <w:r>
        <w:rPr>
          <w:spacing w:val="-1"/>
        </w:rPr>
        <w:t> </w:t>
      </w:r>
      <w:r>
        <w:rPr/>
        <w:t>fisheries) are</w:t>
      </w:r>
      <w:r>
        <w:rPr>
          <w:spacing w:val="-2"/>
        </w:rPr>
        <w:t> </w:t>
      </w:r>
      <w:r>
        <w:rPr/>
        <w:t>characterized</w:t>
      </w:r>
      <w:r>
        <w:rPr>
          <w:spacing w:val="-1"/>
        </w:rPr>
        <w:t> </w:t>
      </w:r>
      <w:r>
        <w:rPr/>
        <w:t>by two</w:t>
      </w:r>
      <w:r>
        <w:rPr>
          <w:spacing w:val="-7"/>
        </w:rPr>
        <w:t> </w:t>
      </w:r>
      <w:r>
        <w:rPr/>
        <w:t>main</w:t>
      </w:r>
      <w:r>
        <w:rPr>
          <w:spacing w:val="-7"/>
        </w:rPr>
        <w:t> </w:t>
      </w:r>
      <w:r>
        <w:rPr/>
        <w:t>attributes:</w:t>
      </w:r>
      <w:r>
        <w:rPr>
          <w:spacing w:val="-5"/>
        </w:rPr>
        <w:t> </w:t>
      </w:r>
      <w:r>
        <w:rPr>
          <w:i/>
        </w:rPr>
        <w:t>high</w:t>
      </w:r>
      <w:r>
        <w:rPr>
          <w:i/>
          <w:spacing w:val="-9"/>
        </w:rPr>
        <w:t> </w:t>
      </w:r>
      <w:r>
        <w:rPr>
          <w:i/>
        </w:rPr>
        <w:t>subtractibility</w:t>
      </w:r>
      <w:r>
        <w:rPr>
          <w:i/>
          <w:spacing w:val="-7"/>
        </w:rPr>
        <w:t> </w:t>
      </w:r>
      <w:r>
        <w:rPr/>
        <w:t>and</w:t>
      </w:r>
      <w:r>
        <w:rPr>
          <w:spacing w:val="-7"/>
        </w:rPr>
        <w:t> </w:t>
      </w:r>
      <w:r>
        <w:rPr>
          <w:i/>
        </w:rPr>
        <w:t>low</w:t>
      </w:r>
      <w:r>
        <w:rPr>
          <w:i/>
          <w:spacing w:val="-6"/>
        </w:rPr>
        <w:t> </w:t>
      </w:r>
      <w:r>
        <w:rPr>
          <w:i/>
        </w:rPr>
        <w:t>excludability</w:t>
      </w:r>
      <w:r>
        <w:rPr>
          <w:i/>
          <w:spacing w:val="-6"/>
        </w:rPr>
        <w:t> </w:t>
      </w:r>
      <w:r>
        <w:rPr/>
        <w:t>(Ostrom</w:t>
      </w:r>
      <w:r>
        <w:rPr>
          <w:spacing w:val="-7"/>
        </w:rPr>
        <w:t> </w:t>
      </w:r>
      <w:r>
        <w:rPr>
          <w:i/>
        </w:rPr>
        <w:t>et</w:t>
      </w:r>
      <w:r>
        <w:rPr>
          <w:i/>
          <w:spacing w:val="-6"/>
        </w:rPr>
        <w:t> </w:t>
      </w:r>
      <w:r>
        <w:rPr>
          <w:i/>
        </w:rPr>
        <w:t>al.</w:t>
      </w:r>
      <w:r>
        <w:rPr/>
        <w:t>,</w:t>
      </w:r>
      <w:r>
        <w:rPr>
          <w:spacing w:val="-7"/>
        </w:rPr>
        <w:t> </w:t>
      </w:r>
      <w:r>
        <w:rPr/>
        <w:t>1994;</w:t>
      </w:r>
      <w:r>
        <w:rPr>
          <w:spacing w:val="-6"/>
        </w:rPr>
        <w:t> </w:t>
      </w:r>
      <w:r>
        <w:rPr/>
        <w:t>Agrawal and Sanjeev, 2001; Ostrom, 2008). High subtractibility implies high rivalry in use and consumption. That is, a person’s use of a resource unit subtracts units of that resource from a finite total amount available for harvesting. Low excludability relates to the difficulty in excluding or restricting users from obtaining benefits from the resource. Hardin mentioned that the absence of restrictive or regulatory rules for the commons would ultimately pose environmental</w:t>
      </w:r>
      <w:r>
        <w:rPr>
          <w:spacing w:val="-1"/>
        </w:rPr>
        <w:t> </w:t>
      </w:r>
      <w:r>
        <w:rPr/>
        <w:t>threats,</w:t>
      </w:r>
      <w:r>
        <w:rPr>
          <w:spacing w:val="-1"/>
        </w:rPr>
        <w:t> </w:t>
      </w:r>
      <w:r>
        <w:rPr/>
        <w:t>and</w:t>
      </w:r>
      <w:r>
        <w:rPr>
          <w:spacing w:val="-1"/>
        </w:rPr>
        <w:t> </w:t>
      </w:r>
      <w:r>
        <w:rPr/>
        <w:t>consequently</w:t>
      </w:r>
      <w:r>
        <w:rPr>
          <w:spacing w:val="-6"/>
        </w:rPr>
        <w:t> </w:t>
      </w:r>
      <w:r>
        <w:rPr/>
        <w:t>bring</w:t>
      </w:r>
      <w:r>
        <w:rPr>
          <w:spacing w:val="-1"/>
        </w:rPr>
        <w:t> </w:t>
      </w:r>
      <w:r>
        <w:rPr/>
        <w:t>about</w:t>
      </w:r>
      <w:r>
        <w:rPr>
          <w:spacing w:val="-1"/>
        </w:rPr>
        <w:t> </w:t>
      </w:r>
      <w:r>
        <w:rPr/>
        <w:t>resource</w:t>
      </w:r>
      <w:r>
        <w:rPr>
          <w:spacing w:val="-2"/>
        </w:rPr>
        <w:t> </w:t>
      </w:r>
      <w:r>
        <w:rPr/>
        <w:t>extinction. In his</w:t>
      </w:r>
      <w:r>
        <w:rPr>
          <w:spacing w:val="-1"/>
        </w:rPr>
        <w:t> </w:t>
      </w:r>
      <w:r>
        <w:rPr/>
        <w:t>treatise,</w:t>
      </w:r>
      <w:r>
        <w:rPr>
          <w:spacing w:val="-1"/>
        </w:rPr>
        <w:t> </w:t>
      </w:r>
      <w:r>
        <w:rPr/>
        <w:t>this notion of tragedy was applied to a pastureland in which herdsmen sharing such common resources are led by the insatiable quest of individually maximizing possible personal benefits</w:t>
      </w:r>
      <w:r>
        <w:rPr>
          <w:spacing w:val="-4"/>
        </w:rPr>
        <w:t> </w:t>
      </w:r>
      <w:r>
        <w:rPr/>
        <w:t>to</w:t>
      </w:r>
      <w:r>
        <w:rPr>
          <w:spacing w:val="-4"/>
        </w:rPr>
        <w:t> </w:t>
      </w:r>
      <w:r>
        <w:rPr/>
        <w:t>ultimately</w:t>
      </w:r>
      <w:r>
        <w:rPr>
          <w:spacing w:val="-10"/>
        </w:rPr>
        <w:t> </w:t>
      </w:r>
      <w:r>
        <w:rPr/>
        <w:t>overstock</w:t>
      </w:r>
      <w:r>
        <w:rPr>
          <w:spacing w:val="-5"/>
        </w:rPr>
        <w:t> </w:t>
      </w:r>
      <w:r>
        <w:rPr/>
        <w:t>their</w:t>
      </w:r>
      <w:r>
        <w:rPr>
          <w:spacing w:val="-3"/>
        </w:rPr>
        <w:t> </w:t>
      </w:r>
      <w:r>
        <w:rPr/>
        <w:t>herds</w:t>
      </w:r>
      <w:r>
        <w:rPr>
          <w:spacing w:val="-3"/>
        </w:rPr>
        <w:t> </w:t>
      </w:r>
      <w:r>
        <w:rPr/>
        <w:t>and</w:t>
      </w:r>
      <w:r>
        <w:rPr>
          <w:spacing w:val="-3"/>
        </w:rPr>
        <w:t> </w:t>
      </w:r>
      <w:r>
        <w:rPr/>
        <w:t>destroy</w:t>
      </w:r>
      <w:r>
        <w:rPr>
          <w:spacing w:val="-10"/>
        </w:rPr>
        <w:t> </w:t>
      </w:r>
      <w:r>
        <w:rPr/>
        <w:t>their</w:t>
      </w:r>
      <w:r>
        <w:rPr>
          <w:spacing w:val="-5"/>
        </w:rPr>
        <w:t> </w:t>
      </w:r>
      <w:r>
        <w:rPr/>
        <w:t>shared</w:t>
      </w:r>
      <w:r>
        <w:rPr>
          <w:spacing w:val="-3"/>
        </w:rPr>
        <w:t> </w:t>
      </w:r>
      <w:r>
        <w:rPr/>
        <w:t>resources,</w:t>
      </w:r>
      <w:r>
        <w:rPr>
          <w:spacing w:val="-5"/>
        </w:rPr>
        <w:t> </w:t>
      </w:r>
      <w:r>
        <w:rPr/>
        <w:t>while</w:t>
      </w:r>
      <w:r>
        <w:rPr>
          <w:spacing w:val="-5"/>
        </w:rPr>
        <w:t> </w:t>
      </w:r>
      <w:r>
        <w:rPr/>
        <w:t>leaving the cost of over-exploitation to the common.</w:t>
      </w:r>
    </w:p>
    <w:p>
      <w:pPr>
        <w:pStyle w:val="BodyText"/>
        <w:spacing w:before="2"/>
      </w:pPr>
    </w:p>
    <w:p>
      <w:pPr>
        <w:pStyle w:val="BodyText"/>
        <w:spacing w:line="480" w:lineRule="auto"/>
        <w:ind w:left="267" w:right="725"/>
        <w:jc w:val="both"/>
      </w:pPr>
      <w:r>
        <w:rPr/>
        <w:t>In support of Hardin’s theory, McCay (2009) noted in his review that the fear for such unregulated resources is that users act less responsibly - adopting what is known as Not in My</w:t>
      </w:r>
      <w:r>
        <w:rPr>
          <w:spacing w:val="-15"/>
        </w:rPr>
        <w:t> </w:t>
      </w:r>
      <w:r>
        <w:rPr/>
        <w:t>Backyard</w:t>
      </w:r>
      <w:r>
        <w:rPr>
          <w:spacing w:val="-15"/>
        </w:rPr>
        <w:t> </w:t>
      </w:r>
      <w:r>
        <w:rPr/>
        <w:t>(NIMB)</w:t>
      </w:r>
      <w:r>
        <w:rPr>
          <w:spacing w:val="-15"/>
        </w:rPr>
        <w:t> </w:t>
      </w:r>
      <w:r>
        <w:rPr/>
        <w:t>approach.</w:t>
      </w:r>
      <w:r>
        <w:rPr>
          <w:spacing w:val="-15"/>
        </w:rPr>
        <w:t> </w:t>
      </w:r>
      <w:r>
        <w:rPr/>
        <w:t>When</w:t>
      </w:r>
      <w:r>
        <w:rPr>
          <w:spacing w:val="-15"/>
        </w:rPr>
        <w:t> </w:t>
      </w:r>
      <w:r>
        <w:rPr/>
        <w:t>users’</w:t>
      </w:r>
      <w:r>
        <w:rPr>
          <w:spacing w:val="-15"/>
        </w:rPr>
        <w:t> </w:t>
      </w:r>
      <w:r>
        <w:rPr/>
        <w:t>behaviour</w:t>
      </w:r>
      <w:r>
        <w:rPr>
          <w:spacing w:val="-15"/>
        </w:rPr>
        <w:t> </w:t>
      </w:r>
      <w:r>
        <w:rPr/>
        <w:t>is</w:t>
      </w:r>
      <w:r>
        <w:rPr>
          <w:spacing w:val="-15"/>
        </w:rPr>
        <w:t> </w:t>
      </w:r>
      <w:r>
        <w:rPr/>
        <w:t>unrestricted</w:t>
      </w:r>
      <w:r>
        <w:rPr>
          <w:spacing w:val="-15"/>
        </w:rPr>
        <w:t> </w:t>
      </w:r>
      <w:r>
        <w:rPr/>
        <w:t>in</w:t>
      </w:r>
      <w:r>
        <w:rPr>
          <w:spacing w:val="-15"/>
        </w:rPr>
        <w:t> </w:t>
      </w:r>
      <w:r>
        <w:rPr/>
        <w:t>terms</w:t>
      </w:r>
      <w:r>
        <w:rPr>
          <w:spacing w:val="-15"/>
        </w:rPr>
        <w:t> </w:t>
      </w:r>
      <w:r>
        <w:rPr/>
        <w:t>of</w:t>
      </w:r>
      <w:r>
        <w:rPr>
          <w:spacing w:val="-15"/>
        </w:rPr>
        <w:t> </w:t>
      </w:r>
      <w:r>
        <w:rPr/>
        <w:t>protecting common interests and environmental sustainability</w:t>
      </w:r>
      <w:r>
        <w:rPr>
          <w:spacing w:val="-2"/>
        </w:rPr>
        <w:t> </w:t>
      </w:r>
      <w:r>
        <w:rPr/>
        <w:t>they</w:t>
      </w:r>
      <w:r>
        <w:rPr>
          <w:spacing w:val="-3"/>
        </w:rPr>
        <w:t> </w:t>
      </w:r>
      <w:r>
        <w:rPr/>
        <w:t>free-ride</w:t>
      </w:r>
      <w:r>
        <w:rPr>
          <w:spacing w:val="-1"/>
        </w:rPr>
        <w:t> </w:t>
      </w:r>
      <w:r>
        <w:rPr/>
        <w:t>the</w:t>
      </w:r>
      <w:r>
        <w:rPr>
          <w:spacing w:val="-1"/>
        </w:rPr>
        <w:t> </w:t>
      </w:r>
      <w:r>
        <w:rPr/>
        <w:t>use</w:t>
      </w:r>
      <w:r>
        <w:rPr>
          <w:spacing w:val="-1"/>
        </w:rPr>
        <w:t> </w:t>
      </w:r>
      <w:r>
        <w:rPr/>
        <w:t>of</w:t>
      </w:r>
      <w:r>
        <w:rPr>
          <w:spacing w:val="-1"/>
        </w:rPr>
        <w:t> </w:t>
      </w:r>
      <w:r>
        <w:rPr/>
        <w:t>resources to the extent</w:t>
      </w:r>
      <w:r>
        <w:rPr>
          <w:spacing w:val="-11"/>
        </w:rPr>
        <w:t> </w:t>
      </w:r>
      <w:r>
        <w:rPr/>
        <w:t>of</w:t>
      </w:r>
      <w:r>
        <w:rPr>
          <w:spacing w:val="-11"/>
        </w:rPr>
        <w:t> </w:t>
      </w:r>
      <w:r>
        <w:rPr/>
        <w:t>their</w:t>
      </w:r>
      <w:r>
        <w:rPr>
          <w:spacing w:val="-11"/>
        </w:rPr>
        <w:t> </w:t>
      </w:r>
      <w:r>
        <w:rPr/>
        <w:t>needs</w:t>
      </w:r>
      <w:r>
        <w:rPr>
          <w:spacing w:val="-10"/>
        </w:rPr>
        <w:t> </w:t>
      </w:r>
      <w:r>
        <w:rPr/>
        <w:t>(Goodstein,</w:t>
      </w:r>
      <w:r>
        <w:rPr>
          <w:spacing w:val="-10"/>
        </w:rPr>
        <w:t> </w:t>
      </w:r>
      <w:r>
        <w:rPr/>
        <w:t>1995;</w:t>
      </w:r>
      <w:r>
        <w:rPr>
          <w:spacing w:val="-10"/>
        </w:rPr>
        <w:t> </w:t>
      </w:r>
      <w:r>
        <w:rPr/>
        <w:t>McCay,</w:t>
      </w:r>
      <w:r>
        <w:rPr>
          <w:spacing w:val="-11"/>
        </w:rPr>
        <w:t> </w:t>
      </w:r>
      <w:r>
        <w:rPr/>
        <w:t>2009;</w:t>
      </w:r>
      <w:r>
        <w:rPr>
          <w:spacing w:val="-10"/>
        </w:rPr>
        <w:t> </w:t>
      </w:r>
      <w:r>
        <w:rPr/>
        <w:t>Anabo,</w:t>
      </w:r>
      <w:r>
        <w:rPr>
          <w:spacing w:val="-11"/>
        </w:rPr>
        <w:t> </w:t>
      </w:r>
      <w:r>
        <w:rPr/>
        <w:t>2013).</w:t>
      </w:r>
      <w:r>
        <w:rPr>
          <w:spacing w:val="-8"/>
        </w:rPr>
        <w:t> </w:t>
      </w:r>
      <w:r>
        <w:rPr/>
        <w:t>It</w:t>
      </w:r>
      <w:r>
        <w:rPr>
          <w:spacing w:val="-10"/>
        </w:rPr>
        <w:t> </w:t>
      </w:r>
      <w:r>
        <w:rPr/>
        <w:t>is</w:t>
      </w:r>
      <w:r>
        <w:rPr>
          <w:spacing w:val="-10"/>
        </w:rPr>
        <w:t> </w:t>
      </w:r>
      <w:r>
        <w:rPr/>
        <w:t>the</w:t>
      </w:r>
      <w:r>
        <w:rPr>
          <w:spacing w:val="-11"/>
        </w:rPr>
        <w:t> </w:t>
      </w:r>
      <w:r>
        <w:rPr/>
        <w:t>openness</w:t>
      </w:r>
      <w:r>
        <w:rPr>
          <w:spacing w:val="-10"/>
        </w:rPr>
        <w:t> </w:t>
      </w:r>
      <w:r>
        <w:rPr/>
        <w:t>of</w:t>
      </w:r>
      <w:r>
        <w:rPr>
          <w:spacing w:val="-11"/>
        </w:rPr>
        <w:t> </w:t>
      </w:r>
      <w:r>
        <w:rPr/>
        <w:t>the access</w:t>
      </w:r>
      <w:r>
        <w:rPr>
          <w:spacing w:val="-3"/>
        </w:rPr>
        <w:t> </w:t>
      </w:r>
      <w:r>
        <w:rPr/>
        <w:t>and</w:t>
      </w:r>
      <w:r>
        <w:rPr>
          <w:spacing w:val="-3"/>
        </w:rPr>
        <w:t> </w:t>
      </w:r>
      <w:r>
        <w:rPr/>
        <w:t>the</w:t>
      </w:r>
      <w:r>
        <w:rPr>
          <w:spacing w:val="-4"/>
        </w:rPr>
        <w:t> </w:t>
      </w:r>
      <w:r>
        <w:rPr/>
        <w:t>extent</w:t>
      </w:r>
      <w:r>
        <w:rPr>
          <w:spacing w:val="-3"/>
        </w:rPr>
        <w:t> </w:t>
      </w:r>
      <w:r>
        <w:rPr/>
        <w:t>of</w:t>
      </w:r>
      <w:r>
        <w:rPr>
          <w:spacing w:val="-4"/>
        </w:rPr>
        <w:t> </w:t>
      </w:r>
      <w:r>
        <w:rPr/>
        <w:t>use</w:t>
      </w:r>
      <w:r>
        <w:rPr>
          <w:spacing w:val="-4"/>
        </w:rPr>
        <w:t> </w:t>
      </w:r>
      <w:r>
        <w:rPr/>
        <w:t>of</w:t>
      </w:r>
      <w:r>
        <w:rPr>
          <w:spacing w:val="-3"/>
        </w:rPr>
        <w:t> </w:t>
      </w:r>
      <w:r>
        <w:rPr/>
        <w:t>the</w:t>
      </w:r>
      <w:r>
        <w:rPr>
          <w:spacing w:val="-5"/>
        </w:rPr>
        <w:t> </w:t>
      </w:r>
      <w:r>
        <w:rPr/>
        <w:t>resources</w:t>
      </w:r>
      <w:r>
        <w:rPr>
          <w:spacing w:val="-3"/>
        </w:rPr>
        <w:t> </w:t>
      </w:r>
      <w:r>
        <w:rPr/>
        <w:t>that</w:t>
      </w:r>
      <w:r>
        <w:rPr>
          <w:spacing w:val="-3"/>
        </w:rPr>
        <w:t> </w:t>
      </w:r>
      <w:r>
        <w:rPr/>
        <w:t>facilitate</w:t>
      </w:r>
      <w:r>
        <w:rPr>
          <w:spacing w:val="-3"/>
        </w:rPr>
        <w:t> </w:t>
      </w:r>
      <w:r>
        <w:rPr/>
        <w:t>the</w:t>
      </w:r>
      <w:r>
        <w:rPr>
          <w:spacing w:val="-4"/>
        </w:rPr>
        <w:t> </w:t>
      </w:r>
      <w:r>
        <w:rPr/>
        <w:t>ruins</w:t>
      </w:r>
      <w:r>
        <w:rPr>
          <w:spacing w:val="-3"/>
        </w:rPr>
        <w:t> </w:t>
      </w:r>
      <w:r>
        <w:rPr/>
        <w:t>of</w:t>
      </w:r>
      <w:r>
        <w:rPr>
          <w:spacing w:val="-4"/>
        </w:rPr>
        <w:t> </w:t>
      </w:r>
      <w:r>
        <w:rPr/>
        <w:t>the</w:t>
      </w:r>
      <w:r>
        <w:rPr>
          <w:spacing w:val="-3"/>
        </w:rPr>
        <w:t> </w:t>
      </w:r>
      <w:r>
        <w:rPr/>
        <w:t>resources.</w:t>
      </w:r>
      <w:r>
        <w:rPr>
          <w:spacing w:val="-3"/>
        </w:rPr>
        <w:t> </w:t>
      </w:r>
      <w:r>
        <w:rPr/>
        <w:t>McCay (2009) further noted that as the incentives to exploit the use of such resources increase (due to</w:t>
      </w:r>
      <w:r>
        <w:rPr>
          <w:spacing w:val="-8"/>
        </w:rPr>
        <w:t> </w:t>
      </w:r>
      <w:r>
        <w:rPr/>
        <w:t>low</w:t>
      </w:r>
      <w:r>
        <w:rPr>
          <w:spacing w:val="-8"/>
        </w:rPr>
        <w:t> </w:t>
      </w:r>
      <w:r>
        <w:rPr/>
        <w:t>level</w:t>
      </w:r>
      <w:r>
        <w:rPr>
          <w:spacing w:val="-8"/>
        </w:rPr>
        <w:t> </w:t>
      </w:r>
      <w:r>
        <w:rPr/>
        <w:t>of</w:t>
      </w:r>
      <w:r>
        <w:rPr>
          <w:spacing w:val="-9"/>
        </w:rPr>
        <w:t> </w:t>
      </w:r>
      <w:r>
        <w:rPr/>
        <w:t>exclusion</w:t>
      </w:r>
      <w:r>
        <w:rPr>
          <w:spacing w:val="-11"/>
        </w:rPr>
        <w:t> </w:t>
      </w:r>
      <w:r>
        <w:rPr/>
        <w:t>and</w:t>
      </w:r>
      <w:r>
        <w:rPr>
          <w:spacing w:val="-8"/>
        </w:rPr>
        <w:t> </w:t>
      </w:r>
      <w:r>
        <w:rPr/>
        <w:t>presence</w:t>
      </w:r>
      <w:r>
        <w:rPr>
          <w:spacing w:val="-9"/>
        </w:rPr>
        <w:t> </w:t>
      </w:r>
      <w:r>
        <w:rPr/>
        <w:t>of</w:t>
      </w:r>
      <w:r>
        <w:rPr>
          <w:spacing w:val="-9"/>
        </w:rPr>
        <w:t> </w:t>
      </w:r>
      <w:r>
        <w:rPr/>
        <w:t>free-riding),</w:t>
      </w:r>
      <w:r>
        <w:rPr>
          <w:spacing w:val="-9"/>
        </w:rPr>
        <w:t> </w:t>
      </w:r>
      <w:r>
        <w:rPr/>
        <w:t>users</w:t>
      </w:r>
      <w:r>
        <w:rPr>
          <w:spacing w:val="-9"/>
        </w:rPr>
        <w:t> </w:t>
      </w:r>
      <w:r>
        <w:rPr/>
        <w:t>are</w:t>
      </w:r>
      <w:r>
        <w:rPr>
          <w:spacing w:val="-10"/>
        </w:rPr>
        <w:t> </w:t>
      </w:r>
      <w:r>
        <w:rPr/>
        <w:t>encouraged</w:t>
      </w:r>
      <w:r>
        <w:rPr>
          <w:spacing w:val="-8"/>
        </w:rPr>
        <w:t> </w:t>
      </w:r>
      <w:r>
        <w:rPr/>
        <w:t>to</w:t>
      </w:r>
      <w:r>
        <w:rPr>
          <w:spacing w:val="-6"/>
        </w:rPr>
        <w:t> </w:t>
      </w:r>
      <w:r>
        <w:rPr/>
        <w:t>further</w:t>
      </w:r>
      <w:r>
        <w:rPr>
          <w:spacing w:val="-9"/>
        </w:rPr>
        <w:t> </w:t>
      </w:r>
      <w:r>
        <w:rPr/>
        <w:t>exploit the unregulated resources. In averting this systematic and relentless progression towards resource</w:t>
      </w:r>
      <w:r>
        <w:rPr>
          <w:spacing w:val="-8"/>
        </w:rPr>
        <w:t> </w:t>
      </w:r>
      <w:r>
        <w:rPr/>
        <w:t>ruin,</w:t>
      </w:r>
      <w:r>
        <w:rPr>
          <w:spacing w:val="-8"/>
        </w:rPr>
        <w:t> </w:t>
      </w:r>
      <w:r>
        <w:rPr/>
        <w:t>Hardin</w:t>
      </w:r>
      <w:r>
        <w:rPr>
          <w:spacing w:val="-8"/>
        </w:rPr>
        <w:t> </w:t>
      </w:r>
      <w:r>
        <w:rPr/>
        <w:t>provided</w:t>
      </w:r>
      <w:r>
        <w:rPr>
          <w:spacing w:val="-8"/>
        </w:rPr>
        <w:t> </w:t>
      </w:r>
      <w:r>
        <w:rPr/>
        <w:t>two</w:t>
      </w:r>
      <w:r>
        <w:rPr>
          <w:spacing w:val="-7"/>
        </w:rPr>
        <w:t> </w:t>
      </w:r>
      <w:r>
        <w:rPr/>
        <w:t>alternative</w:t>
      </w:r>
      <w:r>
        <w:rPr>
          <w:spacing w:val="-8"/>
        </w:rPr>
        <w:t> </w:t>
      </w:r>
      <w:r>
        <w:rPr/>
        <w:t>solutions:</w:t>
      </w:r>
      <w:r>
        <w:rPr>
          <w:spacing w:val="-7"/>
        </w:rPr>
        <w:t> </w:t>
      </w:r>
      <w:r>
        <w:rPr/>
        <w:t>(1)</w:t>
      </w:r>
      <w:r>
        <w:rPr>
          <w:spacing w:val="-9"/>
        </w:rPr>
        <w:t> </w:t>
      </w:r>
      <w:r>
        <w:rPr/>
        <w:t>appropriation</w:t>
      </w:r>
      <w:r>
        <w:rPr>
          <w:spacing w:val="-6"/>
        </w:rPr>
        <w:t> </w:t>
      </w:r>
      <w:r>
        <w:rPr/>
        <w:t>and</w:t>
      </w:r>
      <w:r>
        <w:rPr>
          <w:spacing w:val="-7"/>
        </w:rPr>
        <w:t> </w:t>
      </w:r>
      <w:r>
        <w:rPr/>
        <w:t>control</w:t>
      </w:r>
      <w:r>
        <w:rPr>
          <w:spacing w:val="-7"/>
        </w:rPr>
        <w:t> </w:t>
      </w:r>
      <w:r>
        <w:rPr/>
        <w:t>of</w:t>
      </w:r>
      <w:r>
        <w:rPr>
          <w:spacing w:val="-8"/>
        </w:rPr>
        <w:t> </w:t>
      </w:r>
      <w:r>
        <w:rPr/>
        <w:t>the commons</w:t>
      </w:r>
      <w:r>
        <w:rPr>
          <w:spacing w:val="1"/>
        </w:rPr>
        <w:t> </w:t>
      </w:r>
      <w:r>
        <w:rPr/>
        <w:t>as</w:t>
      </w:r>
      <w:r>
        <w:rPr>
          <w:spacing w:val="4"/>
        </w:rPr>
        <w:t> </w:t>
      </w:r>
      <w:r>
        <w:rPr/>
        <w:t>a</w:t>
      </w:r>
      <w:r>
        <w:rPr>
          <w:spacing w:val="2"/>
        </w:rPr>
        <w:t> </w:t>
      </w:r>
      <w:r>
        <w:rPr/>
        <w:t>private</w:t>
      </w:r>
      <w:r>
        <w:rPr>
          <w:spacing w:val="3"/>
        </w:rPr>
        <w:t> </w:t>
      </w:r>
      <w:r>
        <w:rPr/>
        <w:t>property</w:t>
      </w:r>
      <w:r>
        <w:rPr>
          <w:spacing w:val="1"/>
        </w:rPr>
        <w:t> </w:t>
      </w:r>
      <w:r>
        <w:rPr/>
        <w:t>which</w:t>
      </w:r>
      <w:r>
        <w:rPr>
          <w:spacing w:val="4"/>
        </w:rPr>
        <w:t> </w:t>
      </w:r>
      <w:r>
        <w:rPr/>
        <w:t>halt</w:t>
      </w:r>
      <w:r>
        <w:rPr>
          <w:spacing w:val="4"/>
        </w:rPr>
        <w:t> </w:t>
      </w:r>
      <w:r>
        <w:rPr/>
        <w:t>the</w:t>
      </w:r>
      <w:r>
        <w:rPr>
          <w:spacing w:val="4"/>
        </w:rPr>
        <w:t> </w:t>
      </w:r>
      <w:r>
        <w:rPr/>
        <w:t>immediate</w:t>
      </w:r>
      <w:r>
        <w:rPr>
          <w:spacing w:val="8"/>
        </w:rPr>
        <w:t> </w:t>
      </w:r>
      <w:r>
        <w:rPr/>
        <w:t>economic</w:t>
      </w:r>
      <w:r>
        <w:rPr>
          <w:spacing w:val="6"/>
        </w:rPr>
        <w:t> </w:t>
      </w:r>
      <w:r>
        <w:rPr/>
        <w:t>gains</w:t>
      </w:r>
      <w:r>
        <w:rPr>
          <w:spacing w:val="6"/>
        </w:rPr>
        <w:t> </w:t>
      </w:r>
      <w:r>
        <w:rPr/>
        <w:t>that</w:t>
      </w:r>
      <w:r>
        <w:rPr>
          <w:spacing w:val="4"/>
        </w:rPr>
        <w:t> </w:t>
      </w:r>
      <w:r>
        <w:rPr/>
        <w:t>can</w:t>
      </w:r>
      <w:r>
        <w:rPr>
          <w:spacing w:val="4"/>
        </w:rPr>
        <w:t> </w:t>
      </w:r>
      <w:r>
        <w:rPr>
          <w:spacing w:val="-2"/>
        </w:rPr>
        <w:t>devastate</w:t>
      </w:r>
    </w:p>
    <w:p>
      <w:pPr>
        <w:spacing w:after="0" w:line="480" w:lineRule="auto"/>
        <w:jc w:val="both"/>
        <w:sectPr>
          <w:pgSz w:w="12240" w:h="15840"/>
          <w:pgMar w:header="0" w:footer="1068" w:top="1340" w:bottom="1260" w:left="1720" w:right="680"/>
        </w:sectPr>
      </w:pPr>
    </w:p>
    <w:p>
      <w:pPr>
        <w:pStyle w:val="BodyText"/>
        <w:spacing w:line="480" w:lineRule="auto" w:before="63"/>
        <w:ind w:left="267" w:right="730"/>
        <w:jc w:val="both"/>
      </w:pPr>
      <w:r>
        <w:rPr/>
        <w:t>the</w:t>
      </w:r>
      <w:r>
        <w:rPr>
          <w:spacing w:val="-11"/>
        </w:rPr>
        <w:t> </w:t>
      </w:r>
      <w:r>
        <w:rPr/>
        <w:t>long-term</w:t>
      </w:r>
      <w:r>
        <w:rPr>
          <w:spacing w:val="-11"/>
        </w:rPr>
        <w:t> </w:t>
      </w:r>
      <w:r>
        <w:rPr/>
        <w:t>benefits</w:t>
      </w:r>
      <w:r>
        <w:rPr>
          <w:spacing w:val="-10"/>
        </w:rPr>
        <w:t> </w:t>
      </w:r>
      <w:r>
        <w:rPr/>
        <w:t>of</w:t>
      </w:r>
      <w:r>
        <w:rPr>
          <w:spacing w:val="-11"/>
        </w:rPr>
        <w:t> </w:t>
      </w:r>
      <w:r>
        <w:rPr/>
        <w:t>resources</w:t>
      </w:r>
      <w:r>
        <w:rPr>
          <w:spacing w:val="-10"/>
        </w:rPr>
        <w:t> </w:t>
      </w:r>
      <w:r>
        <w:rPr/>
        <w:t>(Salzman</w:t>
      </w:r>
      <w:r>
        <w:rPr>
          <w:spacing w:val="-11"/>
        </w:rPr>
        <w:t> </w:t>
      </w:r>
      <w:r>
        <w:rPr/>
        <w:t>and</w:t>
      </w:r>
      <w:r>
        <w:rPr>
          <w:spacing w:val="-11"/>
        </w:rPr>
        <w:t> </w:t>
      </w:r>
      <w:r>
        <w:rPr/>
        <w:t>Thompson,</w:t>
      </w:r>
      <w:r>
        <w:rPr>
          <w:spacing w:val="-10"/>
        </w:rPr>
        <w:t> </w:t>
      </w:r>
      <w:r>
        <w:rPr/>
        <w:t>2010)</w:t>
      </w:r>
      <w:r>
        <w:rPr>
          <w:spacing w:val="-11"/>
        </w:rPr>
        <w:t> </w:t>
      </w:r>
      <w:r>
        <w:rPr/>
        <w:t>and</w:t>
      </w:r>
      <w:r>
        <w:rPr>
          <w:spacing w:val="-11"/>
        </w:rPr>
        <w:t> </w:t>
      </w:r>
      <w:r>
        <w:rPr/>
        <w:t>(2)</w:t>
      </w:r>
      <w:r>
        <w:rPr>
          <w:spacing w:val="-12"/>
        </w:rPr>
        <w:t> </w:t>
      </w:r>
      <w:r>
        <w:rPr/>
        <w:t>the</w:t>
      </w:r>
      <w:r>
        <w:rPr>
          <w:spacing w:val="-11"/>
        </w:rPr>
        <w:t> </w:t>
      </w:r>
      <w:r>
        <w:rPr/>
        <w:t>use</w:t>
      </w:r>
      <w:r>
        <w:rPr>
          <w:spacing w:val="-11"/>
        </w:rPr>
        <w:t> </w:t>
      </w:r>
      <w:r>
        <w:rPr/>
        <w:t>of</w:t>
      </w:r>
      <w:r>
        <w:rPr>
          <w:spacing w:val="-11"/>
        </w:rPr>
        <w:t> </w:t>
      </w:r>
      <w:r>
        <w:rPr/>
        <w:t>mutual coercion (administrative law) where appropriation is not possible.</w:t>
      </w:r>
    </w:p>
    <w:p>
      <w:pPr>
        <w:pStyle w:val="BodyText"/>
      </w:pPr>
    </w:p>
    <w:p>
      <w:pPr>
        <w:pStyle w:val="BodyText"/>
        <w:spacing w:line="480" w:lineRule="auto"/>
        <w:ind w:left="267" w:right="726"/>
        <w:jc w:val="both"/>
      </w:pPr>
      <w:r>
        <w:rPr/>
        <w:t>Hardin’s</w:t>
      </w:r>
      <w:r>
        <w:rPr>
          <w:spacing w:val="-3"/>
        </w:rPr>
        <w:t> </w:t>
      </w:r>
      <w:r>
        <w:rPr/>
        <w:t>theory</w:t>
      </w:r>
      <w:r>
        <w:rPr>
          <w:spacing w:val="-7"/>
        </w:rPr>
        <w:t> </w:t>
      </w:r>
      <w:r>
        <w:rPr/>
        <w:t>has</w:t>
      </w:r>
      <w:r>
        <w:rPr>
          <w:spacing w:val="-3"/>
        </w:rPr>
        <w:t> </w:t>
      </w:r>
      <w:r>
        <w:rPr/>
        <w:t>however</w:t>
      </w:r>
      <w:r>
        <w:rPr>
          <w:spacing w:val="-2"/>
        </w:rPr>
        <w:t> </w:t>
      </w:r>
      <w:r>
        <w:rPr/>
        <w:t>drawn</w:t>
      </w:r>
      <w:r>
        <w:rPr>
          <w:spacing w:val="-2"/>
        </w:rPr>
        <w:t> </w:t>
      </w:r>
      <w:r>
        <w:rPr/>
        <w:t>wide</w:t>
      </w:r>
      <w:r>
        <w:rPr>
          <w:spacing w:val="-3"/>
        </w:rPr>
        <w:t> </w:t>
      </w:r>
      <w:r>
        <w:rPr/>
        <w:t>criticisms</w:t>
      </w:r>
      <w:r>
        <w:rPr>
          <w:spacing w:val="-3"/>
        </w:rPr>
        <w:t> </w:t>
      </w:r>
      <w:r>
        <w:rPr/>
        <w:t>on</w:t>
      </w:r>
      <w:r>
        <w:rPr>
          <w:spacing w:val="-2"/>
        </w:rPr>
        <w:t> </w:t>
      </w:r>
      <w:r>
        <w:rPr/>
        <w:t>two</w:t>
      </w:r>
      <w:r>
        <w:rPr>
          <w:spacing w:val="-2"/>
        </w:rPr>
        <w:t> </w:t>
      </w:r>
      <w:r>
        <w:rPr/>
        <w:t>major</w:t>
      </w:r>
      <w:r>
        <w:rPr>
          <w:spacing w:val="-2"/>
        </w:rPr>
        <w:t> </w:t>
      </w:r>
      <w:r>
        <w:rPr/>
        <w:t>grounds.</w:t>
      </w:r>
      <w:r>
        <w:rPr>
          <w:spacing w:val="-2"/>
        </w:rPr>
        <w:t> </w:t>
      </w:r>
      <w:r>
        <w:rPr/>
        <w:t>First,</w:t>
      </w:r>
      <w:r>
        <w:rPr>
          <w:spacing w:val="-2"/>
        </w:rPr>
        <w:t> </w:t>
      </w:r>
      <w:r>
        <w:rPr/>
        <w:t>it</w:t>
      </w:r>
      <w:r>
        <w:rPr>
          <w:spacing w:val="-2"/>
        </w:rPr>
        <w:t> </w:t>
      </w:r>
      <w:r>
        <w:rPr/>
        <w:t>has</w:t>
      </w:r>
      <w:r>
        <w:rPr>
          <w:spacing w:val="-2"/>
        </w:rPr>
        <w:t> </w:t>
      </w:r>
      <w:r>
        <w:rPr/>
        <w:t>been vehemently argued that the main confusion and contradiction regarding the tragedy of commons</w:t>
      </w:r>
      <w:r>
        <w:rPr>
          <w:spacing w:val="-13"/>
        </w:rPr>
        <w:t> </w:t>
      </w:r>
      <w:r>
        <w:rPr/>
        <w:t>is</w:t>
      </w:r>
      <w:r>
        <w:rPr>
          <w:spacing w:val="-12"/>
        </w:rPr>
        <w:t> </w:t>
      </w:r>
      <w:r>
        <w:rPr/>
        <w:t>Hardin’s</w:t>
      </w:r>
      <w:r>
        <w:rPr>
          <w:spacing w:val="-14"/>
        </w:rPr>
        <w:t> </w:t>
      </w:r>
      <w:r>
        <w:rPr/>
        <w:t>use</w:t>
      </w:r>
      <w:r>
        <w:rPr>
          <w:spacing w:val="-12"/>
        </w:rPr>
        <w:t> </w:t>
      </w:r>
      <w:r>
        <w:rPr/>
        <w:t>of</w:t>
      </w:r>
      <w:r>
        <w:rPr>
          <w:spacing w:val="-14"/>
        </w:rPr>
        <w:t> </w:t>
      </w:r>
      <w:r>
        <w:rPr/>
        <w:t>the</w:t>
      </w:r>
      <w:r>
        <w:rPr>
          <w:spacing w:val="-11"/>
        </w:rPr>
        <w:t> </w:t>
      </w:r>
      <w:r>
        <w:rPr/>
        <w:t>term</w:t>
      </w:r>
      <w:r>
        <w:rPr>
          <w:spacing w:val="-10"/>
        </w:rPr>
        <w:t> </w:t>
      </w:r>
      <w:r>
        <w:rPr/>
        <w:t>“open-access</w:t>
      </w:r>
      <w:r>
        <w:rPr>
          <w:spacing w:val="-10"/>
        </w:rPr>
        <w:t> </w:t>
      </w:r>
      <w:r>
        <w:rPr/>
        <w:t>or</w:t>
      </w:r>
      <w:r>
        <w:rPr>
          <w:spacing w:val="-14"/>
        </w:rPr>
        <w:t> </w:t>
      </w:r>
      <w:r>
        <w:rPr/>
        <w:t>unregulated</w:t>
      </w:r>
      <w:r>
        <w:rPr>
          <w:spacing w:val="-11"/>
        </w:rPr>
        <w:t> </w:t>
      </w:r>
      <w:r>
        <w:rPr/>
        <w:t>resources”</w:t>
      </w:r>
      <w:r>
        <w:rPr>
          <w:spacing w:val="-14"/>
        </w:rPr>
        <w:t> </w:t>
      </w:r>
      <w:r>
        <w:rPr/>
        <w:t>for</w:t>
      </w:r>
      <w:r>
        <w:rPr>
          <w:spacing w:val="-12"/>
        </w:rPr>
        <w:t> </w:t>
      </w:r>
      <w:r>
        <w:rPr/>
        <w:t>“commons” when applying his theory on pastureland. In his empirical study of commercial resources, Ostrom (2008) suggested that Hardin’s use of the word “commons” refer to open-access resources in which no individual has a claim to any part of the resources used by another user.</w:t>
      </w:r>
      <w:r>
        <w:rPr>
          <w:spacing w:val="-4"/>
        </w:rPr>
        <w:t> </w:t>
      </w:r>
      <w:r>
        <w:rPr/>
        <w:t>In</w:t>
      </w:r>
      <w:r>
        <w:rPr>
          <w:spacing w:val="-7"/>
        </w:rPr>
        <w:t> </w:t>
      </w:r>
      <w:r>
        <w:rPr/>
        <w:t>the</w:t>
      </w:r>
      <w:r>
        <w:rPr>
          <w:spacing w:val="-7"/>
        </w:rPr>
        <w:t> </w:t>
      </w:r>
      <w:r>
        <w:rPr/>
        <w:t>study,</w:t>
      </w:r>
      <w:r>
        <w:rPr>
          <w:spacing w:val="-7"/>
        </w:rPr>
        <w:t> </w:t>
      </w:r>
      <w:r>
        <w:rPr/>
        <w:t>a</w:t>
      </w:r>
      <w:r>
        <w:rPr>
          <w:spacing w:val="-8"/>
        </w:rPr>
        <w:t> </w:t>
      </w:r>
      <w:r>
        <w:rPr/>
        <w:t>distinction</w:t>
      </w:r>
      <w:r>
        <w:rPr>
          <w:spacing w:val="-6"/>
        </w:rPr>
        <w:t> </w:t>
      </w:r>
      <w:r>
        <w:rPr/>
        <w:t>was</w:t>
      </w:r>
      <w:r>
        <w:rPr>
          <w:spacing w:val="-7"/>
        </w:rPr>
        <w:t> </w:t>
      </w:r>
      <w:r>
        <w:rPr/>
        <w:t>drawn</w:t>
      </w:r>
      <w:r>
        <w:rPr>
          <w:spacing w:val="-6"/>
        </w:rPr>
        <w:t> </w:t>
      </w:r>
      <w:r>
        <w:rPr/>
        <w:t>between</w:t>
      </w:r>
      <w:r>
        <w:rPr>
          <w:spacing w:val="-7"/>
        </w:rPr>
        <w:t> </w:t>
      </w:r>
      <w:r>
        <w:rPr/>
        <w:t>open-access</w:t>
      </w:r>
      <w:r>
        <w:rPr>
          <w:spacing w:val="-6"/>
        </w:rPr>
        <w:t> </w:t>
      </w:r>
      <w:r>
        <w:rPr/>
        <w:t>resources</w:t>
      </w:r>
      <w:r>
        <w:rPr>
          <w:spacing w:val="-4"/>
        </w:rPr>
        <w:t> </w:t>
      </w:r>
      <w:r>
        <w:rPr/>
        <w:t>and</w:t>
      </w:r>
      <w:r>
        <w:rPr>
          <w:spacing w:val="-7"/>
        </w:rPr>
        <w:t> </w:t>
      </w:r>
      <w:r>
        <w:rPr/>
        <w:t>common</w:t>
      </w:r>
      <w:r>
        <w:rPr>
          <w:spacing w:val="-7"/>
        </w:rPr>
        <w:t> </w:t>
      </w:r>
      <w:r>
        <w:rPr/>
        <w:t>pool resources. While the former is characterized as resources that are free to all users (users are difficult to identify) with no limit to the extent of access of the resources, in common pool, the</w:t>
      </w:r>
      <w:r>
        <w:rPr>
          <w:spacing w:val="-15"/>
        </w:rPr>
        <w:t> </w:t>
      </w:r>
      <w:r>
        <w:rPr/>
        <w:t>resources</w:t>
      </w:r>
      <w:r>
        <w:rPr>
          <w:spacing w:val="-15"/>
        </w:rPr>
        <w:t> </w:t>
      </w:r>
      <w:r>
        <w:rPr/>
        <w:t>are</w:t>
      </w:r>
      <w:r>
        <w:rPr>
          <w:spacing w:val="-15"/>
        </w:rPr>
        <w:t> </w:t>
      </w:r>
      <w:r>
        <w:rPr/>
        <w:t>owned</w:t>
      </w:r>
      <w:r>
        <w:rPr>
          <w:spacing w:val="-15"/>
        </w:rPr>
        <w:t> </w:t>
      </w:r>
      <w:r>
        <w:rPr/>
        <w:t>collectively</w:t>
      </w:r>
      <w:r>
        <w:rPr>
          <w:spacing w:val="-15"/>
        </w:rPr>
        <w:t> </w:t>
      </w:r>
      <w:r>
        <w:rPr/>
        <w:t>by</w:t>
      </w:r>
      <w:r>
        <w:rPr>
          <w:spacing w:val="-15"/>
        </w:rPr>
        <w:t> </w:t>
      </w:r>
      <w:r>
        <w:rPr/>
        <w:t>a</w:t>
      </w:r>
      <w:r>
        <w:rPr>
          <w:spacing w:val="-15"/>
        </w:rPr>
        <w:t> </w:t>
      </w:r>
      <w:r>
        <w:rPr/>
        <w:t>group</w:t>
      </w:r>
      <w:r>
        <w:rPr>
          <w:spacing w:val="-15"/>
        </w:rPr>
        <w:t> </w:t>
      </w:r>
      <w:r>
        <w:rPr/>
        <w:t>of</w:t>
      </w:r>
      <w:r>
        <w:rPr>
          <w:spacing w:val="-15"/>
        </w:rPr>
        <w:t> </w:t>
      </w:r>
      <w:r>
        <w:rPr/>
        <w:t>users</w:t>
      </w:r>
      <w:r>
        <w:rPr>
          <w:spacing w:val="-15"/>
        </w:rPr>
        <w:t> </w:t>
      </w:r>
      <w:r>
        <w:rPr/>
        <w:t>(difficult</w:t>
      </w:r>
      <w:r>
        <w:rPr>
          <w:spacing w:val="-15"/>
        </w:rPr>
        <w:t> </w:t>
      </w:r>
      <w:r>
        <w:rPr/>
        <w:t>to</w:t>
      </w:r>
      <w:r>
        <w:rPr>
          <w:spacing w:val="-15"/>
        </w:rPr>
        <w:t> </w:t>
      </w:r>
      <w:r>
        <w:rPr/>
        <w:t>define</w:t>
      </w:r>
      <w:r>
        <w:rPr>
          <w:spacing w:val="-15"/>
        </w:rPr>
        <w:t> </w:t>
      </w:r>
      <w:r>
        <w:rPr/>
        <w:t>but</w:t>
      </w:r>
      <w:r>
        <w:rPr>
          <w:spacing w:val="-15"/>
        </w:rPr>
        <w:t> </w:t>
      </w:r>
      <w:r>
        <w:rPr/>
        <w:t>not</w:t>
      </w:r>
      <w:r>
        <w:rPr>
          <w:spacing w:val="-15"/>
        </w:rPr>
        <w:t> </w:t>
      </w:r>
      <w:r>
        <w:rPr/>
        <w:t>impossible to identify) who can restrict other users from outside the group. Secondly, while the theory proposed</w:t>
      </w:r>
      <w:r>
        <w:rPr>
          <w:spacing w:val="-12"/>
        </w:rPr>
        <w:t> </w:t>
      </w:r>
      <w:r>
        <w:rPr/>
        <w:t>a</w:t>
      </w:r>
      <w:r>
        <w:rPr>
          <w:spacing w:val="-13"/>
        </w:rPr>
        <w:t> </w:t>
      </w:r>
      <w:r>
        <w:rPr/>
        <w:t>government</w:t>
      </w:r>
      <w:r>
        <w:rPr>
          <w:spacing w:val="-11"/>
        </w:rPr>
        <w:t> </w:t>
      </w:r>
      <w:r>
        <w:rPr/>
        <w:t>intervention</w:t>
      </w:r>
      <w:r>
        <w:rPr>
          <w:spacing w:val="-12"/>
        </w:rPr>
        <w:t> </w:t>
      </w:r>
      <w:r>
        <w:rPr/>
        <w:t>(top-bottom</w:t>
      </w:r>
      <w:r>
        <w:rPr>
          <w:spacing w:val="-11"/>
        </w:rPr>
        <w:t> </w:t>
      </w:r>
      <w:r>
        <w:rPr/>
        <w:t>approach)</w:t>
      </w:r>
      <w:r>
        <w:rPr>
          <w:spacing w:val="-12"/>
        </w:rPr>
        <w:t> </w:t>
      </w:r>
      <w:r>
        <w:rPr/>
        <w:t>to</w:t>
      </w:r>
      <w:r>
        <w:rPr>
          <w:spacing w:val="-11"/>
        </w:rPr>
        <w:t> </w:t>
      </w:r>
      <w:r>
        <w:rPr/>
        <w:t>avert</w:t>
      </w:r>
      <w:r>
        <w:rPr>
          <w:spacing w:val="-12"/>
        </w:rPr>
        <w:t> </w:t>
      </w:r>
      <w:r>
        <w:rPr/>
        <w:t>the</w:t>
      </w:r>
      <w:r>
        <w:rPr>
          <w:spacing w:val="-12"/>
        </w:rPr>
        <w:t> </w:t>
      </w:r>
      <w:r>
        <w:rPr/>
        <w:t>tragedy</w:t>
      </w:r>
      <w:r>
        <w:rPr>
          <w:spacing w:val="-15"/>
        </w:rPr>
        <w:t> </w:t>
      </w:r>
      <w:r>
        <w:rPr/>
        <w:t>of</w:t>
      </w:r>
      <w:r>
        <w:rPr>
          <w:spacing w:val="-12"/>
        </w:rPr>
        <w:t> </w:t>
      </w:r>
      <w:r>
        <w:rPr/>
        <w:t>commons, it failed to consider the practical and theoretical relevance of a bottom-top approach where the local users/communities are active stakeholder in the management of scarce natural resources. In this regard, it has been suggested that local users can evolve viable self- governance system or participatory management (a bottom-top approach), such as cooperative arrangement which is supportive of sustainable resource management (Ostrom and Hess, 2001; Ostrom, 2008; Salzman and Thompson, 2010).</w:t>
      </w:r>
    </w:p>
    <w:p>
      <w:pPr>
        <w:pStyle w:val="BodyText"/>
        <w:spacing w:before="3"/>
      </w:pPr>
    </w:p>
    <w:p>
      <w:pPr>
        <w:pStyle w:val="BodyText"/>
        <w:spacing w:line="477" w:lineRule="auto"/>
        <w:ind w:left="267" w:right="732"/>
        <w:jc w:val="both"/>
      </w:pPr>
      <w:r>
        <w:rPr/>
        <w:t>As</w:t>
      </w:r>
      <w:r>
        <w:rPr>
          <w:spacing w:val="-6"/>
        </w:rPr>
        <w:t> </w:t>
      </w:r>
      <w:r>
        <w:rPr/>
        <w:t>a</w:t>
      </w:r>
      <w:r>
        <w:rPr>
          <w:spacing w:val="-4"/>
        </w:rPr>
        <w:t> </w:t>
      </w:r>
      <w:r>
        <w:rPr/>
        <w:t>common</w:t>
      </w:r>
      <w:r>
        <w:rPr>
          <w:spacing w:val="-6"/>
        </w:rPr>
        <w:t> </w:t>
      </w:r>
      <w:r>
        <w:rPr/>
        <w:t>pool</w:t>
      </w:r>
      <w:r>
        <w:rPr>
          <w:spacing w:val="-5"/>
        </w:rPr>
        <w:t> </w:t>
      </w:r>
      <w:r>
        <w:rPr/>
        <w:t>resource,</w:t>
      </w:r>
      <w:r>
        <w:rPr>
          <w:spacing w:val="-3"/>
        </w:rPr>
        <w:t> </w:t>
      </w:r>
      <w:r>
        <w:rPr/>
        <w:t>water</w:t>
      </w:r>
      <w:r>
        <w:rPr>
          <w:spacing w:val="-5"/>
        </w:rPr>
        <w:t> </w:t>
      </w:r>
      <w:r>
        <w:rPr/>
        <w:t>is</w:t>
      </w:r>
      <w:r>
        <w:rPr>
          <w:spacing w:val="-5"/>
        </w:rPr>
        <w:t> </w:t>
      </w:r>
      <w:r>
        <w:rPr/>
        <w:t>also</w:t>
      </w:r>
      <w:r>
        <w:rPr>
          <w:spacing w:val="-3"/>
        </w:rPr>
        <w:t> </w:t>
      </w:r>
      <w:r>
        <w:rPr/>
        <w:t>characterized</w:t>
      </w:r>
      <w:r>
        <w:rPr>
          <w:spacing w:val="-6"/>
        </w:rPr>
        <w:t> </w:t>
      </w:r>
      <w:r>
        <w:rPr/>
        <w:t>by</w:t>
      </w:r>
      <w:r>
        <w:rPr>
          <w:spacing w:val="-11"/>
        </w:rPr>
        <w:t> </w:t>
      </w:r>
      <w:r>
        <w:rPr/>
        <w:t>common</w:t>
      </w:r>
      <w:r>
        <w:rPr>
          <w:spacing w:val="-6"/>
        </w:rPr>
        <w:t> </w:t>
      </w:r>
      <w:r>
        <w:rPr/>
        <w:t>pool</w:t>
      </w:r>
      <w:r>
        <w:rPr>
          <w:spacing w:val="-3"/>
        </w:rPr>
        <w:t> </w:t>
      </w:r>
      <w:r>
        <w:rPr/>
        <w:t>resources</w:t>
      </w:r>
      <w:r>
        <w:rPr>
          <w:spacing w:val="-3"/>
        </w:rPr>
        <w:t> </w:t>
      </w:r>
      <w:r>
        <w:rPr/>
        <w:t>problem such</w:t>
      </w:r>
      <w:r>
        <w:rPr>
          <w:spacing w:val="14"/>
        </w:rPr>
        <w:t> </w:t>
      </w:r>
      <w:r>
        <w:rPr/>
        <w:t>as</w:t>
      </w:r>
      <w:r>
        <w:rPr>
          <w:spacing w:val="18"/>
        </w:rPr>
        <w:t> </w:t>
      </w:r>
      <w:r>
        <w:rPr/>
        <w:t>rivalry</w:t>
      </w:r>
      <w:r>
        <w:rPr>
          <w:spacing w:val="13"/>
        </w:rPr>
        <w:t> </w:t>
      </w:r>
      <w:r>
        <w:rPr/>
        <w:t>in</w:t>
      </w:r>
      <w:r>
        <w:rPr>
          <w:spacing w:val="18"/>
        </w:rPr>
        <w:t> </w:t>
      </w:r>
      <w:r>
        <w:rPr/>
        <w:t>use</w:t>
      </w:r>
      <w:r>
        <w:rPr>
          <w:spacing w:val="17"/>
        </w:rPr>
        <w:t> </w:t>
      </w:r>
      <w:r>
        <w:rPr/>
        <w:t>and</w:t>
      </w:r>
      <w:r>
        <w:rPr>
          <w:spacing w:val="17"/>
        </w:rPr>
        <w:t> </w:t>
      </w:r>
      <w:r>
        <w:rPr/>
        <w:t>consumption</w:t>
      </w:r>
      <w:r>
        <w:rPr>
          <w:spacing w:val="16"/>
        </w:rPr>
        <w:t> </w:t>
      </w:r>
      <w:r>
        <w:rPr/>
        <w:t>(which</w:t>
      </w:r>
      <w:r>
        <w:rPr>
          <w:spacing w:val="17"/>
        </w:rPr>
        <w:t> </w:t>
      </w:r>
      <w:r>
        <w:rPr/>
        <w:t>depletes</w:t>
      </w:r>
      <w:r>
        <w:rPr>
          <w:spacing w:val="18"/>
        </w:rPr>
        <w:t> </w:t>
      </w:r>
      <w:r>
        <w:rPr/>
        <w:t>the</w:t>
      </w:r>
      <w:r>
        <w:rPr>
          <w:spacing w:val="17"/>
        </w:rPr>
        <w:t> </w:t>
      </w:r>
      <w:r>
        <w:rPr/>
        <w:t>total</w:t>
      </w:r>
      <w:r>
        <w:rPr>
          <w:spacing w:val="18"/>
        </w:rPr>
        <w:t> </w:t>
      </w:r>
      <w:r>
        <w:rPr/>
        <w:t>resource</w:t>
      </w:r>
      <w:r>
        <w:rPr>
          <w:spacing w:val="19"/>
        </w:rPr>
        <w:t> </w:t>
      </w:r>
      <w:r>
        <w:rPr/>
        <w:t>units),</w:t>
      </w:r>
      <w:r>
        <w:rPr>
          <w:spacing w:val="17"/>
        </w:rPr>
        <w:t> </w:t>
      </w:r>
      <w:r>
        <w:rPr>
          <w:spacing w:val="-2"/>
        </w:rPr>
        <w:t>NIMBY,</w:t>
      </w:r>
    </w:p>
    <w:p>
      <w:pPr>
        <w:pStyle w:val="BodyText"/>
        <w:spacing w:before="3"/>
        <w:ind w:left="267"/>
        <w:jc w:val="both"/>
      </w:pPr>
      <w:r>
        <w:rPr/>
        <w:t>free-riding</w:t>
      </w:r>
      <w:r>
        <w:rPr>
          <w:spacing w:val="13"/>
        </w:rPr>
        <w:t> </w:t>
      </w:r>
      <w:r>
        <w:rPr/>
        <w:t>and</w:t>
      </w:r>
      <w:r>
        <w:rPr>
          <w:spacing w:val="18"/>
        </w:rPr>
        <w:t> </w:t>
      </w:r>
      <w:r>
        <w:rPr/>
        <w:t>over-exploitation</w:t>
      </w:r>
      <w:r>
        <w:rPr>
          <w:spacing w:val="18"/>
        </w:rPr>
        <w:t> </w:t>
      </w:r>
      <w:r>
        <w:rPr/>
        <w:t>(Poteete</w:t>
      </w:r>
      <w:r>
        <w:rPr>
          <w:spacing w:val="20"/>
        </w:rPr>
        <w:t> </w:t>
      </w:r>
      <w:r>
        <w:rPr>
          <w:i/>
        </w:rPr>
        <w:t>et</w:t>
      </w:r>
      <w:r>
        <w:rPr>
          <w:i/>
          <w:spacing w:val="19"/>
        </w:rPr>
        <w:t> </w:t>
      </w:r>
      <w:r>
        <w:rPr>
          <w:i/>
        </w:rPr>
        <w:t>al.</w:t>
      </w:r>
      <w:r>
        <w:rPr/>
        <w:t>,</w:t>
      </w:r>
      <w:r>
        <w:rPr>
          <w:spacing w:val="17"/>
        </w:rPr>
        <w:t> </w:t>
      </w:r>
      <w:r>
        <w:rPr/>
        <w:t>2010;</w:t>
      </w:r>
      <w:r>
        <w:rPr>
          <w:spacing w:val="19"/>
        </w:rPr>
        <w:t> </w:t>
      </w:r>
      <w:r>
        <w:rPr/>
        <w:t>Naiga</w:t>
      </w:r>
      <w:r>
        <w:rPr>
          <w:spacing w:val="18"/>
        </w:rPr>
        <w:t> </w:t>
      </w:r>
      <w:r>
        <w:rPr>
          <w:i/>
        </w:rPr>
        <w:t>et</w:t>
      </w:r>
      <w:r>
        <w:rPr>
          <w:i/>
          <w:spacing w:val="21"/>
        </w:rPr>
        <w:t> </w:t>
      </w:r>
      <w:r>
        <w:rPr>
          <w:i/>
        </w:rPr>
        <w:t>al.</w:t>
      </w:r>
      <w:r>
        <w:rPr/>
        <w:t>,</w:t>
      </w:r>
      <w:r>
        <w:rPr>
          <w:spacing w:val="18"/>
        </w:rPr>
        <w:t> </w:t>
      </w:r>
      <w:r>
        <w:rPr/>
        <w:t>2015).</w:t>
      </w:r>
      <w:r>
        <w:rPr>
          <w:spacing w:val="20"/>
        </w:rPr>
        <w:t> </w:t>
      </w:r>
      <w:r>
        <w:rPr/>
        <w:t>Though</w:t>
      </w:r>
      <w:r>
        <w:rPr>
          <w:spacing w:val="21"/>
        </w:rPr>
        <w:t> </w:t>
      </w:r>
      <w:r>
        <w:rPr/>
        <w:t>not</w:t>
      </w:r>
      <w:r>
        <w:rPr>
          <w:spacing w:val="19"/>
        </w:rPr>
        <w:t> </w:t>
      </w:r>
      <w:r>
        <w:rPr>
          <w:spacing w:val="-5"/>
        </w:rPr>
        <w:t>all</w:t>
      </w:r>
    </w:p>
    <w:p>
      <w:pPr>
        <w:spacing w:after="0"/>
        <w:jc w:val="both"/>
        <w:sectPr>
          <w:pgSz w:w="12240" w:h="15840"/>
          <w:pgMar w:header="0" w:footer="1068" w:top="1340" w:bottom="1260" w:left="1720" w:right="680"/>
        </w:sectPr>
      </w:pPr>
    </w:p>
    <w:p>
      <w:pPr>
        <w:pStyle w:val="BodyText"/>
        <w:spacing w:line="480" w:lineRule="auto" w:before="63"/>
        <w:ind w:left="267" w:right="726"/>
        <w:jc w:val="both"/>
      </w:pPr>
      <w:r>
        <w:rPr/>
        <w:t>communities</w:t>
      </w:r>
      <w:r>
        <w:rPr>
          <w:spacing w:val="-15"/>
        </w:rPr>
        <w:t> </w:t>
      </w:r>
      <w:r>
        <w:rPr/>
        <w:t>are</w:t>
      </w:r>
      <w:r>
        <w:rPr>
          <w:spacing w:val="-15"/>
        </w:rPr>
        <w:t> </w:t>
      </w:r>
      <w:r>
        <w:rPr/>
        <w:t>equally</w:t>
      </w:r>
      <w:r>
        <w:rPr>
          <w:spacing w:val="-15"/>
        </w:rPr>
        <w:t> </w:t>
      </w:r>
      <w:r>
        <w:rPr/>
        <w:t>successful</w:t>
      </w:r>
      <w:r>
        <w:rPr>
          <w:spacing w:val="-15"/>
        </w:rPr>
        <w:t> </w:t>
      </w:r>
      <w:r>
        <w:rPr/>
        <w:t>in</w:t>
      </w:r>
      <w:r>
        <w:rPr>
          <w:spacing w:val="-15"/>
        </w:rPr>
        <w:t> </w:t>
      </w:r>
      <w:r>
        <w:rPr/>
        <w:t>protecting</w:t>
      </w:r>
      <w:r>
        <w:rPr>
          <w:spacing w:val="-15"/>
        </w:rPr>
        <w:t> </w:t>
      </w:r>
      <w:r>
        <w:rPr/>
        <w:t>and</w:t>
      </w:r>
      <w:r>
        <w:rPr>
          <w:spacing w:val="-15"/>
        </w:rPr>
        <w:t> </w:t>
      </w:r>
      <w:r>
        <w:rPr/>
        <w:t>managing</w:t>
      </w:r>
      <w:r>
        <w:rPr>
          <w:spacing w:val="-15"/>
        </w:rPr>
        <w:t> </w:t>
      </w:r>
      <w:r>
        <w:rPr/>
        <w:t>common</w:t>
      </w:r>
      <w:r>
        <w:rPr>
          <w:spacing w:val="-15"/>
        </w:rPr>
        <w:t> </w:t>
      </w:r>
      <w:r>
        <w:rPr/>
        <w:t>resources</w:t>
      </w:r>
      <w:r>
        <w:rPr>
          <w:spacing w:val="-15"/>
        </w:rPr>
        <w:t> </w:t>
      </w:r>
      <w:r>
        <w:rPr/>
        <w:t>like</w:t>
      </w:r>
      <w:r>
        <w:rPr>
          <w:spacing w:val="-15"/>
        </w:rPr>
        <w:t> </w:t>
      </w:r>
      <w:r>
        <w:rPr/>
        <w:t>water in</w:t>
      </w:r>
      <w:r>
        <w:rPr>
          <w:spacing w:val="-3"/>
        </w:rPr>
        <w:t> </w:t>
      </w:r>
      <w:r>
        <w:rPr/>
        <w:t>a</w:t>
      </w:r>
      <w:r>
        <w:rPr>
          <w:spacing w:val="-3"/>
        </w:rPr>
        <w:t> </w:t>
      </w:r>
      <w:r>
        <w:rPr/>
        <w:t>sustainable</w:t>
      </w:r>
      <w:r>
        <w:rPr>
          <w:spacing w:val="-3"/>
        </w:rPr>
        <w:t> </w:t>
      </w:r>
      <w:r>
        <w:rPr/>
        <w:t>manner</w:t>
      </w:r>
      <w:r>
        <w:rPr>
          <w:spacing w:val="-2"/>
        </w:rPr>
        <w:t> </w:t>
      </w:r>
      <w:r>
        <w:rPr/>
        <w:t>(Gautam</w:t>
      </w:r>
      <w:r>
        <w:rPr>
          <w:spacing w:val="-3"/>
        </w:rPr>
        <w:t> </w:t>
      </w:r>
      <w:r>
        <w:rPr/>
        <w:t>and</w:t>
      </w:r>
      <w:r>
        <w:rPr>
          <w:spacing w:val="-3"/>
        </w:rPr>
        <w:t> </w:t>
      </w:r>
      <w:r>
        <w:rPr/>
        <w:t>Shivakoh,</w:t>
      </w:r>
      <w:r>
        <w:rPr>
          <w:spacing w:val="-3"/>
        </w:rPr>
        <w:t> </w:t>
      </w:r>
      <w:r>
        <w:rPr/>
        <w:t>2005),</w:t>
      </w:r>
      <w:r>
        <w:rPr>
          <w:spacing w:val="-4"/>
        </w:rPr>
        <w:t> </w:t>
      </w:r>
      <w:r>
        <w:rPr/>
        <w:t>collective</w:t>
      </w:r>
      <w:r>
        <w:rPr>
          <w:spacing w:val="-4"/>
        </w:rPr>
        <w:t> </w:t>
      </w:r>
      <w:r>
        <w:rPr/>
        <w:t>action</w:t>
      </w:r>
      <w:r>
        <w:rPr>
          <w:spacing w:val="-3"/>
        </w:rPr>
        <w:t> </w:t>
      </w:r>
      <w:r>
        <w:rPr/>
        <w:t>of</w:t>
      </w:r>
      <w:r>
        <w:rPr>
          <w:spacing w:val="-2"/>
        </w:rPr>
        <w:t> </w:t>
      </w:r>
      <w:r>
        <w:rPr/>
        <w:t>local</w:t>
      </w:r>
      <w:r>
        <w:rPr>
          <w:spacing w:val="-3"/>
        </w:rPr>
        <w:t> </w:t>
      </w:r>
      <w:r>
        <w:rPr/>
        <w:t>water</w:t>
      </w:r>
      <w:r>
        <w:rPr>
          <w:spacing w:val="-5"/>
        </w:rPr>
        <w:t> </w:t>
      </w:r>
      <w:r>
        <w:rPr/>
        <w:t>users and</w:t>
      </w:r>
      <w:r>
        <w:rPr>
          <w:spacing w:val="-5"/>
        </w:rPr>
        <w:t> </w:t>
      </w:r>
      <w:r>
        <w:rPr/>
        <w:t>local</w:t>
      </w:r>
      <w:r>
        <w:rPr>
          <w:spacing w:val="-4"/>
        </w:rPr>
        <w:t> </w:t>
      </w:r>
      <w:r>
        <w:rPr/>
        <w:t>self-governance</w:t>
      </w:r>
      <w:r>
        <w:rPr>
          <w:spacing w:val="-4"/>
        </w:rPr>
        <w:t> </w:t>
      </w:r>
      <w:r>
        <w:rPr/>
        <w:t>is</w:t>
      </w:r>
      <w:r>
        <w:rPr>
          <w:spacing w:val="-4"/>
        </w:rPr>
        <w:t> </w:t>
      </w:r>
      <w:r>
        <w:rPr/>
        <w:t>key</w:t>
      </w:r>
      <w:r>
        <w:rPr>
          <w:spacing w:val="-7"/>
        </w:rPr>
        <w:t> </w:t>
      </w:r>
      <w:r>
        <w:rPr/>
        <w:t>for:</w:t>
      </w:r>
      <w:r>
        <w:rPr>
          <w:spacing w:val="-2"/>
        </w:rPr>
        <w:t> </w:t>
      </w:r>
      <w:r>
        <w:rPr/>
        <w:t>(1)</w:t>
      </w:r>
      <w:r>
        <w:rPr>
          <w:spacing w:val="-6"/>
        </w:rPr>
        <w:t> </w:t>
      </w:r>
      <w:r>
        <w:rPr/>
        <w:t>the</w:t>
      </w:r>
      <w:r>
        <w:rPr>
          <w:spacing w:val="-3"/>
        </w:rPr>
        <w:t> </w:t>
      </w:r>
      <w:r>
        <w:rPr/>
        <w:t>ability</w:t>
      </w:r>
      <w:r>
        <w:rPr>
          <w:spacing w:val="-7"/>
        </w:rPr>
        <w:t> </w:t>
      </w:r>
      <w:r>
        <w:rPr/>
        <w:t>of</w:t>
      </w:r>
      <w:r>
        <w:rPr>
          <w:spacing w:val="-6"/>
        </w:rPr>
        <w:t> </w:t>
      </w:r>
      <w:r>
        <w:rPr/>
        <w:t>the</w:t>
      </w:r>
      <w:r>
        <w:rPr>
          <w:spacing w:val="-3"/>
        </w:rPr>
        <w:t> </w:t>
      </w:r>
      <w:r>
        <w:rPr/>
        <w:t>local</w:t>
      </w:r>
      <w:r>
        <w:rPr>
          <w:spacing w:val="-4"/>
        </w:rPr>
        <w:t> </w:t>
      </w:r>
      <w:r>
        <w:rPr/>
        <w:t>users/community</w:t>
      </w:r>
      <w:r>
        <w:rPr>
          <w:spacing w:val="-10"/>
        </w:rPr>
        <w:t> </w:t>
      </w:r>
      <w:r>
        <w:rPr/>
        <w:t>to</w:t>
      </w:r>
      <w:r>
        <w:rPr>
          <w:spacing w:val="-4"/>
        </w:rPr>
        <w:t> </w:t>
      </w:r>
      <w:r>
        <w:rPr/>
        <w:t>mobilize resources</w:t>
      </w:r>
      <w:r>
        <w:rPr>
          <w:spacing w:val="-15"/>
        </w:rPr>
        <w:t> </w:t>
      </w:r>
      <w:r>
        <w:rPr/>
        <w:t>to</w:t>
      </w:r>
      <w:r>
        <w:rPr>
          <w:spacing w:val="-15"/>
        </w:rPr>
        <w:t> </w:t>
      </w:r>
      <w:r>
        <w:rPr/>
        <w:t>operate</w:t>
      </w:r>
      <w:r>
        <w:rPr>
          <w:spacing w:val="-13"/>
        </w:rPr>
        <w:t> </w:t>
      </w:r>
      <w:r>
        <w:rPr/>
        <w:t>and</w:t>
      </w:r>
      <w:r>
        <w:rPr>
          <w:spacing w:val="-13"/>
        </w:rPr>
        <w:t> </w:t>
      </w:r>
      <w:r>
        <w:rPr/>
        <w:t>maintain</w:t>
      </w:r>
      <w:r>
        <w:rPr>
          <w:spacing w:val="-14"/>
        </w:rPr>
        <w:t> </w:t>
      </w:r>
      <w:r>
        <w:rPr/>
        <w:t>the</w:t>
      </w:r>
      <w:r>
        <w:rPr>
          <w:spacing w:val="-15"/>
        </w:rPr>
        <w:t> </w:t>
      </w:r>
      <w:r>
        <w:rPr/>
        <w:t>water</w:t>
      </w:r>
      <w:r>
        <w:rPr>
          <w:spacing w:val="-15"/>
        </w:rPr>
        <w:t> </w:t>
      </w:r>
      <w:r>
        <w:rPr/>
        <w:t>infrastructure</w:t>
      </w:r>
      <w:r>
        <w:rPr>
          <w:spacing w:val="-13"/>
        </w:rPr>
        <w:t> </w:t>
      </w:r>
      <w:r>
        <w:rPr/>
        <w:t>and</w:t>
      </w:r>
      <w:r>
        <w:rPr>
          <w:spacing w:val="-14"/>
        </w:rPr>
        <w:t> </w:t>
      </w:r>
      <w:r>
        <w:rPr/>
        <w:t>(2)</w:t>
      </w:r>
      <w:r>
        <w:rPr>
          <w:spacing w:val="-15"/>
        </w:rPr>
        <w:t> </w:t>
      </w:r>
      <w:r>
        <w:rPr/>
        <w:t>setting</w:t>
      </w:r>
      <w:r>
        <w:rPr>
          <w:spacing w:val="-15"/>
        </w:rPr>
        <w:t> </w:t>
      </w:r>
      <w:r>
        <w:rPr/>
        <w:t>and</w:t>
      </w:r>
      <w:r>
        <w:rPr>
          <w:spacing w:val="-14"/>
        </w:rPr>
        <w:t> </w:t>
      </w:r>
      <w:r>
        <w:rPr/>
        <w:t>enforcing</w:t>
      </w:r>
      <w:r>
        <w:rPr>
          <w:spacing w:val="-14"/>
        </w:rPr>
        <w:t> </w:t>
      </w:r>
      <w:r>
        <w:rPr/>
        <w:t>users’ rules (Ostrom 1990; Baland and Platteau, 1999; World Bank, 1999). However, it has been noted that no singular institutional arrangement can curb the challenge of water resources security</w:t>
      </w:r>
      <w:r>
        <w:rPr>
          <w:spacing w:val="-15"/>
        </w:rPr>
        <w:t> </w:t>
      </w:r>
      <w:r>
        <w:rPr/>
        <w:t>(Ostrom</w:t>
      </w:r>
      <w:r>
        <w:rPr>
          <w:spacing w:val="-10"/>
        </w:rPr>
        <w:t> </w:t>
      </w:r>
      <w:r>
        <w:rPr>
          <w:i/>
        </w:rPr>
        <w:t>et</w:t>
      </w:r>
      <w:r>
        <w:rPr>
          <w:i/>
          <w:spacing w:val="-10"/>
        </w:rPr>
        <w:t> </w:t>
      </w:r>
      <w:r>
        <w:rPr>
          <w:i/>
        </w:rPr>
        <w:t>al.</w:t>
      </w:r>
      <w:r>
        <w:rPr/>
        <w:t>,</w:t>
      </w:r>
      <w:r>
        <w:rPr>
          <w:spacing w:val="-11"/>
        </w:rPr>
        <w:t> </w:t>
      </w:r>
      <w:r>
        <w:rPr/>
        <w:t>2003;</w:t>
      </w:r>
      <w:r>
        <w:rPr>
          <w:spacing w:val="-10"/>
        </w:rPr>
        <w:t> </w:t>
      </w:r>
      <w:r>
        <w:rPr/>
        <w:t>Ostrom,</w:t>
      </w:r>
      <w:r>
        <w:rPr>
          <w:spacing w:val="-11"/>
        </w:rPr>
        <w:t> </w:t>
      </w:r>
      <w:r>
        <w:rPr/>
        <w:t>2008)</w:t>
      </w:r>
      <w:r>
        <w:rPr>
          <w:spacing w:val="-11"/>
        </w:rPr>
        <w:t> </w:t>
      </w:r>
      <w:r>
        <w:rPr/>
        <w:t>and</w:t>
      </w:r>
      <w:r>
        <w:rPr>
          <w:spacing w:val="-11"/>
        </w:rPr>
        <w:t> </w:t>
      </w:r>
      <w:r>
        <w:rPr/>
        <w:t>that</w:t>
      </w:r>
      <w:r>
        <w:rPr>
          <w:spacing w:val="-10"/>
        </w:rPr>
        <w:t> </w:t>
      </w:r>
      <w:r>
        <w:rPr/>
        <w:t>the</w:t>
      </w:r>
      <w:r>
        <w:rPr>
          <w:spacing w:val="-11"/>
        </w:rPr>
        <w:t> </w:t>
      </w:r>
      <w:r>
        <w:rPr/>
        <w:t>problem</w:t>
      </w:r>
      <w:r>
        <w:rPr>
          <w:spacing w:val="-10"/>
        </w:rPr>
        <w:t> </w:t>
      </w:r>
      <w:r>
        <w:rPr/>
        <w:t>can</w:t>
      </w:r>
      <w:r>
        <w:rPr>
          <w:spacing w:val="-11"/>
        </w:rPr>
        <w:t> </w:t>
      </w:r>
      <w:r>
        <w:rPr/>
        <w:t>further</w:t>
      </w:r>
      <w:r>
        <w:rPr>
          <w:spacing w:val="-11"/>
        </w:rPr>
        <w:t> </w:t>
      </w:r>
      <w:r>
        <w:rPr/>
        <w:t>be</w:t>
      </w:r>
      <w:r>
        <w:rPr>
          <w:spacing w:val="-12"/>
        </w:rPr>
        <w:t> </w:t>
      </w:r>
      <w:r>
        <w:rPr/>
        <w:t>complicated by the status of water resources (its abundance or otherwise) which may change over an instant of time. They explained that the challenge of water resource management varies substantially</w:t>
      </w:r>
      <w:r>
        <w:rPr>
          <w:spacing w:val="-15"/>
        </w:rPr>
        <w:t> </w:t>
      </w:r>
      <w:r>
        <w:rPr/>
        <w:t>with</w:t>
      </w:r>
      <w:r>
        <w:rPr>
          <w:spacing w:val="-8"/>
        </w:rPr>
        <w:t> </w:t>
      </w:r>
      <w:r>
        <w:rPr/>
        <w:t>the</w:t>
      </w:r>
      <w:r>
        <w:rPr>
          <w:spacing w:val="-9"/>
        </w:rPr>
        <w:t> </w:t>
      </w:r>
      <w:r>
        <w:rPr/>
        <w:t>resources,</w:t>
      </w:r>
      <w:r>
        <w:rPr>
          <w:spacing w:val="-8"/>
        </w:rPr>
        <w:t> </w:t>
      </w:r>
      <w:r>
        <w:rPr/>
        <w:t>the</w:t>
      </w:r>
      <w:r>
        <w:rPr>
          <w:spacing w:val="-9"/>
        </w:rPr>
        <w:t> </w:t>
      </w:r>
      <w:r>
        <w:rPr/>
        <w:t>characteristics</w:t>
      </w:r>
      <w:r>
        <w:rPr>
          <w:spacing w:val="-8"/>
        </w:rPr>
        <w:t> </w:t>
      </w:r>
      <w:r>
        <w:rPr/>
        <w:t>of</w:t>
      </w:r>
      <w:r>
        <w:rPr>
          <w:spacing w:val="-9"/>
        </w:rPr>
        <w:t> </w:t>
      </w:r>
      <w:r>
        <w:rPr/>
        <w:t>the</w:t>
      </w:r>
      <w:r>
        <w:rPr>
          <w:spacing w:val="-9"/>
        </w:rPr>
        <w:t> </w:t>
      </w:r>
      <w:r>
        <w:rPr/>
        <w:t>water</w:t>
      </w:r>
      <w:r>
        <w:rPr>
          <w:spacing w:val="-9"/>
        </w:rPr>
        <w:t> </w:t>
      </w:r>
      <w:r>
        <w:rPr/>
        <w:t>resource</w:t>
      </w:r>
      <w:r>
        <w:rPr>
          <w:spacing w:val="-9"/>
        </w:rPr>
        <w:t> </w:t>
      </w:r>
      <w:r>
        <w:rPr/>
        <w:t>users</w:t>
      </w:r>
      <w:r>
        <w:rPr>
          <w:spacing w:val="-9"/>
        </w:rPr>
        <w:t> </w:t>
      </w:r>
      <w:r>
        <w:rPr/>
        <w:t>and</w:t>
      </w:r>
      <w:r>
        <w:rPr>
          <w:spacing w:val="-8"/>
        </w:rPr>
        <w:t> </w:t>
      </w:r>
      <w:r>
        <w:rPr/>
        <w:t>the</w:t>
      </w:r>
      <w:r>
        <w:rPr>
          <w:spacing w:val="-9"/>
        </w:rPr>
        <w:t> </w:t>
      </w:r>
      <w:r>
        <w:rPr/>
        <w:t>nature of exploitation.</w:t>
      </w:r>
    </w:p>
    <w:p>
      <w:pPr>
        <w:pStyle w:val="BodyText"/>
        <w:spacing w:before="8"/>
      </w:pPr>
    </w:p>
    <w:p>
      <w:pPr>
        <w:pStyle w:val="Heading1"/>
        <w:numPr>
          <w:ilvl w:val="1"/>
          <w:numId w:val="6"/>
        </w:numPr>
        <w:tabs>
          <w:tab w:pos="807" w:val="left" w:leader="none"/>
        </w:tabs>
        <w:spacing w:line="240" w:lineRule="auto" w:before="1" w:after="0"/>
        <w:ind w:left="807" w:right="0" w:hanging="540"/>
        <w:jc w:val="left"/>
      </w:pPr>
      <w:r>
        <w:rPr/>
        <w:t>The</w:t>
      </w:r>
      <w:r>
        <w:rPr>
          <w:spacing w:val="-2"/>
        </w:rPr>
        <w:t> </w:t>
      </w:r>
      <w:r>
        <w:rPr/>
        <w:t>Concept of Adaptive</w:t>
      </w:r>
      <w:r>
        <w:rPr>
          <w:spacing w:val="-2"/>
        </w:rPr>
        <w:t> Capacity</w:t>
      </w:r>
    </w:p>
    <w:p>
      <w:pPr>
        <w:pStyle w:val="BodyText"/>
        <w:spacing w:before="14"/>
        <w:rPr>
          <w:b/>
        </w:rPr>
      </w:pPr>
    </w:p>
    <w:p>
      <w:pPr>
        <w:pStyle w:val="BodyText"/>
        <w:spacing w:line="480" w:lineRule="auto"/>
        <w:ind w:left="267" w:right="727"/>
        <w:jc w:val="both"/>
      </w:pPr>
      <w:r>
        <w:rPr/>
        <w:t>The concept of adaptive capacity is deeply rooted in the concept of natural resources construction.</w:t>
      </w:r>
      <w:r>
        <w:rPr>
          <w:spacing w:val="-13"/>
        </w:rPr>
        <w:t> </w:t>
      </w:r>
      <w:r>
        <w:rPr/>
        <w:t>The</w:t>
      </w:r>
      <w:r>
        <w:rPr>
          <w:spacing w:val="-14"/>
        </w:rPr>
        <w:t> </w:t>
      </w:r>
      <w:r>
        <w:rPr/>
        <w:t>concept</w:t>
      </w:r>
      <w:r>
        <w:rPr>
          <w:spacing w:val="-13"/>
        </w:rPr>
        <w:t> </w:t>
      </w:r>
      <w:r>
        <w:rPr/>
        <w:t>of</w:t>
      </w:r>
      <w:r>
        <w:rPr>
          <w:spacing w:val="-14"/>
        </w:rPr>
        <w:t> </w:t>
      </w:r>
      <w:r>
        <w:rPr/>
        <w:t>natural</w:t>
      </w:r>
      <w:r>
        <w:rPr>
          <w:spacing w:val="-13"/>
        </w:rPr>
        <w:t> </w:t>
      </w:r>
      <w:r>
        <w:rPr/>
        <w:t>resources</w:t>
      </w:r>
      <w:r>
        <w:rPr>
          <w:spacing w:val="-13"/>
        </w:rPr>
        <w:t> </w:t>
      </w:r>
      <w:r>
        <w:rPr/>
        <w:t>construction</w:t>
      </w:r>
      <w:r>
        <w:rPr>
          <w:spacing w:val="-13"/>
        </w:rPr>
        <w:t> </w:t>
      </w:r>
      <w:r>
        <w:rPr/>
        <w:t>implies</w:t>
      </w:r>
      <w:r>
        <w:rPr>
          <w:spacing w:val="-13"/>
        </w:rPr>
        <w:t> </w:t>
      </w:r>
      <w:r>
        <w:rPr/>
        <w:t>that</w:t>
      </w:r>
      <w:r>
        <w:rPr>
          <w:spacing w:val="-13"/>
        </w:rPr>
        <w:t> </w:t>
      </w:r>
      <w:r>
        <w:rPr/>
        <w:t>developing</w:t>
      </w:r>
      <w:r>
        <w:rPr>
          <w:spacing w:val="-15"/>
        </w:rPr>
        <w:t> </w:t>
      </w:r>
      <w:r>
        <w:rPr/>
        <w:t>countries tend</w:t>
      </w:r>
      <w:r>
        <w:rPr>
          <w:spacing w:val="-10"/>
        </w:rPr>
        <w:t> </w:t>
      </w:r>
      <w:r>
        <w:rPr/>
        <w:t>to</w:t>
      </w:r>
      <w:r>
        <w:rPr>
          <w:spacing w:val="-9"/>
        </w:rPr>
        <w:t> </w:t>
      </w:r>
      <w:r>
        <w:rPr/>
        <w:t>overuse</w:t>
      </w:r>
      <w:r>
        <w:rPr>
          <w:spacing w:val="-11"/>
        </w:rPr>
        <w:t> </w:t>
      </w:r>
      <w:r>
        <w:rPr/>
        <w:t>their</w:t>
      </w:r>
      <w:r>
        <w:rPr>
          <w:spacing w:val="-8"/>
        </w:rPr>
        <w:t> </w:t>
      </w:r>
      <w:r>
        <w:rPr/>
        <w:t>environmental</w:t>
      </w:r>
      <w:r>
        <w:rPr>
          <w:spacing w:val="-10"/>
        </w:rPr>
        <w:t> </w:t>
      </w:r>
      <w:r>
        <w:rPr/>
        <w:t>capital,</w:t>
      </w:r>
      <w:r>
        <w:rPr>
          <w:spacing w:val="-9"/>
        </w:rPr>
        <w:t> </w:t>
      </w:r>
      <w:r>
        <w:rPr/>
        <w:t>and</w:t>
      </w:r>
      <w:r>
        <w:rPr>
          <w:spacing w:val="-8"/>
        </w:rPr>
        <w:t> </w:t>
      </w:r>
      <w:r>
        <w:rPr/>
        <w:t>make</w:t>
      </w:r>
      <w:r>
        <w:rPr>
          <w:spacing w:val="-9"/>
        </w:rPr>
        <w:t> </w:t>
      </w:r>
      <w:r>
        <w:rPr/>
        <w:t>a</w:t>
      </w:r>
      <w:r>
        <w:rPr>
          <w:spacing w:val="-11"/>
        </w:rPr>
        <w:t> </w:t>
      </w:r>
      <w:r>
        <w:rPr/>
        <w:t>series</w:t>
      </w:r>
      <w:r>
        <w:rPr>
          <w:spacing w:val="-9"/>
        </w:rPr>
        <w:t> </w:t>
      </w:r>
      <w:r>
        <w:rPr/>
        <w:t>of</w:t>
      </w:r>
      <w:r>
        <w:rPr>
          <w:spacing w:val="-8"/>
        </w:rPr>
        <w:t> </w:t>
      </w:r>
      <w:r>
        <w:rPr/>
        <w:t>conservative,</w:t>
      </w:r>
      <w:r>
        <w:rPr>
          <w:spacing w:val="-10"/>
        </w:rPr>
        <w:t> </w:t>
      </w:r>
      <w:r>
        <w:rPr/>
        <w:t>economic</w:t>
      </w:r>
      <w:r>
        <w:rPr>
          <w:spacing w:val="-11"/>
        </w:rPr>
        <w:t> </w:t>
      </w:r>
      <w:r>
        <w:rPr/>
        <w:t>and environmental</w:t>
      </w:r>
      <w:r>
        <w:rPr>
          <w:spacing w:val="-14"/>
        </w:rPr>
        <w:t> </w:t>
      </w:r>
      <w:r>
        <w:rPr/>
        <w:t>adjustments</w:t>
      </w:r>
      <w:r>
        <w:rPr>
          <w:spacing w:val="-13"/>
        </w:rPr>
        <w:t> </w:t>
      </w:r>
      <w:r>
        <w:rPr/>
        <w:t>which</w:t>
      </w:r>
      <w:r>
        <w:rPr>
          <w:spacing w:val="-14"/>
        </w:rPr>
        <w:t> </w:t>
      </w:r>
      <w:r>
        <w:rPr/>
        <w:t>would</w:t>
      </w:r>
      <w:r>
        <w:rPr>
          <w:spacing w:val="-14"/>
        </w:rPr>
        <w:t> </w:t>
      </w:r>
      <w:r>
        <w:rPr/>
        <w:t>enable</w:t>
      </w:r>
      <w:r>
        <w:rPr>
          <w:spacing w:val="-15"/>
        </w:rPr>
        <w:t> </w:t>
      </w:r>
      <w:r>
        <w:rPr/>
        <w:t>such</w:t>
      </w:r>
      <w:r>
        <w:rPr>
          <w:spacing w:val="-14"/>
        </w:rPr>
        <w:t> </w:t>
      </w:r>
      <w:r>
        <w:rPr/>
        <w:t>countries</w:t>
      </w:r>
      <w:r>
        <w:rPr>
          <w:spacing w:val="-14"/>
        </w:rPr>
        <w:t> </w:t>
      </w:r>
      <w:r>
        <w:rPr/>
        <w:t>to</w:t>
      </w:r>
      <w:r>
        <w:rPr>
          <w:spacing w:val="-14"/>
        </w:rPr>
        <w:t> </w:t>
      </w:r>
      <w:r>
        <w:rPr/>
        <w:t>engage</w:t>
      </w:r>
      <w:r>
        <w:rPr>
          <w:spacing w:val="-15"/>
        </w:rPr>
        <w:t> </w:t>
      </w:r>
      <w:r>
        <w:rPr/>
        <w:t>in</w:t>
      </w:r>
      <w:r>
        <w:rPr>
          <w:spacing w:val="-14"/>
        </w:rPr>
        <w:t> </w:t>
      </w:r>
      <w:r>
        <w:rPr/>
        <w:t>natural</w:t>
      </w:r>
      <w:r>
        <w:rPr>
          <w:spacing w:val="-14"/>
        </w:rPr>
        <w:t> </w:t>
      </w:r>
      <w:r>
        <w:rPr/>
        <w:t>resources construction (Allan and Karshenas, 1996). In view of the fact that, increased water scarcity potentially</w:t>
      </w:r>
      <w:r>
        <w:rPr>
          <w:spacing w:val="-15"/>
        </w:rPr>
        <w:t> </w:t>
      </w:r>
      <w:r>
        <w:rPr/>
        <w:t>limits</w:t>
      </w:r>
      <w:r>
        <w:rPr>
          <w:spacing w:val="-15"/>
        </w:rPr>
        <w:t> </w:t>
      </w:r>
      <w:r>
        <w:rPr/>
        <w:t>economic</w:t>
      </w:r>
      <w:r>
        <w:rPr>
          <w:spacing w:val="-15"/>
        </w:rPr>
        <w:t> </w:t>
      </w:r>
      <w:r>
        <w:rPr/>
        <w:t>growth</w:t>
      </w:r>
      <w:r>
        <w:rPr>
          <w:spacing w:val="-15"/>
        </w:rPr>
        <w:t> </w:t>
      </w:r>
      <w:r>
        <w:rPr/>
        <w:t>and</w:t>
      </w:r>
      <w:r>
        <w:rPr>
          <w:spacing w:val="-15"/>
        </w:rPr>
        <w:t> </w:t>
      </w:r>
      <w:r>
        <w:rPr/>
        <w:t>impedes</w:t>
      </w:r>
      <w:r>
        <w:rPr>
          <w:spacing w:val="-15"/>
        </w:rPr>
        <w:t> </w:t>
      </w:r>
      <w:r>
        <w:rPr/>
        <w:t>social</w:t>
      </w:r>
      <w:r>
        <w:rPr>
          <w:spacing w:val="-15"/>
        </w:rPr>
        <w:t> </w:t>
      </w:r>
      <w:r>
        <w:rPr/>
        <w:t>stability</w:t>
      </w:r>
      <w:r>
        <w:rPr>
          <w:spacing w:val="-15"/>
        </w:rPr>
        <w:t> </w:t>
      </w:r>
      <w:r>
        <w:rPr/>
        <w:t>(Falkenmark,</w:t>
      </w:r>
      <w:r>
        <w:rPr>
          <w:spacing w:val="-15"/>
        </w:rPr>
        <w:t> </w:t>
      </w:r>
      <w:r>
        <w:rPr/>
        <w:t>1994</w:t>
      </w:r>
      <w:r>
        <w:rPr>
          <w:spacing w:val="-15"/>
        </w:rPr>
        <w:t> </w:t>
      </w:r>
      <w:r>
        <w:rPr/>
        <w:t>and</w:t>
      </w:r>
      <w:r>
        <w:rPr>
          <w:spacing w:val="-15"/>
        </w:rPr>
        <w:t> </w:t>
      </w:r>
      <w:r>
        <w:rPr/>
        <w:t>1997) the</w:t>
      </w:r>
      <w:r>
        <w:rPr>
          <w:spacing w:val="-3"/>
        </w:rPr>
        <w:t> </w:t>
      </w:r>
      <w:r>
        <w:rPr/>
        <w:t>work</w:t>
      </w:r>
      <w:r>
        <w:rPr>
          <w:spacing w:val="-3"/>
        </w:rPr>
        <w:t> </w:t>
      </w:r>
      <w:r>
        <w:rPr/>
        <w:t>of</w:t>
      </w:r>
      <w:r>
        <w:rPr>
          <w:spacing w:val="-3"/>
        </w:rPr>
        <w:t> </w:t>
      </w:r>
      <w:r>
        <w:rPr/>
        <w:t>Turton</w:t>
      </w:r>
      <w:r>
        <w:rPr>
          <w:spacing w:val="-3"/>
        </w:rPr>
        <w:t> </w:t>
      </w:r>
      <w:r>
        <w:rPr/>
        <w:t>and Ohlsson</w:t>
      </w:r>
      <w:r>
        <w:rPr>
          <w:spacing w:val="-3"/>
        </w:rPr>
        <w:t> </w:t>
      </w:r>
      <w:r>
        <w:rPr/>
        <w:t>(1999)</w:t>
      </w:r>
      <w:r>
        <w:rPr>
          <w:spacing w:val="-3"/>
        </w:rPr>
        <w:t> </w:t>
      </w:r>
      <w:r>
        <w:rPr/>
        <w:t>hypothesized</w:t>
      </w:r>
      <w:r>
        <w:rPr>
          <w:spacing w:val="-3"/>
        </w:rPr>
        <w:t> </w:t>
      </w:r>
      <w:r>
        <w:rPr/>
        <w:t>that</w:t>
      </w:r>
      <w:r>
        <w:rPr>
          <w:spacing w:val="-3"/>
        </w:rPr>
        <w:t> </w:t>
      </w:r>
      <w:r>
        <w:rPr/>
        <w:t>rising</w:t>
      </w:r>
      <w:r>
        <w:rPr>
          <w:spacing w:val="-6"/>
        </w:rPr>
        <w:t> </w:t>
      </w:r>
      <w:r>
        <w:rPr/>
        <w:t>levels</w:t>
      </w:r>
      <w:r>
        <w:rPr>
          <w:spacing w:val="-3"/>
        </w:rPr>
        <w:t> </w:t>
      </w:r>
      <w:r>
        <w:rPr/>
        <w:t>of water</w:t>
      </w:r>
      <w:r>
        <w:rPr>
          <w:spacing w:val="-5"/>
        </w:rPr>
        <w:t> </w:t>
      </w:r>
      <w:r>
        <w:rPr/>
        <w:t>scarcity</w:t>
      </w:r>
      <w:r>
        <w:rPr>
          <w:spacing w:val="-6"/>
        </w:rPr>
        <w:t> </w:t>
      </w:r>
      <w:r>
        <w:rPr/>
        <w:t>will probably</w:t>
      </w:r>
      <w:r>
        <w:rPr>
          <w:spacing w:val="-15"/>
        </w:rPr>
        <w:t> </w:t>
      </w:r>
      <w:r>
        <w:rPr/>
        <w:t>result</w:t>
      </w:r>
      <w:r>
        <w:rPr>
          <w:spacing w:val="-11"/>
        </w:rPr>
        <w:t> </w:t>
      </w:r>
      <w:r>
        <w:rPr/>
        <w:t>in</w:t>
      </w:r>
      <w:r>
        <w:rPr>
          <w:spacing w:val="-9"/>
        </w:rPr>
        <w:t> </w:t>
      </w:r>
      <w:r>
        <w:rPr/>
        <w:t>a</w:t>
      </w:r>
      <w:r>
        <w:rPr>
          <w:spacing w:val="-13"/>
        </w:rPr>
        <w:t> </w:t>
      </w:r>
      <w:r>
        <w:rPr/>
        <w:t>series</w:t>
      </w:r>
      <w:r>
        <w:rPr>
          <w:spacing w:val="-10"/>
        </w:rPr>
        <w:t> </w:t>
      </w:r>
      <w:r>
        <w:rPr/>
        <w:t>of</w:t>
      </w:r>
      <w:r>
        <w:rPr>
          <w:spacing w:val="-13"/>
        </w:rPr>
        <w:t> </w:t>
      </w:r>
      <w:r>
        <w:rPr/>
        <w:t>coping</w:t>
      </w:r>
      <w:r>
        <w:rPr>
          <w:spacing w:val="-14"/>
        </w:rPr>
        <w:t> </w:t>
      </w:r>
      <w:r>
        <w:rPr/>
        <w:t>strategies</w:t>
      </w:r>
      <w:r>
        <w:rPr>
          <w:spacing w:val="-12"/>
        </w:rPr>
        <w:t> </w:t>
      </w:r>
      <w:r>
        <w:rPr/>
        <w:t>or</w:t>
      </w:r>
      <w:r>
        <w:rPr>
          <w:spacing w:val="-11"/>
        </w:rPr>
        <w:t> </w:t>
      </w:r>
      <w:r>
        <w:rPr/>
        <w:t>measures</w:t>
      </w:r>
      <w:r>
        <w:rPr>
          <w:spacing w:val="-10"/>
        </w:rPr>
        <w:t> </w:t>
      </w:r>
      <w:r>
        <w:rPr/>
        <w:t>to</w:t>
      </w:r>
      <w:r>
        <w:rPr>
          <w:spacing w:val="-12"/>
        </w:rPr>
        <w:t> </w:t>
      </w:r>
      <w:r>
        <w:rPr/>
        <w:t>be</w:t>
      </w:r>
      <w:r>
        <w:rPr>
          <w:spacing w:val="-13"/>
        </w:rPr>
        <w:t> </w:t>
      </w:r>
      <w:r>
        <w:rPr/>
        <w:t>implemented</w:t>
      </w:r>
      <w:r>
        <w:rPr>
          <w:spacing w:val="-12"/>
        </w:rPr>
        <w:t> </w:t>
      </w:r>
      <w:r>
        <w:rPr/>
        <w:t>by</w:t>
      </w:r>
      <w:r>
        <w:rPr>
          <w:spacing w:val="-15"/>
        </w:rPr>
        <w:t> </w:t>
      </w:r>
      <w:r>
        <w:rPr/>
        <w:t>the</w:t>
      </w:r>
      <w:r>
        <w:rPr>
          <w:spacing w:val="-13"/>
        </w:rPr>
        <w:t> </w:t>
      </w:r>
      <w:r>
        <w:rPr/>
        <w:t>decision makers.</w:t>
      </w:r>
      <w:r>
        <w:rPr>
          <w:spacing w:val="-5"/>
        </w:rPr>
        <w:t> </w:t>
      </w:r>
      <w:r>
        <w:rPr/>
        <w:t>It</w:t>
      </w:r>
      <w:r>
        <w:rPr>
          <w:spacing w:val="-5"/>
        </w:rPr>
        <w:t> </w:t>
      </w:r>
      <w:r>
        <w:rPr/>
        <w:t>is</w:t>
      </w:r>
      <w:r>
        <w:rPr>
          <w:spacing w:val="-7"/>
        </w:rPr>
        <w:t> </w:t>
      </w:r>
      <w:r>
        <w:rPr/>
        <w:t>these</w:t>
      </w:r>
      <w:r>
        <w:rPr>
          <w:spacing w:val="-8"/>
        </w:rPr>
        <w:t> </w:t>
      </w:r>
      <w:r>
        <w:rPr/>
        <w:t>measures</w:t>
      </w:r>
      <w:r>
        <w:rPr>
          <w:spacing w:val="-7"/>
        </w:rPr>
        <w:t> </w:t>
      </w:r>
      <w:r>
        <w:rPr/>
        <w:t>that</w:t>
      </w:r>
      <w:r>
        <w:rPr>
          <w:spacing w:val="-5"/>
        </w:rPr>
        <w:t> </w:t>
      </w:r>
      <w:r>
        <w:rPr/>
        <w:t>are</w:t>
      </w:r>
      <w:r>
        <w:rPr>
          <w:spacing w:val="-7"/>
        </w:rPr>
        <w:t> </w:t>
      </w:r>
      <w:r>
        <w:rPr/>
        <w:t>potential</w:t>
      </w:r>
      <w:r>
        <w:rPr>
          <w:spacing w:val="-7"/>
        </w:rPr>
        <w:t> </w:t>
      </w:r>
      <w:r>
        <w:rPr/>
        <w:t>source</w:t>
      </w:r>
      <w:r>
        <w:rPr>
          <w:spacing w:val="-8"/>
        </w:rPr>
        <w:t> </w:t>
      </w:r>
      <w:r>
        <w:rPr/>
        <w:t>of</w:t>
      </w:r>
      <w:r>
        <w:rPr>
          <w:spacing w:val="-6"/>
        </w:rPr>
        <w:t> </w:t>
      </w:r>
      <w:r>
        <w:rPr/>
        <w:t>conflict</w:t>
      </w:r>
      <w:r>
        <w:rPr>
          <w:spacing w:val="-5"/>
        </w:rPr>
        <w:t> </w:t>
      </w:r>
      <w:r>
        <w:rPr/>
        <w:t>and</w:t>
      </w:r>
      <w:r>
        <w:rPr>
          <w:spacing w:val="-7"/>
        </w:rPr>
        <w:t> </w:t>
      </w:r>
      <w:r>
        <w:rPr/>
        <w:t>instability</w:t>
      </w:r>
      <w:r>
        <w:rPr>
          <w:spacing w:val="-12"/>
        </w:rPr>
        <w:t> </w:t>
      </w:r>
      <w:r>
        <w:rPr/>
        <w:t>in</w:t>
      </w:r>
      <w:r>
        <w:rPr>
          <w:spacing w:val="-7"/>
        </w:rPr>
        <w:t> </w:t>
      </w:r>
      <w:r>
        <w:rPr/>
        <w:t>developing countries; as such measures are mainly</w:t>
      </w:r>
      <w:r>
        <w:rPr>
          <w:spacing w:val="-3"/>
        </w:rPr>
        <w:t> </w:t>
      </w:r>
      <w:r>
        <w:rPr/>
        <w:t>allocative in nature thereby changing the balance of privilege</w:t>
      </w:r>
      <w:r>
        <w:rPr>
          <w:spacing w:val="-1"/>
        </w:rPr>
        <w:t> </w:t>
      </w:r>
      <w:r>
        <w:rPr/>
        <w:t>in</w:t>
      </w:r>
      <w:r>
        <w:rPr>
          <w:spacing w:val="3"/>
        </w:rPr>
        <w:t> </w:t>
      </w:r>
      <w:r>
        <w:rPr/>
        <w:t>the</w:t>
      </w:r>
      <w:r>
        <w:rPr>
          <w:spacing w:val="3"/>
        </w:rPr>
        <w:t> </w:t>
      </w:r>
      <w:r>
        <w:rPr/>
        <w:t>society.</w:t>
      </w:r>
      <w:r>
        <w:rPr>
          <w:spacing w:val="7"/>
        </w:rPr>
        <w:t> </w:t>
      </w:r>
      <w:r>
        <w:rPr/>
        <w:t>Incorporating</w:t>
      </w:r>
      <w:r>
        <w:rPr>
          <w:spacing w:val="1"/>
        </w:rPr>
        <w:t> </w:t>
      </w:r>
      <w:r>
        <w:rPr/>
        <w:t>this</w:t>
      </w:r>
      <w:r>
        <w:rPr>
          <w:spacing w:val="2"/>
        </w:rPr>
        <w:t> </w:t>
      </w:r>
      <w:r>
        <w:rPr/>
        <w:t>concept</w:t>
      </w:r>
      <w:r>
        <w:rPr>
          <w:spacing w:val="4"/>
        </w:rPr>
        <w:t> </w:t>
      </w:r>
      <w:r>
        <w:rPr/>
        <w:t>into</w:t>
      </w:r>
      <w:r>
        <w:rPr>
          <w:spacing w:val="2"/>
        </w:rPr>
        <w:t> </w:t>
      </w:r>
      <w:r>
        <w:rPr/>
        <w:t>freshwater</w:t>
      </w:r>
      <w:r>
        <w:rPr>
          <w:spacing w:val="4"/>
        </w:rPr>
        <w:t> </w:t>
      </w:r>
      <w:r>
        <w:rPr/>
        <w:t>availability,</w:t>
      </w:r>
      <w:r>
        <w:rPr>
          <w:spacing w:val="10"/>
        </w:rPr>
        <w:t> </w:t>
      </w:r>
      <w:r>
        <w:rPr/>
        <w:t>Ohlsson</w:t>
      </w:r>
      <w:r>
        <w:rPr>
          <w:spacing w:val="4"/>
        </w:rPr>
        <w:t> </w:t>
      </w:r>
      <w:r>
        <w:rPr>
          <w:spacing w:val="-5"/>
        </w:rPr>
        <w:t>and</w:t>
      </w:r>
    </w:p>
    <w:p>
      <w:pPr>
        <w:spacing w:after="0" w:line="480" w:lineRule="auto"/>
        <w:jc w:val="both"/>
        <w:sectPr>
          <w:pgSz w:w="12240" w:h="15840"/>
          <w:pgMar w:header="0" w:footer="1068" w:top="1340" w:bottom="1260" w:left="1720" w:right="680"/>
        </w:sectPr>
      </w:pPr>
    </w:p>
    <w:p>
      <w:pPr>
        <w:pStyle w:val="BodyText"/>
        <w:spacing w:line="480" w:lineRule="auto" w:before="63"/>
        <w:ind w:left="267" w:right="732"/>
        <w:jc w:val="both"/>
      </w:pPr>
      <w:r>
        <w:rPr/>
        <w:t>Turton</w:t>
      </w:r>
      <w:r>
        <w:rPr>
          <w:spacing w:val="-1"/>
        </w:rPr>
        <w:t> </w:t>
      </w:r>
      <w:r>
        <w:rPr/>
        <w:t>(2000)</w:t>
      </w:r>
      <w:r>
        <w:rPr>
          <w:spacing w:val="-1"/>
        </w:rPr>
        <w:t> </w:t>
      </w:r>
      <w:r>
        <w:rPr/>
        <w:t>concluded that</w:t>
      </w:r>
      <w:r>
        <w:rPr>
          <w:spacing w:val="-1"/>
        </w:rPr>
        <w:t> </w:t>
      </w:r>
      <w:r>
        <w:rPr/>
        <w:t>the</w:t>
      </w:r>
      <w:r>
        <w:rPr>
          <w:spacing w:val="-1"/>
        </w:rPr>
        <w:t> </w:t>
      </w:r>
      <w:r>
        <w:rPr/>
        <w:t>capacity</w:t>
      </w:r>
      <w:r>
        <w:rPr>
          <w:spacing w:val="-8"/>
        </w:rPr>
        <w:t> </w:t>
      </w:r>
      <w:r>
        <w:rPr/>
        <w:t>of</w:t>
      </w:r>
      <w:r>
        <w:rPr>
          <w:spacing w:val="-1"/>
        </w:rPr>
        <w:t> </w:t>
      </w:r>
      <w:r>
        <w:rPr/>
        <w:t>any</w:t>
      </w:r>
      <w:r>
        <w:rPr>
          <w:spacing w:val="-5"/>
        </w:rPr>
        <w:t> </w:t>
      </w:r>
      <w:r>
        <w:rPr/>
        <w:t>society</w:t>
      </w:r>
      <w:r>
        <w:rPr>
          <w:spacing w:val="-5"/>
        </w:rPr>
        <w:t> </w:t>
      </w:r>
      <w:r>
        <w:rPr/>
        <w:t>to</w:t>
      </w:r>
      <w:r>
        <w:rPr>
          <w:spacing w:val="-1"/>
        </w:rPr>
        <w:t> </w:t>
      </w:r>
      <w:r>
        <w:rPr/>
        <w:t>adapt</w:t>
      </w:r>
      <w:r>
        <w:rPr>
          <w:spacing w:val="-1"/>
        </w:rPr>
        <w:t> </w:t>
      </w:r>
      <w:r>
        <w:rPr/>
        <w:t>to</w:t>
      </w:r>
      <w:r>
        <w:rPr>
          <w:spacing w:val="-1"/>
        </w:rPr>
        <w:t> </w:t>
      </w:r>
      <w:r>
        <w:rPr/>
        <w:t>water</w:t>
      </w:r>
      <w:r>
        <w:rPr>
          <w:spacing w:val="-2"/>
        </w:rPr>
        <w:t> </w:t>
      </w:r>
      <w:r>
        <w:rPr/>
        <w:t>shortage</w:t>
      </w:r>
      <w:r>
        <w:rPr>
          <w:spacing w:val="-1"/>
        </w:rPr>
        <w:t> </w:t>
      </w:r>
      <w:r>
        <w:rPr/>
        <w:t>depends to</w:t>
      </w:r>
      <w:r>
        <w:rPr>
          <w:spacing w:val="-1"/>
        </w:rPr>
        <w:t> </w:t>
      </w:r>
      <w:r>
        <w:rPr/>
        <w:t>a</w:t>
      </w:r>
      <w:r>
        <w:rPr>
          <w:spacing w:val="-2"/>
        </w:rPr>
        <w:t> </w:t>
      </w:r>
      <w:r>
        <w:rPr/>
        <w:t>large</w:t>
      </w:r>
      <w:r>
        <w:rPr>
          <w:spacing w:val="-2"/>
        </w:rPr>
        <w:t> </w:t>
      </w:r>
      <w:r>
        <w:rPr/>
        <w:t>extent</w:t>
      </w:r>
      <w:r>
        <w:rPr>
          <w:spacing w:val="-1"/>
        </w:rPr>
        <w:t> </w:t>
      </w:r>
      <w:r>
        <w:rPr/>
        <w:t>on</w:t>
      </w:r>
      <w:r>
        <w:rPr>
          <w:spacing w:val="-1"/>
        </w:rPr>
        <w:t> </w:t>
      </w:r>
      <w:r>
        <w:rPr/>
        <w:t>factors</w:t>
      </w:r>
      <w:r>
        <w:rPr>
          <w:spacing w:val="-2"/>
        </w:rPr>
        <w:t> </w:t>
      </w:r>
      <w:r>
        <w:rPr/>
        <w:t>as</w:t>
      </w:r>
      <w:r>
        <w:rPr>
          <w:spacing w:val="-1"/>
        </w:rPr>
        <w:t> </w:t>
      </w:r>
      <w:r>
        <w:rPr/>
        <w:t>equity</w:t>
      </w:r>
      <w:r>
        <w:rPr>
          <w:spacing w:val="-5"/>
        </w:rPr>
        <w:t> </w:t>
      </w:r>
      <w:r>
        <w:rPr/>
        <w:t>in</w:t>
      </w:r>
      <w:r>
        <w:rPr>
          <w:spacing w:val="-1"/>
        </w:rPr>
        <w:t> </w:t>
      </w:r>
      <w:r>
        <w:rPr/>
        <w:t>wealth</w:t>
      </w:r>
      <w:r>
        <w:rPr>
          <w:spacing w:val="-1"/>
        </w:rPr>
        <w:t> </w:t>
      </w:r>
      <w:r>
        <w:rPr/>
        <w:t>distribution,</w:t>
      </w:r>
      <w:r>
        <w:rPr>
          <w:spacing w:val="-1"/>
        </w:rPr>
        <w:t> </w:t>
      </w:r>
      <w:r>
        <w:rPr/>
        <w:t>access</w:t>
      </w:r>
      <w:r>
        <w:rPr>
          <w:spacing w:val="-1"/>
        </w:rPr>
        <w:t> </w:t>
      </w:r>
      <w:r>
        <w:rPr/>
        <w:t>to</w:t>
      </w:r>
      <w:r>
        <w:rPr>
          <w:spacing w:val="-1"/>
        </w:rPr>
        <w:t> </w:t>
      </w:r>
      <w:r>
        <w:rPr/>
        <w:t>education</w:t>
      </w:r>
      <w:r>
        <w:rPr>
          <w:spacing w:val="-1"/>
        </w:rPr>
        <w:t> </w:t>
      </w:r>
      <w:r>
        <w:rPr/>
        <w:t>and</w:t>
      </w:r>
      <w:r>
        <w:rPr>
          <w:spacing w:val="-1"/>
        </w:rPr>
        <w:t> </w:t>
      </w:r>
      <w:r>
        <w:rPr/>
        <w:t>political </w:t>
      </w:r>
      <w:r>
        <w:rPr>
          <w:spacing w:val="-2"/>
        </w:rPr>
        <w:t>participation.</w:t>
      </w:r>
    </w:p>
    <w:p>
      <w:pPr>
        <w:pStyle w:val="BodyText"/>
      </w:pPr>
    </w:p>
    <w:p>
      <w:pPr>
        <w:pStyle w:val="BodyText"/>
        <w:spacing w:line="480" w:lineRule="auto"/>
        <w:ind w:left="267" w:right="724"/>
        <w:jc w:val="both"/>
      </w:pPr>
      <w:r>
        <w:rPr/>
        <w:t>Based on the concept of adaptive capacity, Ohlsson (1999) established that some communities</w:t>
      </w:r>
      <w:r>
        <w:rPr>
          <w:spacing w:val="-2"/>
        </w:rPr>
        <w:t> </w:t>
      </w:r>
      <w:r>
        <w:rPr/>
        <w:t>when</w:t>
      </w:r>
      <w:r>
        <w:rPr>
          <w:spacing w:val="-2"/>
        </w:rPr>
        <w:t> </w:t>
      </w:r>
      <w:r>
        <w:rPr/>
        <w:t>faced with</w:t>
      </w:r>
      <w:r>
        <w:rPr>
          <w:spacing w:val="-2"/>
        </w:rPr>
        <w:t> </w:t>
      </w:r>
      <w:r>
        <w:rPr/>
        <w:t>severe</w:t>
      </w:r>
      <w:r>
        <w:rPr>
          <w:spacing w:val="-2"/>
        </w:rPr>
        <w:t> </w:t>
      </w:r>
      <w:r>
        <w:rPr/>
        <w:t>water</w:t>
      </w:r>
      <w:r>
        <w:rPr>
          <w:spacing w:val="-2"/>
        </w:rPr>
        <w:t> </w:t>
      </w:r>
      <w:r>
        <w:rPr/>
        <w:t>scarcity</w:t>
      </w:r>
      <w:r>
        <w:rPr>
          <w:spacing w:val="-5"/>
        </w:rPr>
        <w:t> </w:t>
      </w:r>
      <w:r>
        <w:rPr/>
        <w:t>(first-order)</w:t>
      </w:r>
      <w:r>
        <w:rPr>
          <w:spacing w:val="-2"/>
        </w:rPr>
        <w:t> </w:t>
      </w:r>
      <w:r>
        <w:rPr/>
        <w:t>were</w:t>
      </w:r>
      <w:r>
        <w:rPr>
          <w:spacing w:val="-2"/>
        </w:rPr>
        <w:t> </w:t>
      </w:r>
      <w:r>
        <w:rPr/>
        <w:t>able</w:t>
      </w:r>
      <w:r>
        <w:rPr>
          <w:spacing w:val="-2"/>
        </w:rPr>
        <w:t> </w:t>
      </w:r>
      <w:r>
        <w:rPr/>
        <w:t>to</w:t>
      </w:r>
      <w:r>
        <w:rPr>
          <w:spacing w:val="-2"/>
        </w:rPr>
        <w:t> </w:t>
      </w:r>
      <w:r>
        <w:rPr/>
        <w:t>adapt</w:t>
      </w:r>
      <w:r>
        <w:rPr>
          <w:spacing w:val="-2"/>
        </w:rPr>
        <w:t> </w:t>
      </w:r>
      <w:r>
        <w:rPr/>
        <w:t>to social resource (second order) given a well- functioning institution (Lichtenthailer and Turton, 1999). A simple conceptual framework of water scarcity resulting in an array of social responses or adaptive behaviour as described by Turton and Olhsson (1999) is shown in figure 2.1. Conceptually, Turton and Olhsson (1999) provide some clarity in definitions regarding (1) Water scarcity: a decline the volumetric availability of water per capita over time; (2) First order natural resource: a natural resource that is either becoming scarcer or more</w:t>
      </w:r>
      <w:r>
        <w:rPr>
          <w:spacing w:val="-4"/>
        </w:rPr>
        <w:t> </w:t>
      </w:r>
      <w:r>
        <w:rPr/>
        <w:t>abundant</w:t>
      </w:r>
      <w:r>
        <w:rPr>
          <w:spacing w:val="-3"/>
        </w:rPr>
        <w:t> </w:t>
      </w:r>
      <w:r>
        <w:rPr/>
        <w:t>and</w:t>
      </w:r>
      <w:r>
        <w:rPr>
          <w:spacing w:val="-2"/>
        </w:rPr>
        <w:t> </w:t>
      </w:r>
      <w:r>
        <w:rPr/>
        <w:t>which</w:t>
      </w:r>
      <w:r>
        <w:rPr>
          <w:spacing w:val="-3"/>
        </w:rPr>
        <w:t> </w:t>
      </w:r>
      <w:r>
        <w:rPr/>
        <w:t>is</w:t>
      </w:r>
      <w:r>
        <w:rPr>
          <w:spacing w:val="-3"/>
        </w:rPr>
        <w:t> </w:t>
      </w:r>
      <w:r>
        <w:rPr/>
        <w:t>useful</w:t>
      </w:r>
      <w:r>
        <w:rPr>
          <w:spacing w:val="-3"/>
        </w:rPr>
        <w:t> </w:t>
      </w:r>
      <w:r>
        <w:rPr/>
        <w:t>a</w:t>
      </w:r>
      <w:r>
        <w:rPr>
          <w:spacing w:val="-4"/>
        </w:rPr>
        <w:t> </w:t>
      </w:r>
      <w:r>
        <w:rPr/>
        <w:t>population</w:t>
      </w:r>
      <w:r>
        <w:rPr>
          <w:spacing w:val="-3"/>
        </w:rPr>
        <w:t> </w:t>
      </w:r>
      <w:r>
        <w:rPr/>
        <w:t>over</w:t>
      </w:r>
      <w:r>
        <w:rPr>
          <w:spacing w:val="-4"/>
        </w:rPr>
        <w:t> </w:t>
      </w:r>
      <w:r>
        <w:rPr/>
        <w:t>time;</w:t>
      </w:r>
      <w:r>
        <w:rPr>
          <w:spacing w:val="-3"/>
        </w:rPr>
        <w:t> </w:t>
      </w:r>
      <w:r>
        <w:rPr/>
        <w:t>(3)</w:t>
      </w:r>
      <w:r>
        <w:rPr>
          <w:spacing w:val="-3"/>
        </w:rPr>
        <w:t> </w:t>
      </w:r>
      <w:r>
        <w:rPr/>
        <w:t>Second</w:t>
      </w:r>
      <w:r>
        <w:rPr>
          <w:spacing w:val="-3"/>
        </w:rPr>
        <w:t> </w:t>
      </w:r>
      <w:r>
        <w:rPr/>
        <w:t>order:</w:t>
      </w:r>
      <w:r>
        <w:rPr>
          <w:spacing w:val="-3"/>
        </w:rPr>
        <w:t> </w:t>
      </w:r>
      <w:r>
        <w:rPr/>
        <w:t>set</w:t>
      </w:r>
      <w:r>
        <w:rPr>
          <w:spacing w:val="-3"/>
        </w:rPr>
        <w:t> </w:t>
      </w:r>
      <w:r>
        <w:rPr/>
        <w:t>of</w:t>
      </w:r>
      <w:r>
        <w:rPr>
          <w:spacing w:val="-3"/>
        </w:rPr>
        <w:t> </w:t>
      </w:r>
      <w:r>
        <w:rPr/>
        <w:t>adaptive behaviour</w:t>
      </w:r>
      <w:r>
        <w:rPr>
          <w:spacing w:val="-3"/>
        </w:rPr>
        <w:t> </w:t>
      </w:r>
      <w:r>
        <w:rPr/>
        <w:t>drawn</w:t>
      </w:r>
      <w:r>
        <w:rPr>
          <w:spacing w:val="-3"/>
        </w:rPr>
        <w:t> </w:t>
      </w:r>
      <w:r>
        <w:rPr/>
        <w:t>from</w:t>
      </w:r>
      <w:r>
        <w:rPr>
          <w:spacing w:val="-3"/>
        </w:rPr>
        <w:t> </w:t>
      </w:r>
      <w:r>
        <w:rPr/>
        <w:t>a</w:t>
      </w:r>
      <w:r>
        <w:rPr>
          <w:spacing w:val="-3"/>
        </w:rPr>
        <w:t> </w:t>
      </w:r>
      <w:r>
        <w:rPr/>
        <w:t>broader</w:t>
      </w:r>
      <w:r>
        <w:rPr>
          <w:spacing w:val="-2"/>
        </w:rPr>
        <w:t> </w:t>
      </w:r>
      <w:r>
        <w:rPr/>
        <w:t>social</w:t>
      </w:r>
      <w:r>
        <w:rPr>
          <w:spacing w:val="-3"/>
        </w:rPr>
        <w:t> </w:t>
      </w:r>
      <w:r>
        <w:rPr/>
        <w:t>context</w:t>
      </w:r>
      <w:r>
        <w:rPr>
          <w:spacing w:val="-3"/>
        </w:rPr>
        <w:t> </w:t>
      </w:r>
      <w:r>
        <w:rPr/>
        <w:t>and</w:t>
      </w:r>
      <w:r>
        <w:rPr>
          <w:spacing w:val="-3"/>
        </w:rPr>
        <w:t> </w:t>
      </w:r>
      <w:r>
        <w:rPr/>
        <w:t>employed</w:t>
      </w:r>
      <w:r>
        <w:rPr>
          <w:spacing w:val="-3"/>
        </w:rPr>
        <w:t> </w:t>
      </w:r>
      <w:r>
        <w:rPr/>
        <w:t>either legally</w:t>
      </w:r>
      <w:r>
        <w:rPr>
          <w:spacing w:val="-6"/>
        </w:rPr>
        <w:t> </w:t>
      </w:r>
      <w:r>
        <w:rPr/>
        <w:t>or</w:t>
      </w:r>
      <w:r>
        <w:rPr>
          <w:spacing w:val="-3"/>
        </w:rPr>
        <w:t> </w:t>
      </w:r>
      <w:r>
        <w:rPr/>
        <w:t>otherwise</w:t>
      </w:r>
      <w:r>
        <w:rPr>
          <w:spacing w:val="40"/>
        </w:rPr>
        <w:t> </w:t>
      </w:r>
      <w:r>
        <w:rPr/>
        <w:t>by decision making elites; (4) Adaptive behaviour: a clearly</w:t>
      </w:r>
      <w:r>
        <w:rPr>
          <w:spacing w:val="-3"/>
        </w:rPr>
        <w:t> </w:t>
      </w:r>
      <w:r>
        <w:rPr/>
        <w:t>manifest response to the changing level</w:t>
      </w:r>
      <w:r>
        <w:rPr>
          <w:spacing w:val="-15"/>
        </w:rPr>
        <w:t> </w:t>
      </w:r>
      <w:r>
        <w:rPr/>
        <w:t>of</w:t>
      </w:r>
      <w:r>
        <w:rPr>
          <w:spacing w:val="-15"/>
        </w:rPr>
        <w:t> </w:t>
      </w:r>
      <w:r>
        <w:rPr/>
        <w:t>water</w:t>
      </w:r>
      <w:r>
        <w:rPr>
          <w:spacing w:val="-15"/>
        </w:rPr>
        <w:t> </w:t>
      </w:r>
      <w:r>
        <w:rPr/>
        <w:t>scarcity(</w:t>
      </w:r>
      <w:r>
        <w:rPr>
          <w:spacing w:val="-15"/>
        </w:rPr>
        <w:t> </w:t>
      </w:r>
      <w:r>
        <w:rPr/>
        <w:t>such</w:t>
      </w:r>
      <w:r>
        <w:rPr>
          <w:spacing w:val="-15"/>
        </w:rPr>
        <w:t> </w:t>
      </w:r>
      <w:r>
        <w:rPr/>
        <w:t>as</w:t>
      </w:r>
      <w:r>
        <w:rPr>
          <w:spacing w:val="-15"/>
        </w:rPr>
        <w:t> </w:t>
      </w:r>
      <w:r>
        <w:rPr/>
        <w:t>compulsory</w:t>
      </w:r>
      <w:r>
        <w:rPr>
          <w:spacing w:val="-15"/>
        </w:rPr>
        <w:t> </w:t>
      </w:r>
      <w:r>
        <w:rPr/>
        <w:t>rationing,</w:t>
      </w:r>
      <w:r>
        <w:rPr>
          <w:spacing w:val="-15"/>
        </w:rPr>
        <w:t> </w:t>
      </w:r>
      <w:r>
        <w:rPr/>
        <w:t>rain</w:t>
      </w:r>
      <w:r>
        <w:rPr>
          <w:spacing w:val="-15"/>
        </w:rPr>
        <w:t> </w:t>
      </w:r>
      <w:r>
        <w:rPr/>
        <w:t>water</w:t>
      </w:r>
      <w:r>
        <w:rPr>
          <w:spacing w:val="-15"/>
        </w:rPr>
        <w:t> </w:t>
      </w:r>
      <w:r>
        <w:rPr/>
        <w:t>harvest</w:t>
      </w:r>
      <w:r>
        <w:rPr>
          <w:spacing w:val="-15"/>
        </w:rPr>
        <w:t> </w:t>
      </w:r>
      <w:r>
        <w:rPr/>
        <w:t>and</w:t>
      </w:r>
      <w:r>
        <w:rPr>
          <w:spacing w:val="-15"/>
        </w:rPr>
        <w:t> </w:t>
      </w:r>
      <w:r>
        <w:rPr/>
        <w:t>some</w:t>
      </w:r>
      <w:r>
        <w:rPr>
          <w:spacing w:val="-15"/>
        </w:rPr>
        <w:t> </w:t>
      </w:r>
      <w:r>
        <w:rPr/>
        <w:t>other</w:t>
      </w:r>
      <w:r>
        <w:rPr>
          <w:spacing w:val="-15"/>
        </w:rPr>
        <w:t> </w:t>
      </w:r>
      <w:r>
        <w:rPr/>
        <w:t>water related policy) and (5) Coping strategies: decision makers output usually in form of articulated strategies with the intent to effectively manage water scarcity.</w:t>
      </w:r>
    </w:p>
    <w:p>
      <w:pPr>
        <w:spacing w:after="0" w:line="480" w:lineRule="auto"/>
        <w:jc w:val="both"/>
        <w:sectPr>
          <w:pgSz w:w="12240" w:h="15840"/>
          <w:pgMar w:header="0" w:footer="1068" w:top="1340" w:bottom="1260" w:left="1720" w:right="680"/>
        </w:sectPr>
      </w:pPr>
    </w:p>
    <w:p>
      <w:pPr>
        <w:pStyle w:val="BodyText"/>
        <w:ind w:left="280"/>
        <w:rPr>
          <w:sz w:val="20"/>
        </w:rPr>
      </w:pPr>
      <w:r>
        <w:rPr>
          <w:sz w:val="20"/>
        </w:rPr>
        <mc:AlternateContent>
          <mc:Choice Requires="wps">
            <w:drawing>
              <wp:inline distT="0" distB="0" distL="0" distR="0">
                <wp:extent cx="5339080" cy="1803400"/>
                <wp:effectExtent l="0" t="0" r="0" b="6350"/>
                <wp:docPr id="10" name="Group 10"/>
                <wp:cNvGraphicFramePr>
                  <a:graphicFrameLocks/>
                </wp:cNvGraphicFramePr>
                <a:graphic>
                  <a:graphicData uri="http://schemas.microsoft.com/office/word/2010/wordprocessingGroup">
                    <wpg:wgp>
                      <wpg:cNvPr id="10" name="Group 10"/>
                      <wpg:cNvGrpSpPr/>
                      <wpg:grpSpPr>
                        <a:xfrm>
                          <a:off x="0" y="0"/>
                          <a:ext cx="5339080" cy="1803400"/>
                          <a:chExt cx="5339080" cy="1803400"/>
                        </a:xfrm>
                      </wpg:grpSpPr>
                      <pic:pic>
                        <pic:nvPicPr>
                          <pic:cNvPr id="11" name="Image 11" descr="Diagram  Description automatically generated"/>
                          <pic:cNvPicPr/>
                        </pic:nvPicPr>
                        <pic:blipFill>
                          <a:blip r:embed="rId10" cstate="print"/>
                          <a:stretch>
                            <a:fillRect/>
                          </a:stretch>
                        </pic:blipFill>
                        <pic:spPr>
                          <a:xfrm>
                            <a:off x="152324" y="9144"/>
                            <a:ext cx="5169567" cy="1777074"/>
                          </a:xfrm>
                          <a:prstGeom prst="rect">
                            <a:avLst/>
                          </a:prstGeom>
                        </pic:spPr>
                      </pic:pic>
                      <wps:wsp>
                        <wps:cNvPr id="12" name="Graphic 12"/>
                        <wps:cNvSpPr/>
                        <wps:spPr>
                          <a:xfrm>
                            <a:off x="4572" y="4572"/>
                            <a:ext cx="5329555" cy="1793875"/>
                          </a:xfrm>
                          <a:custGeom>
                            <a:avLst/>
                            <a:gdLst/>
                            <a:ahLst/>
                            <a:cxnLst/>
                            <a:rect l="l" t="t" r="r" b="b"/>
                            <a:pathLst>
                              <a:path w="5329555" h="1793875">
                                <a:moveTo>
                                  <a:pt x="0" y="1793748"/>
                                </a:moveTo>
                                <a:lnTo>
                                  <a:pt x="5329427" y="1793748"/>
                                </a:lnTo>
                                <a:lnTo>
                                  <a:pt x="5329427" y="0"/>
                                </a:lnTo>
                                <a:lnTo>
                                  <a:pt x="0" y="0"/>
                                </a:lnTo>
                                <a:lnTo>
                                  <a:pt x="0" y="17937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0.4pt;height:142pt;mso-position-horizontal-relative:char;mso-position-vertical-relative:line" id="docshapegroup10" coordorigin="0,0" coordsize="8408,2840">
                <v:shape style="position:absolute;left:239;top:14;width:8142;height:2799" type="#_x0000_t75" id="docshape11" alt="Diagram  Description automatically generated" stroked="false">
                  <v:imagedata r:id="rId10" o:title=""/>
                </v:shape>
                <v:rect style="position:absolute;left:7;top:7;width:8393;height:2825" id="docshape12" filled="false" stroked="true" strokeweight=".72pt" strokecolor="#000000">
                  <v:stroke dashstyle="solid"/>
                </v:rect>
              </v:group>
            </w:pict>
          </mc:Fallback>
        </mc:AlternateContent>
      </w:r>
      <w:r>
        <w:rPr>
          <w:sz w:val="20"/>
        </w:rPr>
      </w:r>
    </w:p>
    <w:p>
      <w:pPr>
        <w:pStyle w:val="BodyText"/>
        <w:ind w:left="2987" w:right="1662" w:hanging="1791"/>
        <w:jc w:val="both"/>
      </w:pPr>
      <w:r>
        <w:rPr/>
        <w:t>Figure</w:t>
      </w:r>
      <w:r>
        <w:rPr>
          <w:spacing w:val="-6"/>
        </w:rPr>
        <w:t> </w:t>
      </w:r>
      <w:r>
        <w:rPr/>
        <w:t>2.1:</w:t>
      </w:r>
      <w:r>
        <w:rPr>
          <w:spacing w:val="-4"/>
        </w:rPr>
        <w:t> </w:t>
      </w:r>
      <w:r>
        <w:rPr/>
        <w:t>Schema</w:t>
      </w:r>
      <w:r>
        <w:rPr>
          <w:spacing w:val="-4"/>
        </w:rPr>
        <w:t> </w:t>
      </w:r>
      <w:r>
        <w:rPr/>
        <w:t>of</w:t>
      </w:r>
      <w:r>
        <w:rPr>
          <w:spacing w:val="-4"/>
        </w:rPr>
        <w:t> </w:t>
      </w:r>
      <w:r>
        <w:rPr/>
        <w:t>how</w:t>
      </w:r>
      <w:r>
        <w:rPr>
          <w:spacing w:val="-4"/>
        </w:rPr>
        <w:t> </w:t>
      </w:r>
      <w:r>
        <w:rPr/>
        <w:t>Water</w:t>
      </w:r>
      <w:r>
        <w:rPr>
          <w:spacing w:val="-6"/>
        </w:rPr>
        <w:t> </w:t>
      </w:r>
      <w:r>
        <w:rPr/>
        <w:t>Scarcity</w:t>
      </w:r>
      <w:r>
        <w:rPr>
          <w:spacing w:val="-7"/>
        </w:rPr>
        <w:t> </w:t>
      </w:r>
      <w:r>
        <w:rPr/>
        <w:t>generates</w:t>
      </w:r>
      <w:r>
        <w:rPr>
          <w:spacing w:val="-4"/>
        </w:rPr>
        <w:t> </w:t>
      </w:r>
      <w:r>
        <w:rPr/>
        <w:t>Adaptive</w:t>
      </w:r>
      <w:r>
        <w:rPr>
          <w:spacing w:val="-5"/>
        </w:rPr>
        <w:t> </w:t>
      </w:r>
      <w:r>
        <w:rPr/>
        <w:t>Response Source: Turton and Ohlsson (1999)</w:t>
      </w:r>
    </w:p>
    <w:p>
      <w:pPr>
        <w:pStyle w:val="BodyText"/>
        <w:spacing w:line="480" w:lineRule="auto"/>
        <w:ind w:left="267" w:right="725"/>
        <w:jc w:val="both"/>
      </w:pPr>
      <w:r>
        <w:rPr/>
        <w:t>The</w:t>
      </w:r>
      <w:r>
        <w:rPr>
          <w:spacing w:val="-15"/>
        </w:rPr>
        <w:t> </w:t>
      </w:r>
      <w:r>
        <w:rPr/>
        <w:t>concept</w:t>
      </w:r>
      <w:r>
        <w:rPr>
          <w:spacing w:val="-15"/>
        </w:rPr>
        <w:t> </w:t>
      </w:r>
      <w:r>
        <w:rPr/>
        <w:t>of</w:t>
      </w:r>
      <w:r>
        <w:rPr>
          <w:spacing w:val="-15"/>
        </w:rPr>
        <w:t> </w:t>
      </w:r>
      <w:r>
        <w:rPr/>
        <w:t>adaptive</w:t>
      </w:r>
      <w:r>
        <w:rPr>
          <w:spacing w:val="-15"/>
        </w:rPr>
        <w:t> </w:t>
      </w:r>
      <w:r>
        <w:rPr/>
        <w:t>capacity</w:t>
      </w:r>
      <w:r>
        <w:rPr>
          <w:spacing w:val="-15"/>
        </w:rPr>
        <w:t> </w:t>
      </w:r>
      <w:r>
        <w:rPr/>
        <w:t>provides</w:t>
      </w:r>
      <w:r>
        <w:rPr>
          <w:spacing w:val="-15"/>
        </w:rPr>
        <w:t> </w:t>
      </w:r>
      <w:r>
        <w:rPr/>
        <w:t>the</w:t>
      </w:r>
      <w:r>
        <w:rPr>
          <w:spacing w:val="-15"/>
        </w:rPr>
        <w:t> </w:t>
      </w:r>
      <w:r>
        <w:rPr/>
        <w:t>analytical</w:t>
      </w:r>
      <w:r>
        <w:rPr>
          <w:spacing w:val="-15"/>
        </w:rPr>
        <w:t> </w:t>
      </w:r>
      <w:r>
        <w:rPr/>
        <w:t>framework</w:t>
      </w:r>
      <w:r>
        <w:rPr>
          <w:spacing w:val="-15"/>
        </w:rPr>
        <w:t> </w:t>
      </w:r>
      <w:r>
        <w:rPr/>
        <w:t>for</w:t>
      </w:r>
      <w:r>
        <w:rPr>
          <w:spacing w:val="-15"/>
        </w:rPr>
        <w:t> </w:t>
      </w:r>
      <w:r>
        <w:rPr/>
        <w:t>the</w:t>
      </w:r>
      <w:r>
        <w:rPr>
          <w:spacing w:val="-15"/>
        </w:rPr>
        <w:t> </w:t>
      </w:r>
      <w:r>
        <w:rPr/>
        <w:t>social</w:t>
      </w:r>
      <w:r>
        <w:rPr>
          <w:spacing w:val="-15"/>
        </w:rPr>
        <w:t> </w:t>
      </w:r>
      <w:r>
        <w:rPr/>
        <w:t>water</w:t>
      </w:r>
      <w:r>
        <w:rPr>
          <w:spacing w:val="-15"/>
        </w:rPr>
        <w:t> </w:t>
      </w:r>
      <w:r>
        <w:rPr/>
        <w:t>stress index</w:t>
      </w:r>
      <w:r>
        <w:rPr>
          <w:spacing w:val="-1"/>
        </w:rPr>
        <w:t> </w:t>
      </w:r>
      <w:r>
        <w:rPr/>
        <w:t>(Turton</w:t>
      </w:r>
      <w:r>
        <w:rPr>
          <w:spacing w:val="-3"/>
        </w:rPr>
        <w:t> </w:t>
      </w:r>
      <w:r>
        <w:rPr/>
        <w:t>and</w:t>
      </w:r>
      <w:r>
        <w:rPr>
          <w:spacing w:val="-2"/>
        </w:rPr>
        <w:t> </w:t>
      </w:r>
      <w:r>
        <w:rPr/>
        <w:t>Ohlsson,</w:t>
      </w:r>
      <w:r>
        <w:rPr>
          <w:spacing w:val="-2"/>
        </w:rPr>
        <w:t> </w:t>
      </w:r>
      <w:r>
        <w:rPr/>
        <w:t>1999;</w:t>
      </w:r>
      <w:r>
        <w:rPr>
          <w:spacing w:val="-2"/>
        </w:rPr>
        <w:t> </w:t>
      </w:r>
      <w:r>
        <w:rPr/>
        <w:t>Ohlsson,</w:t>
      </w:r>
      <w:r>
        <w:rPr>
          <w:spacing w:val="-3"/>
        </w:rPr>
        <w:t> </w:t>
      </w:r>
      <w:r>
        <w:rPr/>
        <w:t>2000).</w:t>
      </w:r>
      <w:r>
        <w:rPr>
          <w:spacing w:val="-2"/>
        </w:rPr>
        <w:t> </w:t>
      </w:r>
      <w:r>
        <w:rPr/>
        <w:t>The</w:t>
      </w:r>
      <w:r>
        <w:rPr>
          <w:spacing w:val="-3"/>
        </w:rPr>
        <w:t> </w:t>
      </w:r>
      <w:r>
        <w:rPr/>
        <w:t>Social</w:t>
      </w:r>
      <w:r>
        <w:rPr>
          <w:spacing w:val="-3"/>
        </w:rPr>
        <w:t> </w:t>
      </w:r>
      <w:r>
        <w:rPr/>
        <w:t>Water</w:t>
      </w:r>
      <w:r>
        <w:rPr>
          <w:spacing w:val="-3"/>
        </w:rPr>
        <w:t> </w:t>
      </w:r>
      <w:r>
        <w:rPr/>
        <w:t>Stress Index (SWSI)</w:t>
      </w:r>
      <w:r>
        <w:rPr>
          <w:spacing w:val="-3"/>
        </w:rPr>
        <w:t> </w:t>
      </w:r>
      <w:r>
        <w:rPr/>
        <w:t>is premised on a country’s ability to cope to water shortages given factors as varied as distributional equity, political participation and access to education. The Human Development Index (HDI) is often applied to account for these social factors. As noted by Damkjaer and Taylor (2017) the HDI comprising variables of life expectancy, educational attainment and GDP per capita is considered as a good proxy</w:t>
      </w:r>
      <w:r>
        <w:rPr>
          <w:spacing w:val="-3"/>
        </w:rPr>
        <w:t> </w:t>
      </w:r>
      <w:r>
        <w:rPr/>
        <w:t>for adaptive capacity</w:t>
      </w:r>
      <w:r>
        <w:rPr>
          <w:spacing w:val="-3"/>
        </w:rPr>
        <w:t> </w:t>
      </w:r>
      <w:r>
        <w:rPr/>
        <w:t>to water shortages. The SWSI allows for a comparison between the original WSI (inverted Falkenmark index) and SWSI after adaptive capacity (which is proxy by HDI) has been accounted for. It was on this analytical basis that Olhsson (2000) empirically demonstrated that countries such as Poland, South-Korea, Iran and UK which are traditionally classified by Inverted Falkenmark index as “water-stressed” countries are now labeled “relatively sufficient”</w:t>
      </w:r>
      <w:r>
        <w:rPr>
          <w:spacing w:val="-1"/>
        </w:rPr>
        <w:t> </w:t>
      </w:r>
      <w:r>
        <w:rPr/>
        <w:t>under</w:t>
      </w:r>
      <w:r>
        <w:rPr>
          <w:spacing w:val="-1"/>
        </w:rPr>
        <w:t> </w:t>
      </w:r>
      <w:r>
        <w:rPr/>
        <w:t>SWSI</w:t>
      </w:r>
      <w:r>
        <w:rPr>
          <w:spacing w:val="-6"/>
        </w:rPr>
        <w:t> </w:t>
      </w:r>
      <w:r>
        <w:rPr/>
        <w:t>due</w:t>
      </w:r>
      <w:r>
        <w:rPr>
          <w:spacing w:val="-1"/>
        </w:rPr>
        <w:t> </w:t>
      </w:r>
      <w:r>
        <w:rPr/>
        <w:t>to their</w:t>
      </w:r>
      <w:r>
        <w:rPr>
          <w:spacing w:val="-1"/>
        </w:rPr>
        <w:t> </w:t>
      </w:r>
      <w:r>
        <w:rPr/>
        <w:t>higher</w:t>
      </w:r>
      <w:r>
        <w:rPr>
          <w:spacing w:val="-1"/>
        </w:rPr>
        <w:t> </w:t>
      </w:r>
      <w:r>
        <w:rPr/>
        <w:t>societal adaptive</w:t>
      </w:r>
      <w:r>
        <w:rPr>
          <w:spacing w:val="-1"/>
        </w:rPr>
        <w:t> </w:t>
      </w:r>
      <w:r>
        <w:rPr/>
        <w:t>capacity. Conversely, countries with lower adaptive capacity (Nigeria, Burkina-Faso, Niger and Eritrea) moved from “relatively sufficiency” to “water stress”.</w:t>
      </w:r>
    </w:p>
    <w:p>
      <w:pPr>
        <w:pStyle w:val="BodyText"/>
        <w:spacing w:line="480" w:lineRule="auto" w:before="270"/>
        <w:ind w:left="267" w:right="732"/>
        <w:jc w:val="both"/>
      </w:pPr>
      <w:r>
        <w:rPr>
          <w:spacing w:val="-2"/>
        </w:rPr>
        <w:t>In</w:t>
      </w:r>
      <w:r>
        <w:rPr>
          <w:spacing w:val="-6"/>
        </w:rPr>
        <w:t> </w:t>
      </w:r>
      <w:r>
        <w:rPr>
          <w:spacing w:val="-2"/>
        </w:rPr>
        <w:t>spite</w:t>
      </w:r>
      <w:r>
        <w:rPr>
          <w:spacing w:val="-7"/>
        </w:rPr>
        <w:t> </w:t>
      </w:r>
      <w:r>
        <w:rPr>
          <w:spacing w:val="-2"/>
        </w:rPr>
        <w:t>of</w:t>
      </w:r>
      <w:r>
        <w:rPr>
          <w:spacing w:val="-6"/>
        </w:rPr>
        <w:t> </w:t>
      </w:r>
      <w:r>
        <w:rPr>
          <w:spacing w:val="-2"/>
        </w:rPr>
        <w:t>being</w:t>
      </w:r>
      <w:r>
        <w:rPr>
          <w:spacing w:val="-9"/>
        </w:rPr>
        <w:t> </w:t>
      </w:r>
      <w:r>
        <w:rPr>
          <w:spacing w:val="-2"/>
        </w:rPr>
        <w:t>considered</w:t>
      </w:r>
      <w:r>
        <w:rPr>
          <w:spacing w:val="-6"/>
        </w:rPr>
        <w:t> </w:t>
      </w:r>
      <w:r>
        <w:rPr>
          <w:spacing w:val="-2"/>
        </w:rPr>
        <w:t>an</w:t>
      </w:r>
      <w:r>
        <w:rPr>
          <w:spacing w:val="-6"/>
        </w:rPr>
        <w:t> </w:t>
      </w:r>
      <w:r>
        <w:rPr>
          <w:spacing w:val="-2"/>
        </w:rPr>
        <w:t>acceptable</w:t>
      </w:r>
      <w:r>
        <w:rPr>
          <w:spacing w:val="-6"/>
        </w:rPr>
        <w:t> </w:t>
      </w:r>
      <w:r>
        <w:rPr>
          <w:spacing w:val="-2"/>
        </w:rPr>
        <w:t>measure</w:t>
      </w:r>
      <w:r>
        <w:rPr>
          <w:spacing w:val="-5"/>
        </w:rPr>
        <w:t> </w:t>
      </w:r>
      <w:r>
        <w:rPr>
          <w:spacing w:val="-2"/>
        </w:rPr>
        <w:t>of</w:t>
      </w:r>
      <w:r>
        <w:rPr>
          <w:spacing w:val="-7"/>
        </w:rPr>
        <w:t> </w:t>
      </w:r>
      <w:r>
        <w:rPr>
          <w:spacing w:val="-2"/>
        </w:rPr>
        <w:t>adaptive</w:t>
      </w:r>
      <w:r>
        <w:rPr>
          <w:spacing w:val="-7"/>
        </w:rPr>
        <w:t> </w:t>
      </w:r>
      <w:r>
        <w:rPr>
          <w:spacing w:val="-2"/>
        </w:rPr>
        <w:t>capacity,</w:t>
      </w:r>
      <w:r>
        <w:rPr>
          <w:spacing w:val="-6"/>
        </w:rPr>
        <w:t> </w:t>
      </w:r>
      <w:r>
        <w:rPr>
          <w:spacing w:val="-2"/>
        </w:rPr>
        <w:t>the</w:t>
      </w:r>
      <w:r>
        <w:rPr>
          <w:spacing w:val="-4"/>
        </w:rPr>
        <w:t> </w:t>
      </w:r>
      <w:r>
        <w:rPr>
          <w:spacing w:val="-2"/>
        </w:rPr>
        <w:t>HDI</w:t>
      </w:r>
      <w:r>
        <w:rPr>
          <w:spacing w:val="-10"/>
        </w:rPr>
        <w:t> </w:t>
      </w:r>
      <w:r>
        <w:rPr>
          <w:spacing w:val="-2"/>
        </w:rPr>
        <w:t>has</w:t>
      </w:r>
      <w:r>
        <w:rPr>
          <w:spacing w:val="-6"/>
        </w:rPr>
        <w:t> </w:t>
      </w:r>
      <w:r>
        <w:rPr>
          <w:spacing w:val="-2"/>
        </w:rPr>
        <w:t>however </w:t>
      </w:r>
      <w:r>
        <w:rPr/>
        <w:t>been</w:t>
      </w:r>
      <w:r>
        <w:rPr>
          <w:spacing w:val="6"/>
        </w:rPr>
        <w:t> </w:t>
      </w:r>
      <w:r>
        <w:rPr/>
        <w:t>criticized</w:t>
      </w:r>
      <w:r>
        <w:rPr>
          <w:spacing w:val="9"/>
        </w:rPr>
        <w:t> </w:t>
      </w:r>
      <w:r>
        <w:rPr/>
        <w:t>as</w:t>
      </w:r>
      <w:r>
        <w:rPr>
          <w:spacing w:val="8"/>
        </w:rPr>
        <w:t> </w:t>
      </w:r>
      <w:r>
        <w:rPr/>
        <w:t>being</w:t>
      </w:r>
      <w:r>
        <w:rPr>
          <w:spacing w:val="9"/>
        </w:rPr>
        <w:t> </w:t>
      </w:r>
      <w:r>
        <w:rPr/>
        <w:t>oversimplified</w:t>
      </w:r>
      <w:r>
        <w:rPr>
          <w:spacing w:val="8"/>
        </w:rPr>
        <w:t> </w:t>
      </w:r>
      <w:r>
        <w:rPr/>
        <w:t>due</w:t>
      </w:r>
      <w:r>
        <w:rPr>
          <w:spacing w:val="8"/>
        </w:rPr>
        <w:t> </w:t>
      </w:r>
      <w:r>
        <w:rPr/>
        <w:t>to</w:t>
      </w:r>
      <w:r>
        <w:rPr>
          <w:spacing w:val="8"/>
        </w:rPr>
        <w:t> </w:t>
      </w:r>
      <w:r>
        <w:rPr/>
        <w:t>its</w:t>
      </w:r>
      <w:r>
        <w:rPr>
          <w:spacing w:val="9"/>
        </w:rPr>
        <w:t> </w:t>
      </w:r>
      <w:r>
        <w:rPr/>
        <w:t>narrow</w:t>
      </w:r>
      <w:r>
        <w:rPr>
          <w:spacing w:val="7"/>
        </w:rPr>
        <w:t> </w:t>
      </w:r>
      <w:r>
        <w:rPr/>
        <w:t>selection</w:t>
      </w:r>
      <w:r>
        <w:rPr>
          <w:spacing w:val="9"/>
        </w:rPr>
        <w:t> </w:t>
      </w:r>
      <w:r>
        <w:rPr/>
        <w:t>of</w:t>
      </w:r>
      <w:r>
        <w:rPr>
          <w:spacing w:val="7"/>
        </w:rPr>
        <w:t> </w:t>
      </w:r>
      <w:r>
        <w:rPr/>
        <w:t>variables</w:t>
      </w:r>
      <w:r>
        <w:rPr>
          <w:spacing w:val="9"/>
        </w:rPr>
        <w:t> </w:t>
      </w:r>
      <w:r>
        <w:rPr>
          <w:spacing w:val="-2"/>
        </w:rPr>
        <w:t>(Kovacevic,</w:t>
      </w:r>
    </w:p>
    <w:p>
      <w:pPr>
        <w:spacing w:after="0" w:line="480" w:lineRule="auto"/>
        <w:jc w:val="both"/>
        <w:sectPr>
          <w:pgSz w:w="12240" w:h="15840"/>
          <w:pgMar w:header="0" w:footer="1068" w:top="1440" w:bottom="1260" w:left="1720" w:right="680"/>
        </w:sectPr>
      </w:pPr>
    </w:p>
    <w:p>
      <w:pPr>
        <w:pStyle w:val="BodyText"/>
        <w:spacing w:line="480" w:lineRule="auto" w:before="63"/>
        <w:ind w:left="267" w:right="738"/>
        <w:jc w:val="both"/>
      </w:pPr>
      <w:r>
        <w:rPr/>
        <w:t>2010) and for being highly</w:t>
      </w:r>
      <w:r>
        <w:rPr>
          <w:spacing w:val="-1"/>
        </w:rPr>
        <w:t> </w:t>
      </w:r>
      <w:r>
        <w:rPr/>
        <w:t>correlated with major economic indices such as GDP (Ogwang, </w:t>
      </w:r>
      <w:r>
        <w:rPr>
          <w:spacing w:val="-2"/>
        </w:rPr>
        <w:t>1994).</w:t>
      </w:r>
    </w:p>
    <w:p>
      <w:pPr>
        <w:pStyle w:val="BodyText"/>
        <w:spacing w:line="480" w:lineRule="auto"/>
        <w:ind w:left="267" w:right="730"/>
        <w:jc w:val="both"/>
      </w:pPr>
      <w:r>
        <w:rPr/>
        <w:t>Therefore, this particular theory was relevant in this study as it has provided the analytical framework on the available water resources, increasing level of water scarcity (first order) which then result to the adaptive behaviour (response, second order) as to how households employ</w:t>
      </w:r>
      <w:r>
        <w:rPr>
          <w:spacing w:val="-15"/>
        </w:rPr>
        <w:t> </w:t>
      </w:r>
      <w:r>
        <w:rPr/>
        <w:t>the</w:t>
      </w:r>
      <w:r>
        <w:rPr>
          <w:spacing w:val="-11"/>
        </w:rPr>
        <w:t> </w:t>
      </w:r>
      <w:r>
        <w:rPr/>
        <w:t>necessary</w:t>
      </w:r>
      <w:r>
        <w:rPr>
          <w:spacing w:val="-15"/>
        </w:rPr>
        <w:t> </w:t>
      </w:r>
      <w:r>
        <w:rPr/>
        <w:t>coping</w:t>
      </w:r>
      <w:r>
        <w:rPr>
          <w:spacing w:val="-13"/>
        </w:rPr>
        <w:t> </w:t>
      </w:r>
      <w:r>
        <w:rPr/>
        <w:t>strategies</w:t>
      </w:r>
      <w:r>
        <w:rPr>
          <w:spacing w:val="-11"/>
        </w:rPr>
        <w:t> </w:t>
      </w:r>
      <w:r>
        <w:rPr/>
        <w:t>on</w:t>
      </w:r>
      <w:r>
        <w:rPr>
          <w:spacing w:val="-11"/>
        </w:rPr>
        <w:t> </w:t>
      </w:r>
      <w:r>
        <w:rPr/>
        <w:t>the</w:t>
      </w:r>
      <w:r>
        <w:rPr>
          <w:spacing w:val="-11"/>
        </w:rPr>
        <w:t> </w:t>
      </w:r>
      <w:r>
        <w:rPr/>
        <w:t>increasing</w:t>
      </w:r>
      <w:r>
        <w:rPr>
          <w:spacing w:val="-12"/>
        </w:rPr>
        <w:t> </w:t>
      </w:r>
      <w:r>
        <w:rPr/>
        <w:t>water</w:t>
      </w:r>
      <w:r>
        <w:rPr>
          <w:spacing w:val="-11"/>
        </w:rPr>
        <w:t> </w:t>
      </w:r>
      <w:r>
        <w:rPr/>
        <w:t>scarcity</w:t>
      </w:r>
      <w:r>
        <w:rPr>
          <w:spacing w:val="-15"/>
        </w:rPr>
        <w:t> </w:t>
      </w:r>
      <w:r>
        <w:rPr/>
        <w:t>to</w:t>
      </w:r>
      <w:r>
        <w:rPr>
          <w:spacing w:val="-8"/>
        </w:rPr>
        <w:t> </w:t>
      </w:r>
      <w:r>
        <w:rPr/>
        <w:t>yield</w:t>
      </w:r>
      <w:r>
        <w:rPr>
          <w:spacing w:val="-10"/>
        </w:rPr>
        <w:t> </w:t>
      </w:r>
      <w:r>
        <w:rPr/>
        <w:t>a</w:t>
      </w:r>
      <w:r>
        <w:rPr>
          <w:spacing w:val="-12"/>
        </w:rPr>
        <w:t> </w:t>
      </w:r>
      <w:r>
        <w:rPr/>
        <w:t>meaningful </w:t>
      </w:r>
      <w:r>
        <w:rPr>
          <w:spacing w:val="-2"/>
        </w:rPr>
        <w:t>result.</w:t>
      </w:r>
    </w:p>
    <w:p>
      <w:pPr>
        <w:pStyle w:val="BodyText"/>
        <w:spacing w:before="8"/>
      </w:pPr>
    </w:p>
    <w:p>
      <w:pPr>
        <w:pStyle w:val="Heading1"/>
        <w:numPr>
          <w:ilvl w:val="1"/>
          <w:numId w:val="6"/>
        </w:numPr>
        <w:tabs>
          <w:tab w:pos="746" w:val="left" w:leader="none"/>
        </w:tabs>
        <w:spacing w:line="240" w:lineRule="auto" w:before="0" w:after="0"/>
        <w:ind w:left="746" w:right="0" w:hanging="479"/>
        <w:jc w:val="left"/>
      </w:pPr>
      <w:r>
        <w:rPr/>
        <w:t>Water</w:t>
      </w:r>
      <w:r>
        <w:rPr>
          <w:spacing w:val="-2"/>
        </w:rPr>
        <w:t> </w:t>
      </w:r>
      <w:r>
        <w:rPr/>
        <w:t>Scarcity,</w:t>
      </w:r>
      <w:r>
        <w:rPr>
          <w:spacing w:val="-1"/>
        </w:rPr>
        <w:t> </w:t>
      </w:r>
      <w:r>
        <w:rPr/>
        <w:t>Water</w:t>
      </w:r>
      <w:r>
        <w:rPr>
          <w:spacing w:val="-2"/>
        </w:rPr>
        <w:t> </w:t>
      </w:r>
      <w:r>
        <w:rPr/>
        <w:t>Stress</w:t>
      </w:r>
      <w:r>
        <w:rPr>
          <w:spacing w:val="-1"/>
        </w:rPr>
        <w:t> </w:t>
      </w:r>
      <w:r>
        <w:rPr/>
        <w:t>and</w:t>
      </w:r>
      <w:r>
        <w:rPr>
          <w:spacing w:val="-1"/>
        </w:rPr>
        <w:t> </w:t>
      </w:r>
      <w:r>
        <w:rPr/>
        <w:t>Water </w:t>
      </w:r>
      <w:r>
        <w:rPr>
          <w:spacing w:val="-2"/>
        </w:rPr>
        <w:t>Poverty</w:t>
      </w:r>
    </w:p>
    <w:p>
      <w:pPr>
        <w:pStyle w:val="BodyText"/>
        <w:spacing w:before="15"/>
        <w:rPr>
          <w:b/>
        </w:rPr>
      </w:pPr>
    </w:p>
    <w:p>
      <w:pPr>
        <w:pStyle w:val="BodyText"/>
        <w:spacing w:line="480" w:lineRule="auto"/>
        <w:ind w:left="267" w:right="730"/>
        <w:jc w:val="both"/>
      </w:pPr>
      <w:r>
        <w:rPr/>
        <w:t>Water</w:t>
      </w:r>
      <w:r>
        <w:rPr>
          <w:spacing w:val="-9"/>
        </w:rPr>
        <w:t> </w:t>
      </w:r>
      <w:r>
        <w:rPr/>
        <w:t>scarcity,</w:t>
      </w:r>
      <w:r>
        <w:rPr>
          <w:spacing w:val="-8"/>
        </w:rPr>
        <w:t> </w:t>
      </w:r>
      <w:r>
        <w:rPr/>
        <w:t>water</w:t>
      </w:r>
      <w:r>
        <w:rPr>
          <w:spacing w:val="-9"/>
        </w:rPr>
        <w:t> </w:t>
      </w:r>
      <w:r>
        <w:rPr/>
        <w:t>stress</w:t>
      </w:r>
      <w:r>
        <w:rPr>
          <w:spacing w:val="-8"/>
        </w:rPr>
        <w:t> </w:t>
      </w:r>
      <w:r>
        <w:rPr/>
        <w:t>and</w:t>
      </w:r>
      <w:r>
        <w:rPr>
          <w:spacing w:val="-8"/>
        </w:rPr>
        <w:t> </w:t>
      </w:r>
      <w:r>
        <w:rPr/>
        <w:t>water</w:t>
      </w:r>
      <w:r>
        <w:rPr>
          <w:spacing w:val="-9"/>
        </w:rPr>
        <w:t> </w:t>
      </w:r>
      <w:r>
        <w:rPr/>
        <w:t>poverty</w:t>
      </w:r>
      <w:r>
        <w:rPr>
          <w:spacing w:val="-11"/>
        </w:rPr>
        <w:t> </w:t>
      </w:r>
      <w:r>
        <w:rPr/>
        <w:t>are</w:t>
      </w:r>
      <w:r>
        <w:rPr>
          <w:spacing w:val="-8"/>
        </w:rPr>
        <w:t> </w:t>
      </w:r>
      <w:r>
        <w:rPr/>
        <w:t>conceptually</w:t>
      </w:r>
      <w:r>
        <w:rPr>
          <w:spacing w:val="-13"/>
        </w:rPr>
        <w:t> </w:t>
      </w:r>
      <w:r>
        <w:rPr/>
        <w:t>related,</w:t>
      </w:r>
      <w:r>
        <w:rPr>
          <w:spacing w:val="-3"/>
        </w:rPr>
        <w:t> </w:t>
      </w:r>
      <w:r>
        <w:rPr/>
        <w:t>yet</w:t>
      </w:r>
      <w:r>
        <w:rPr>
          <w:spacing w:val="-5"/>
        </w:rPr>
        <w:t> </w:t>
      </w:r>
      <w:r>
        <w:rPr/>
        <w:t>they</w:t>
      </w:r>
      <w:r>
        <w:rPr>
          <w:spacing w:val="-13"/>
        </w:rPr>
        <w:t> </w:t>
      </w:r>
      <w:r>
        <w:rPr/>
        <w:t>are</w:t>
      </w:r>
      <w:r>
        <w:rPr>
          <w:spacing w:val="-10"/>
        </w:rPr>
        <w:t> </w:t>
      </w:r>
      <w:r>
        <w:rPr/>
        <w:t>different terms. Explanations of these terms are provided as follows.</w:t>
      </w:r>
    </w:p>
    <w:p>
      <w:pPr>
        <w:pStyle w:val="Heading1"/>
        <w:numPr>
          <w:ilvl w:val="2"/>
          <w:numId w:val="6"/>
        </w:numPr>
        <w:tabs>
          <w:tab w:pos="987" w:val="left" w:leader="none"/>
        </w:tabs>
        <w:spacing w:line="240" w:lineRule="auto" w:before="7" w:after="0"/>
        <w:ind w:left="987" w:right="0" w:hanging="720"/>
        <w:jc w:val="left"/>
      </w:pPr>
      <w:r>
        <w:rPr/>
        <w:t>Water</w:t>
      </w:r>
      <w:r>
        <w:rPr>
          <w:spacing w:val="-3"/>
        </w:rPr>
        <w:t> </w:t>
      </w:r>
      <w:r>
        <w:rPr>
          <w:spacing w:val="-2"/>
        </w:rPr>
        <w:t>scarcity</w:t>
      </w:r>
    </w:p>
    <w:p>
      <w:pPr>
        <w:pStyle w:val="BodyText"/>
        <w:spacing w:before="14"/>
        <w:rPr>
          <w:b/>
        </w:rPr>
      </w:pPr>
    </w:p>
    <w:p>
      <w:pPr>
        <w:pStyle w:val="BodyText"/>
        <w:spacing w:line="480" w:lineRule="auto" w:before="1"/>
        <w:ind w:left="267" w:right="725"/>
        <w:jc w:val="both"/>
      </w:pPr>
      <w:r>
        <w:rPr/>
        <w:t>Water scarcity represents a condition where the demand for water cannot be fully satisfied due</w:t>
      </w:r>
      <w:r>
        <w:rPr>
          <w:spacing w:val="-7"/>
        </w:rPr>
        <w:t> </w:t>
      </w:r>
      <w:r>
        <w:rPr/>
        <w:t>to</w:t>
      </w:r>
      <w:r>
        <w:rPr>
          <w:spacing w:val="-5"/>
        </w:rPr>
        <w:t> </w:t>
      </w:r>
      <w:r>
        <w:rPr/>
        <w:t>shortage</w:t>
      </w:r>
      <w:r>
        <w:rPr>
          <w:spacing w:val="-7"/>
        </w:rPr>
        <w:t> </w:t>
      </w:r>
      <w:r>
        <w:rPr/>
        <w:t>in</w:t>
      </w:r>
      <w:r>
        <w:rPr>
          <w:spacing w:val="-5"/>
        </w:rPr>
        <w:t> </w:t>
      </w:r>
      <w:r>
        <w:rPr/>
        <w:t>fresh</w:t>
      </w:r>
      <w:r>
        <w:rPr>
          <w:spacing w:val="-6"/>
        </w:rPr>
        <w:t> </w:t>
      </w:r>
      <w:r>
        <w:rPr/>
        <w:t>water</w:t>
      </w:r>
      <w:r>
        <w:rPr>
          <w:spacing w:val="-7"/>
        </w:rPr>
        <w:t> </w:t>
      </w:r>
      <w:r>
        <w:rPr/>
        <w:t>availability</w:t>
      </w:r>
      <w:r>
        <w:rPr>
          <w:spacing w:val="-13"/>
        </w:rPr>
        <w:t> </w:t>
      </w:r>
      <w:r>
        <w:rPr/>
        <w:t>(Falkenmark</w:t>
      </w:r>
      <w:r>
        <w:rPr>
          <w:spacing w:val="-3"/>
        </w:rPr>
        <w:t> </w:t>
      </w:r>
      <w:r>
        <w:rPr>
          <w:i/>
        </w:rPr>
        <w:t>et</w:t>
      </w:r>
      <w:r>
        <w:rPr>
          <w:i/>
          <w:spacing w:val="-5"/>
        </w:rPr>
        <w:t> </w:t>
      </w:r>
      <w:r>
        <w:rPr>
          <w:i/>
        </w:rPr>
        <w:t>al.</w:t>
      </w:r>
      <w:r>
        <w:rPr/>
        <w:t>,</w:t>
      </w:r>
      <w:r>
        <w:rPr>
          <w:spacing w:val="-6"/>
        </w:rPr>
        <w:t> </w:t>
      </w:r>
      <w:r>
        <w:rPr/>
        <w:t>1989;</w:t>
      </w:r>
      <w:r>
        <w:rPr>
          <w:spacing w:val="-8"/>
        </w:rPr>
        <w:t> </w:t>
      </w:r>
      <w:r>
        <w:rPr/>
        <w:t>Vorosmarty</w:t>
      </w:r>
      <w:r>
        <w:rPr>
          <w:spacing w:val="-10"/>
        </w:rPr>
        <w:t> </w:t>
      </w:r>
      <w:r>
        <w:rPr>
          <w:i/>
        </w:rPr>
        <w:t>et</w:t>
      </w:r>
      <w:r>
        <w:rPr>
          <w:i/>
          <w:spacing w:val="-5"/>
        </w:rPr>
        <w:t> </w:t>
      </w:r>
      <w:r>
        <w:rPr>
          <w:i/>
        </w:rPr>
        <w:t>al.</w:t>
      </w:r>
      <w:r>
        <w:rPr/>
        <w:t>,</w:t>
      </w:r>
      <w:r>
        <w:rPr>
          <w:spacing w:val="-6"/>
        </w:rPr>
        <w:t> </w:t>
      </w:r>
      <w:r>
        <w:rPr/>
        <w:t>2000; Taylor, 2009). It is often defined within the context of available water resources vis-a-vis human</w:t>
      </w:r>
      <w:r>
        <w:rPr>
          <w:spacing w:val="-15"/>
        </w:rPr>
        <w:t> </w:t>
      </w:r>
      <w:r>
        <w:rPr/>
        <w:t>population</w:t>
      </w:r>
      <w:r>
        <w:rPr>
          <w:spacing w:val="-14"/>
        </w:rPr>
        <w:t> </w:t>
      </w:r>
      <w:r>
        <w:rPr/>
        <w:t>(Cselenyi,</w:t>
      </w:r>
      <w:r>
        <w:rPr>
          <w:spacing w:val="-14"/>
        </w:rPr>
        <w:t> </w:t>
      </w:r>
      <w:r>
        <w:rPr/>
        <w:t>2013)</w:t>
      </w:r>
      <w:r>
        <w:rPr>
          <w:spacing w:val="-13"/>
        </w:rPr>
        <w:t> </w:t>
      </w:r>
      <w:r>
        <w:rPr/>
        <w:t>and</w:t>
      </w:r>
      <w:r>
        <w:rPr>
          <w:spacing w:val="-14"/>
        </w:rPr>
        <w:t> </w:t>
      </w:r>
      <w:r>
        <w:rPr/>
        <w:t>as</w:t>
      </w:r>
      <w:r>
        <w:rPr>
          <w:spacing w:val="-14"/>
        </w:rPr>
        <w:t> </w:t>
      </w:r>
      <w:r>
        <w:rPr/>
        <w:t>such,</w:t>
      </w:r>
      <w:r>
        <w:rPr>
          <w:spacing w:val="-14"/>
        </w:rPr>
        <w:t> </w:t>
      </w:r>
      <w:r>
        <w:rPr/>
        <w:t>refers</w:t>
      </w:r>
      <w:r>
        <w:rPr>
          <w:spacing w:val="-15"/>
        </w:rPr>
        <w:t> </w:t>
      </w:r>
      <w:r>
        <w:rPr/>
        <w:t>to</w:t>
      </w:r>
      <w:r>
        <w:rPr>
          <w:spacing w:val="-14"/>
        </w:rPr>
        <w:t> </w:t>
      </w:r>
      <w:r>
        <w:rPr/>
        <w:t>an</w:t>
      </w:r>
      <w:r>
        <w:rPr>
          <w:spacing w:val="-12"/>
        </w:rPr>
        <w:t> </w:t>
      </w:r>
      <w:r>
        <w:rPr/>
        <w:t>area</w:t>
      </w:r>
      <w:r>
        <w:rPr>
          <w:spacing w:val="-15"/>
        </w:rPr>
        <w:t> </w:t>
      </w:r>
      <w:r>
        <w:rPr/>
        <w:t>consisting</w:t>
      </w:r>
      <w:r>
        <w:rPr>
          <w:spacing w:val="-14"/>
        </w:rPr>
        <w:t> </w:t>
      </w:r>
      <w:r>
        <w:rPr/>
        <w:t>of</w:t>
      </w:r>
      <w:r>
        <w:rPr>
          <w:spacing w:val="-15"/>
        </w:rPr>
        <w:t> </w:t>
      </w:r>
      <w:r>
        <w:rPr/>
        <w:t>a</w:t>
      </w:r>
      <w:r>
        <w:rPr>
          <w:spacing w:val="-15"/>
        </w:rPr>
        <w:t> </w:t>
      </w:r>
      <w:r>
        <w:rPr/>
        <w:t>large</w:t>
      </w:r>
      <w:r>
        <w:rPr>
          <w:spacing w:val="-15"/>
        </w:rPr>
        <w:t> </w:t>
      </w:r>
      <w:r>
        <w:rPr/>
        <w:t>number of</w:t>
      </w:r>
      <w:r>
        <w:rPr>
          <w:spacing w:val="-15"/>
        </w:rPr>
        <w:t> </w:t>
      </w:r>
      <w:r>
        <w:rPr/>
        <w:t>people</w:t>
      </w:r>
      <w:r>
        <w:rPr>
          <w:spacing w:val="-15"/>
        </w:rPr>
        <w:t> </w:t>
      </w:r>
      <w:r>
        <w:rPr/>
        <w:t>suffering</w:t>
      </w:r>
      <w:r>
        <w:rPr>
          <w:spacing w:val="-15"/>
        </w:rPr>
        <w:t> </w:t>
      </w:r>
      <w:r>
        <w:rPr/>
        <w:t>from</w:t>
      </w:r>
      <w:r>
        <w:rPr>
          <w:spacing w:val="-15"/>
        </w:rPr>
        <w:t> </w:t>
      </w:r>
      <w:r>
        <w:rPr/>
        <w:t>water</w:t>
      </w:r>
      <w:r>
        <w:rPr>
          <w:spacing w:val="-15"/>
        </w:rPr>
        <w:t> </w:t>
      </w:r>
      <w:r>
        <w:rPr/>
        <w:t>insecurity</w:t>
      </w:r>
      <w:r>
        <w:rPr>
          <w:spacing w:val="-15"/>
        </w:rPr>
        <w:t> </w:t>
      </w:r>
      <w:r>
        <w:rPr/>
        <w:t>during</w:t>
      </w:r>
      <w:r>
        <w:rPr>
          <w:spacing w:val="-15"/>
        </w:rPr>
        <w:t> </w:t>
      </w:r>
      <w:r>
        <w:rPr/>
        <w:t>a</w:t>
      </w:r>
      <w:r>
        <w:rPr>
          <w:spacing w:val="-15"/>
        </w:rPr>
        <w:t> </w:t>
      </w:r>
      <w:r>
        <w:rPr/>
        <w:t>long</w:t>
      </w:r>
      <w:r>
        <w:rPr>
          <w:spacing w:val="-15"/>
        </w:rPr>
        <w:t> </w:t>
      </w:r>
      <w:r>
        <w:rPr/>
        <w:t>time</w:t>
      </w:r>
      <w:r>
        <w:rPr>
          <w:spacing w:val="-15"/>
        </w:rPr>
        <w:t> </w:t>
      </w:r>
      <w:r>
        <w:rPr/>
        <w:t>period.</w:t>
      </w:r>
      <w:r>
        <w:rPr>
          <w:spacing w:val="-15"/>
        </w:rPr>
        <w:t> </w:t>
      </w:r>
      <w:r>
        <w:rPr/>
        <w:t>While</w:t>
      </w:r>
      <w:r>
        <w:rPr>
          <w:spacing w:val="-15"/>
        </w:rPr>
        <w:t> </w:t>
      </w:r>
      <w:r>
        <w:rPr/>
        <w:t>there</w:t>
      </w:r>
      <w:r>
        <w:rPr>
          <w:spacing w:val="-15"/>
        </w:rPr>
        <w:t> </w:t>
      </w:r>
      <w:r>
        <w:rPr/>
        <w:t>is</w:t>
      </w:r>
      <w:r>
        <w:rPr>
          <w:spacing w:val="-15"/>
        </w:rPr>
        <w:t> </w:t>
      </w:r>
      <w:r>
        <w:rPr/>
        <w:t>knowledge that water is a naturally scarce resource, water scarcity is a decline in the volume of water available</w:t>
      </w:r>
      <w:r>
        <w:rPr>
          <w:spacing w:val="-3"/>
        </w:rPr>
        <w:t> </w:t>
      </w:r>
      <w:r>
        <w:rPr/>
        <w:t>per</w:t>
      </w:r>
      <w:r>
        <w:rPr>
          <w:spacing w:val="-3"/>
        </w:rPr>
        <w:t> </w:t>
      </w:r>
      <w:r>
        <w:rPr/>
        <w:t>capita</w:t>
      </w:r>
      <w:r>
        <w:rPr>
          <w:spacing w:val="-4"/>
        </w:rPr>
        <w:t> </w:t>
      </w:r>
      <w:r>
        <w:rPr/>
        <w:t>over</w:t>
      </w:r>
      <w:r>
        <w:rPr>
          <w:spacing w:val="-3"/>
        </w:rPr>
        <w:t> </w:t>
      </w:r>
      <w:r>
        <w:rPr/>
        <w:t>time</w:t>
      </w:r>
      <w:r>
        <w:rPr>
          <w:spacing w:val="-4"/>
        </w:rPr>
        <w:t> </w:t>
      </w:r>
      <w:r>
        <w:rPr/>
        <w:t>(Turton</w:t>
      </w:r>
      <w:r>
        <w:rPr>
          <w:spacing w:val="-3"/>
        </w:rPr>
        <w:t> </w:t>
      </w:r>
      <w:r>
        <w:rPr/>
        <w:t>and</w:t>
      </w:r>
      <w:r>
        <w:rPr>
          <w:spacing w:val="-3"/>
        </w:rPr>
        <w:t> </w:t>
      </w:r>
      <w:r>
        <w:rPr/>
        <w:t>Ohlsson,</w:t>
      </w:r>
      <w:r>
        <w:rPr>
          <w:spacing w:val="-3"/>
        </w:rPr>
        <w:t> </w:t>
      </w:r>
      <w:r>
        <w:rPr/>
        <w:t>1999).</w:t>
      </w:r>
      <w:r>
        <w:rPr>
          <w:spacing w:val="-3"/>
        </w:rPr>
        <w:t> </w:t>
      </w:r>
      <w:r>
        <w:rPr/>
        <w:t>Water</w:t>
      </w:r>
      <w:r>
        <w:rPr>
          <w:spacing w:val="-5"/>
        </w:rPr>
        <w:t> </w:t>
      </w:r>
      <w:r>
        <w:rPr/>
        <w:t>scarcity</w:t>
      </w:r>
      <w:r>
        <w:rPr>
          <w:spacing w:val="-8"/>
        </w:rPr>
        <w:t> </w:t>
      </w:r>
      <w:r>
        <w:rPr/>
        <w:t>therefore</w:t>
      </w:r>
      <w:r>
        <w:rPr>
          <w:spacing w:val="-5"/>
        </w:rPr>
        <w:t> </w:t>
      </w:r>
      <w:r>
        <w:rPr/>
        <w:t>refers</w:t>
      </w:r>
      <w:r>
        <w:rPr>
          <w:spacing w:val="-3"/>
        </w:rPr>
        <w:t> </w:t>
      </w:r>
      <w:r>
        <w:rPr/>
        <w:t>to the proportion of water use to water available for use within the region in time and is measured in physical quantity (volume).</w:t>
      </w:r>
    </w:p>
    <w:p>
      <w:pPr>
        <w:pStyle w:val="BodyText"/>
        <w:spacing w:line="550" w:lineRule="atLeast" w:before="3"/>
        <w:ind w:left="267" w:right="731"/>
        <w:jc w:val="both"/>
      </w:pPr>
      <w:r>
        <w:rPr/>
        <w:t>The quantification of what actually constitutes water scarcity depends on three different factors as: (1) the actual needs of the population and considerations regarding the environmental</w:t>
      </w:r>
      <w:r>
        <w:rPr>
          <w:spacing w:val="11"/>
        </w:rPr>
        <w:t> </w:t>
      </w:r>
      <w:r>
        <w:rPr/>
        <w:t>needs</w:t>
      </w:r>
      <w:r>
        <w:rPr>
          <w:spacing w:val="13"/>
        </w:rPr>
        <w:t> </w:t>
      </w:r>
      <w:r>
        <w:rPr/>
        <w:t>(2)</w:t>
      </w:r>
      <w:r>
        <w:rPr>
          <w:spacing w:val="14"/>
        </w:rPr>
        <w:t> </w:t>
      </w:r>
      <w:r>
        <w:rPr/>
        <w:t>the</w:t>
      </w:r>
      <w:r>
        <w:rPr>
          <w:spacing w:val="12"/>
        </w:rPr>
        <w:t> </w:t>
      </w:r>
      <w:r>
        <w:rPr/>
        <w:t>actual</w:t>
      </w:r>
      <w:r>
        <w:rPr>
          <w:spacing w:val="13"/>
        </w:rPr>
        <w:t> </w:t>
      </w:r>
      <w:r>
        <w:rPr/>
        <w:t>available</w:t>
      </w:r>
      <w:r>
        <w:rPr>
          <w:spacing w:val="12"/>
        </w:rPr>
        <w:t> </w:t>
      </w:r>
      <w:r>
        <w:rPr/>
        <w:t>resources</w:t>
      </w:r>
      <w:r>
        <w:rPr>
          <w:spacing w:val="13"/>
        </w:rPr>
        <w:t> </w:t>
      </w:r>
      <w:r>
        <w:rPr/>
        <w:t>for</w:t>
      </w:r>
      <w:r>
        <w:rPr>
          <w:spacing w:val="11"/>
        </w:rPr>
        <w:t> </w:t>
      </w:r>
      <w:r>
        <w:rPr/>
        <w:t>the</w:t>
      </w:r>
      <w:r>
        <w:rPr>
          <w:spacing w:val="12"/>
        </w:rPr>
        <w:t> </w:t>
      </w:r>
      <w:r>
        <w:rPr/>
        <w:t>needs</w:t>
      </w:r>
      <w:r>
        <w:rPr>
          <w:spacing w:val="13"/>
        </w:rPr>
        <w:t> </w:t>
      </w:r>
      <w:r>
        <w:rPr/>
        <w:t>to</w:t>
      </w:r>
      <w:r>
        <w:rPr>
          <w:spacing w:val="13"/>
        </w:rPr>
        <w:t> </w:t>
      </w:r>
      <w:r>
        <w:rPr/>
        <w:t>be</w:t>
      </w:r>
      <w:r>
        <w:rPr>
          <w:spacing w:val="12"/>
        </w:rPr>
        <w:t> </w:t>
      </w:r>
      <w:r>
        <w:rPr/>
        <w:t>satisfied</w:t>
      </w:r>
      <w:r>
        <w:rPr>
          <w:spacing w:val="13"/>
        </w:rPr>
        <w:t> </w:t>
      </w:r>
      <w:r>
        <w:rPr/>
        <w:t>and</w:t>
      </w:r>
      <w:r>
        <w:rPr>
          <w:spacing w:val="14"/>
        </w:rPr>
        <w:t> </w:t>
      </w:r>
      <w:r>
        <w:rPr>
          <w:spacing w:val="-5"/>
        </w:rPr>
        <w:t>(3)</w:t>
      </w:r>
    </w:p>
    <w:p>
      <w:pPr>
        <w:spacing w:after="0" w:line="550" w:lineRule="atLeast"/>
        <w:jc w:val="both"/>
        <w:sectPr>
          <w:pgSz w:w="12240" w:h="15840"/>
          <w:pgMar w:header="0" w:footer="1068" w:top="1340" w:bottom="1260" w:left="1720" w:right="680"/>
        </w:sectPr>
      </w:pPr>
    </w:p>
    <w:p>
      <w:pPr>
        <w:pStyle w:val="BodyText"/>
        <w:spacing w:line="480" w:lineRule="auto" w:before="63"/>
        <w:ind w:left="267" w:right="729"/>
        <w:jc w:val="both"/>
      </w:pPr>
      <w:r>
        <w:rPr/>
        <w:t>the temporal and spatial dimensions of the needs (Rijsberman, 2006). Water scarcity is associated</w:t>
      </w:r>
      <w:r>
        <w:rPr>
          <w:spacing w:val="-2"/>
        </w:rPr>
        <w:t> </w:t>
      </w:r>
      <w:r>
        <w:rPr/>
        <w:t>with</w:t>
      </w:r>
      <w:r>
        <w:rPr>
          <w:spacing w:val="-1"/>
        </w:rPr>
        <w:t> </w:t>
      </w:r>
      <w:r>
        <w:rPr/>
        <w:t>several</w:t>
      </w:r>
      <w:r>
        <w:rPr>
          <w:spacing w:val="-1"/>
        </w:rPr>
        <w:t> </w:t>
      </w:r>
      <w:r>
        <w:rPr/>
        <w:t>situations</w:t>
      </w:r>
      <w:r>
        <w:rPr>
          <w:spacing w:val="-1"/>
        </w:rPr>
        <w:t> </w:t>
      </w:r>
      <w:r>
        <w:rPr/>
        <w:t>with</w:t>
      </w:r>
      <w:r>
        <w:rPr>
          <w:spacing w:val="-1"/>
        </w:rPr>
        <w:t> </w:t>
      </w:r>
      <w:r>
        <w:rPr/>
        <w:t>differing</w:t>
      </w:r>
      <w:r>
        <w:rPr>
          <w:spacing w:val="-4"/>
        </w:rPr>
        <w:t> </w:t>
      </w:r>
      <w:r>
        <w:rPr/>
        <w:t>impacts.</w:t>
      </w:r>
      <w:r>
        <w:rPr>
          <w:spacing w:val="-1"/>
        </w:rPr>
        <w:t> </w:t>
      </w:r>
      <w:r>
        <w:rPr/>
        <w:t>To</w:t>
      </w:r>
      <w:r>
        <w:rPr>
          <w:spacing w:val="-2"/>
        </w:rPr>
        <w:t> </w:t>
      </w:r>
      <w:r>
        <w:rPr/>
        <w:t>distinguish</w:t>
      </w:r>
      <w:r>
        <w:rPr>
          <w:spacing w:val="-1"/>
        </w:rPr>
        <w:t> </w:t>
      </w:r>
      <w:r>
        <w:rPr/>
        <w:t>between water uses and its scarcity on the society, Molle and Mollinga (2003) itemized 5 categories of water </w:t>
      </w:r>
      <w:r>
        <w:rPr>
          <w:spacing w:val="-2"/>
        </w:rPr>
        <w:t>use/need:</w:t>
      </w:r>
    </w:p>
    <w:p>
      <w:pPr>
        <w:pStyle w:val="ListParagraph"/>
        <w:numPr>
          <w:ilvl w:val="0"/>
          <w:numId w:val="7"/>
        </w:numPr>
        <w:tabs>
          <w:tab w:pos="987" w:val="left" w:leader="none"/>
        </w:tabs>
        <w:spacing w:line="470" w:lineRule="auto" w:before="2" w:after="0"/>
        <w:ind w:left="987" w:right="729" w:hanging="360"/>
        <w:jc w:val="both"/>
        <w:rPr>
          <w:sz w:val="24"/>
        </w:rPr>
      </w:pPr>
      <w:r>
        <w:rPr>
          <w:i/>
          <w:sz w:val="24"/>
        </w:rPr>
        <w:t>Drinking</w:t>
      </w:r>
      <w:r>
        <w:rPr>
          <w:i/>
          <w:spacing w:val="-3"/>
          <w:sz w:val="24"/>
        </w:rPr>
        <w:t> </w:t>
      </w:r>
      <w:r>
        <w:rPr>
          <w:i/>
          <w:sz w:val="24"/>
        </w:rPr>
        <w:t>water.</w:t>
      </w:r>
      <w:r>
        <w:rPr>
          <w:i/>
          <w:spacing w:val="-3"/>
          <w:sz w:val="24"/>
        </w:rPr>
        <w:t> </w:t>
      </w:r>
      <w:r>
        <w:rPr>
          <w:sz w:val="24"/>
        </w:rPr>
        <w:t>(U1)</w:t>
      </w:r>
      <w:r>
        <w:rPr>
          <w:spacing w:val="-3"/>
          <w:sz w:val="24"/>
        </w:rPr>
        <w:t> </w:t>
      </w:r>
      <w:r>
        <w:rPr>
          <w:sz w:val="24"/>
        </w:rPr>
        <w:t>Which</w:t>
      </w:r>
      <w:r>
        <w:rPr>
          <w:spacing w:val="-3"/>
          <w:sz w:val="24"/>
        </w:rPr>
        <w:t> </w:t>
      </w:r>
      <w:r>
        <w:rPr>
          <w:sz w:val="24"/>
        </w:rPr>
        <w:t>is</w:t>
      </w:r>
      <w:r>
        <w:rPr>
          <w:spacing w:val="-3"/>
          <w:sz w:val="24"/>
        </w:rPr>
        <w:t> </w:t>
      </w:r>
      <w:r>
        <w:rPr>
          <w:sz w:val="24"/>
        </w:rPr>
        <w:t>the</w:t>
      </w:r>
      <w:r>
        <w:rPr>
          <w:spacing w:val="-4"/>
          <w:sz w:val="24"/>
        </w:rPr>
        <w:t> </w:t>
      </w:r>
      <w:r>
        <w:rPr>
          <w:sz w:val="24"/>
        </w:rPr>
        <w:t>most</w:t>
      </w:r>
      <w:r>
        <w:rPr>
          <w:spacing w:val="-3"/>
          <w:sz w:val="24"/>
        </w:rPr>
        <w:t> </w:t>
      </w:r>
      <w:r>
        <w:rPr>
          <w:sz w:val="24"/>
        </w:rPr>
        <w:t>important</w:t>
      </w:r>
      <w:r>
        <w:rPr>
          <w:spacing w:val="-3"/>
          <w:sz w:val="24"/>
        </w:rPr>
        <w:t> </w:t>
      </w:r>
      <w:r>
        <w:rPr>
          <w:sz w:val="24"/>
        </w:rPr>
        <w:t>use</w:t>
      </w:r>
      <w:r>
        <w:rPr>
          <w:spacing w:val="-3"/>
          <w:sz w:val="24"/>
        </w:rPr>
        <w:t> </w:t>
      </w:r>
      <w:r>
        <w:rPr>
          <w:sz w:val="24"/>
        </w:rPr>
        <w:t>of</w:t>
      </w:r>
      <w:r>
        <w:rPr>
          <w:spacing w:val="-4"/>
          <w:sz w:val="24"/>
        </w:rPr>
        <w:t> </w:t>
      </w:r>
      <w:r>
        <w:rPr>
          <w:sz w:val="24"/>
        </w:rPr>
        <w:t>water</w:t>
      </w:r>
      <w:r>
        <w:rPr>
          <w:spacing w:val="-3"/>
          <w:sz w:val="24"/>
        </w:rPr>
        <w:t> </w:t>
      </w:r>
      <w:r>
        <w:rPr>
          <w:sz w:val="24"/>
        </w:rPr>
        <w:t>necessary</w:t>
      </w:r>
      <w:r>
        <w:rPr>
          <w:spacing w:val="-7"/>
          <w:sz w:val="24"/>
        </w:rPr>
        <w:t> </w:t>
      </w:r>
      <w:r>
        <w:rPr>
          <w:sz w:val="24"/>
        </w:rPr>
        <w:t>for</w:t>
      </w:r>
      <w:r>
        <w:rPr>
          <w:spacing w:val="-3"/>
          <w:sz w:val="24"/>
        </w:rPr>
        <w:t> </w:t>
      </w:r>
      <w:r>
        <w:rPr>
          <w:sz w:val="24"/>
        </w:rPr>
        <w:t>human existence</w:t>
      </w:r>
      <w:r>
        <w:rPr>
          <w:spacing w:val="-4"/>
          <w:sz w:val="24"/>
        </w:rPr>
        <w:t> </w:t>
      </w:r>
      <w:r>
        <w:rPr>
          <w:sz w:val="24"/>
        </w:rPr>
        <w:t>in</w:t>
      </w:r>
      <w:r>
        <w:rPr>
          <w:spacing w:val="-3"/>
          <w:sz w:val="24"/>
        </w:rPr>
        <w:t> </w:t>
      </w:r>
      <w:r>
        <w:rPr>
          <w:sz w:val="24"/>
        </w:rPr>
        <w:t>which</w:t>
      </w:r>
      <w:r>
        <w:rPr>
          <w:spacing w:val="-3"/>
          <w:sz w:val="24"/>
        </w:rPr>
        <w:t> </w:t>
      </w:r>
      <w:r>
        <w:rPr>
          <w:sz w:val="24"/>
        </w:rPr>
        <w:t>it</w:t>
      </w:r>
      <w:r>
        <w:rPr>
          <w:spacing w:val="-3"/>
          <w:sz w:val="24"/>
        </w:rPr>
        <w:t> </w:t>
      </w:r>
      <w:r>
        <w:rPr>
          <w:sz w:val="24"/>
        </w:rPr>
        <w:t>has</w:t>
      </w:r>
      <w:r>
        <w:rPr>
          <w:spacing w:val="-2"/>
          <w:sz w:val="24"/>
        </w:rPr>
        <w:t> </w:t>
      </w:r>
      <w:r>
        <w:rPr>
          <w:sz w:val="24"/>
        </w:rPr>
        <w:t>been</w:t>
      </w:r>
      <w:r>
        <w:rPr>
          <w:spacing w:val="-3"/>
          <w:sz w:val="24"/>
        </w:rPr>
        <w:t> </w:t>
      </w:r>
      <w:r>
        <w:rPr>
          <w:sz w:val="24"/>
        </w:rPr>
        <w:t>suggested</w:t>
      </w:r>
      <w:r>
        <w:rPr>
          <w:spacing w:val="-3"/>
          <w:sz w:val="24"/>
        </w:rPr>
        <w:t> </w:t>
      </w:r>
      <w:r>
        <w:rPr>
          <w:sz w:val="24"/>
        </w:rPr>
        <w:t>that</w:t>
      </w:r>
      <w:r>
        <w:rPr>
          <w:spacing w:val="-3"/>
          <w:sz w:val="24"/>
        </w:rPr>
        <w:t> </w:t>
      </w:r>
      <w:r>
        <w:rPr>
          <w:sz w:val="24"/>
        </w:rPr>
        <w:t>human</w:t>
      </w:r>
      <w:r>
        <w:rPr>
          <w:spacing w:val="-3"/>
          <w:sz w:val="24"/>
        </w:rPr>
        <w:t> </w:t>
      </w:r>
      <w:r>
        <w:rPr>
          <w:sz w:val="24"/>
        </w:rPr>
        <w:t>needs are</w:t>
      </w:r>
      <w:r>
        <w:rPr>
          <w:spacing w:val="-3"/>
          <w:sz w:val="24"/>
        </w:rPr>
        <w:t> </w:t>
      </w:r>
      <w:r>
        <w:rPr>
          <w:sz w:val="24"/>
        </w:rPr>
        <w:t>between</w:t>
      </w:r>
      <w:r>
        <w:rPr>
          <w:spacing w:val="-3"/>
          <w:sz w:val="24"/>
        </w:rPr>
        <w:t> </w:t>
      </w:r>
      <w:r>
        <w:rPr>
          <w:sz w:val="24"/>
        </w:rPr>
        <w:t>1-5</w:t>
      </w:r>
      <w:r>
        <w:rPr>
          <w:spacing w:val="-1"/>
          <w:sz w:val="24"/>
        </w:rPr>
        <w:t> </w:t>
      </w:r>
      <w:r>
        <w:rPr>
          <w:sz w:val="24"/>
        </w:rPr>
        <w:t>litres</w:t>
      </w:r>
      <w:r>
        <w:rPr>
          <w:spacing w:val="-3"/>
          <w:sz w:val="24"/>
        </w:rPr>
        <w:t> </w:t>
      </w:r>
      <w:r>
        <w:rPr>
          <w:sz w:val="24"/>
        </w:rPr>
        <w:t>per </w:t>
      </w:r>
      <w:r>
        <w:rPr>
          <w:spacing w:val="-4"/>
          <w:sz w:val="24"/>
        </w:rPr>
        <w:t>day.</w:t>
      </w:r>
    </w:p>
    <w:p>
      <w:pPr>
        <w:pStyle w:val="ListParagraph"/>
        <w:numPr>
          <w:ilvl w:val="0"/>
          <w:numId w:val="7"/>
        </w:numPr>
        <w:tabs>
          <w:tab w:pos="986" w:val="left" w:leader="none"/>
        </w:tabs>
        <w:spacing w:line="240" w:lineRule="auto" w:before="16" w:after="0"/>
        <w:ind w:left="986" w:right="0" w:hanging="359"/>
        <w:jc w:val="both"/>
        <w:rPr>
          <w:sz w:val="24"/>
        </w:rPr>
      </w:pPr>
      <w:r>
        <w:rPr>
          <w:i/>
          <w:sz w:val="24"/>
        </w:rPr>
        <w:t>Domestic</w:t>
      </w:r>
      <w:r>
        <w:rPr>
          <w:i/>
          <w:spacing w:val="-4"/>
          <w:sz w:val="24"/>
        </w:rPr>
        <w:t> </w:t>
      </w:r>
      <w:r>
        <w:rPr>
          <w:i/>
          <w:sz w:val="24"/>
        </w:rPr>
        <w:t>water. </w:t>
      </w:r>
      <w:r>
        <w:rPr>
          <w:sz w:val="24"/>
        </w:rPr>
        <w:t>(U2)</w:t>
      </w:r>
      <w:r>
        <w:rPr>
          <w:spacing w:val="1"/>
          <w:sz w:val="24"/>
        </w:rPr>
        <w:t> </w:t>
      </w:r>
      <w:r>
        <w:rPr>
          <w:sz w:val="24"/>
        </w:rPr>
        <w:t>Domestic use</w:t>
      </w:r>
      <w:r>
        <w:rPr>
          <w:spacing w:val="-2"/>
          <w:sz w:val="24"/>
        </w:rPr>
        <w:t> </w:t>
      </w:r>
      <w:r>
        <w:rPr>
          <w:sz w:val="24"/>
        </w:rPr>
        <w:t>for</w:t>
      </w:r>
      <w:r>
        <w:rPr>
          <w:spacing w:val="-2"/>
          <w:sz w:val="24"/>
        </w:rPr>
        <w:t> </w:t>
      </w:r>
      <w:r>
        <w:rPr>
          <w:sz w:val="24"/>
        </w:rPr>
        <w:t>cooking, laundry</w:t>
      </w:r>
      <w:r>
        <w:rPr>
          <w:spacing w:val="-5"/>
          <w:sz w:val="24"/>
        </w:rPr>
        <w:t> </w:t>
      </w:r>
      <w:r>
        <w:rPr>
          <w:sz w:val="24"/>
        </w:rPr>
        <w:t>and </w:t>
      </w:r>
      <w:r>
        <w:rPr>
          <w:spacing w:val="-2"/>
          <w:sz w:val="24"/>
        </w:rPr>
        <w:t>hygiene.</w:t>
      </w:r>
    </w:p>
    <w:p>
      <w:pPr>
        <w:pStyle w:val="ListParagraph"/>
        <w:numPr>
          <w:ilvl w:val="0"/>
          <w:numId w:val="7"/>
        </w:numPr>
        <w:tabs>
          <w:tab w:pos="986" w:val="left" w:leader="none"/>
        </w:tabs>
        <w:spacing w:line="240" w:lineRule="auto" w:before="274" w:after="0"/>
        <w:ind w:left="986" w:right="0" w:hanging="359"/>
        <w:jc w:val="both"/>
        <w:rPr>
          <w:sz w:val="24"/>
        </w:rPr>
      </w:pPr>
      <w:r>
        <w:rPr>
          <w:i/>
          <w:sz w:val="24"/>
        </w:rPr>
        <w:t>Food</w:t>
      </w:r>
      <w:r>
        <w:rPr>
          <w:i/>
          <w:spacing w:val="-4"/>
          <w:sz w:val="24"/>
        </w:rPr>
        <w:t> </w:t>
      </w:r>
      <w:r>
        <w:rPr>
          <w:i/>
          <w:sz w:val="24"/>
        </w:rPr>
        <w:t>security</w:t>
      </w:r>
      <w:r>
        <w:rPr>
          <w:i/>
          <w:spacing w:val="-1"/>
          <w:sz w:val="24"/>
        </w:rPr>
        <w:t> </w:t>
      </w:r>
      <w:r>
        <w:rPr>
          <w:sz w:val="24"/>
        </w:rPr>
        <w:t>needs</w:t>
      </w:r>
      <w:r>
        <w:rPr>
          <w:spacing w:val="1"/>
          <w:sz w:val="24"/>
        </w:rPr>
        <w:t> </w:t>
      </w:r>
      <w:r>
        <w:rPr>
          <w:sz w:val="24"/>
        </w:rPr>
        <w:t>(U3)</w:t>
      </w:r>
      <w:r>
        <w:rPr>
          <w:spacing w:val="-1"/>
          <w:sz w:val="24"/>
        </w:rPr>
        <w:t> </w:t>
      </w:r>
      <w:r>
        <w:rPr>
          <w:sz w:val="24"/>
        </w:rPr>
        <w:t>Are</w:t>
      </w:r>
      <w:r>
        <w:rPr>
          <w:spacing w:val="-2"/>
          <w:sz w:val="24"/>
        </w:rPr>
        <w:t> </w:t>
      </w:r>
      <w:r>
        <w:rPr>
          <w:sz w:val="24"/>
        </w:rPr>
        <w:t>additional</w:t>
      </w:r>
      <w:r>
        <w:rPr>
          <w:spacing w:val="-1"/>
          <w:sz w:val="24"/>
        </w:rPr>
        <w:t> </w:t>
      </w:r>
      <w:r>
        <w:rPr>
          <w:sz w:val="24"/>
        </w:rPr>
        <w:t>water</w:t>
      </w:r>
      <w:r>
        <w:rPr>
          <w:spacing w:val="-2"/>
          <w:sz w:val="24"/>
        </w:rPr>
        <w:t> </w:t>
      </w:r>
      <w:r>
        <w:rPr>
          <w:sz w:val="24"/>
        </w:rPr>
        <w:t>needs</w:t>
      </w:r>
      <w:r>
        <w:rPr>
          <w:spacing w:val="-1"/>
          <w:sz w:val="24"/>
        </w:rPr>
        <w:t> </w:t>
      </w:r>
      <w:r>
        <w:rPr>
          <w:sz w:val="24"/>
        </w:rPr>
        <w:t>for</w:t>
      </w:r>
      <w:r>
        <w:rPr>
          <w:spacing w:val="-3"/>
          <w:sz w:val="24"/>
        </w:rPr>
        <w:t> </w:t>
      </w:r>
      <w:r>
        <w:rPr>
          <w:sz w:val="24"/>
        </w:rPr>
        <w:t>agricultural</w:t>
      </w:r>
      <w:r>
        <w:rPr>
          <w:spacing w:val="-1"/>
          <w:sz w:val="24"/>
        </w:rPr>
        <w:t> </w:t>
      </w:r>
      <w:r>
        <w:rPr>
          <w:spacing w:val="-2"/>
          <w:sz w:val="24"/>
        </w:rPr>
        <w:t>production.</w:t>
      </w:r>
    </w:p>
    <w:p>
      <w:pPr>
        <w:pStyle w:val="ListParagraph"/>
        <w:numPr>
          <w:ilvl w:val="0"/>
          <w:numId w:val="7"/>
        </w:numPr>
        <w:tabs>
          <w:tab w:pos="987" w:val="left" w:leader="none"/>
        </w:tabs>
        <w:spacing w:line="470" w:lineRule="auto" w:before="275" w:after="0"/>
        <w:ind w:left="987" w:right="727" w:hanging="360"/>
        <w:jc w:val="both"/>
        <w:rPr>
          <w:sz w:val="24"/>
        </w:rPr>
      </w:pPr>
      <w:r>
        <w:rPr>
          <w:i/>
          <w:sz w:val="24"/>
        </w:rPr>
        <w:t>Economic production </w:t>
      </w:r>
      <w:r>
        <w:rPr>
          <w:sz w:val="24"/>
        </w:rPr>
        <w:t>(U4) This water forms part of the economic production by people who depend economically</w:t>
      </w:r>
      <w:r>
        <w:rPr>
          <w:spacing w:val="-1"/>
          <w:sz w:val="24"/>
        </w:rPr>
        <w:t> </w:t>
      </w:r>
      <w:r>
        <w:rPr>
          <w:sz w:val="24"/>
        </w:rPr>
        <w:t>on such production, but whose domestic and food needs are not affected by the water shortages that might affect this production.</w:t>
      </w:r>
    </w:p>
    <w:p>
      <w:pPr>
        <w:pStyle w:val="ListParagraph"/>
        <w:numPr>
          <w:ilvl w:val="0"/>
          <w:numId w:val="7"/>
        </w:numPr>
        <w:tabs>
          <w:tab w:pos="987" w:val="left" w:leader="none"/>
        </w:tabs>
        <w:spacing w:line="472" w:lineRule="auto" w:before="15" w:after="0"/>
        <w:ind w:left="987" w:right="729" w:hanging="360"/>
        <w:jc w:val="both"/>
        <w:rPr>
          <w:sz w:val="24"/>
        </w:rPr>
      </w:pPr>
      <w:r>
        <w:rPr>
          <w:i/>
          <w:sz w:val="24"/>
        </w:rPr>
        <w:t>Environmental needs impacting on the society. </w:t>
      </w:r>
      <w:r>
        <w:rPr>
          <w:sz w:val="24"/>
        </w:rPr>
        <w:t>(U5) Due to human impact on the ecosystem, the lack of water or its scarcity results in loss of biodiversity, pollution, degradation and other negative consequences.</w:t>
      </w:r>
    </w:p>
    <w:p>
      <w:pPr>
        <w:pStyle w:val="BodyText"/>
        <w:spacing w:before="7"/>
        <w:ind w:left="267"/>
        <w:jc w:val="both"/>
      </w:pPr>
      <w:r>
        <w:rPr/>
        <w:t>They</w:t>
      </w:r>
      <w:r>
        <w:rPr>
          <w:spacing w:val="-4"/>
        </w:rPr>
        <w:t> </w:t>
      </w:r>
      <w:r>
        <w:rPr/>
        <w:t>also</w:t>
      </w:r>
      <w:r>
        <w:rPr>
          <w:spacing w:val="-1"/>
        </w:rPr>
        <w:t> </w:t>
      </w:r>
      <w:r>
        <w:rPr/>
        <w:t>highlighted</w:t>
      </w:r>
      <w:r>
        <w:rPr>
          <w:spacing w:val="-1"/>
        </w:rPr>
        <w:t> </w:t>
      </w:r>
      <w:r>
        <w:rPr/>
        <w:t>5</w:t>
      </w:r>
      <w:r>
        <w:rPr>
          <w:spacing w:val="-1"/>
        </w:rPr>
        <w:t> </w:t>
      </w:r>
      <w:r>
        <w:rPr/>
        <w:t>dimensions</w:t>
      </w:r>
      <w:r>
        <w:rPr>
          <w:spacing w:val="-1"/>
        </w:rPr>
        <w:t> </w:t>
      </w:r>
      <w:r>
        <w:rPr/>
        <w:t>of</w:t>
      </w:r>
      <w:r>
        <w:rPr>
          <w:spacing w:val="-1"/>
        </w:rPr>
        <w:t> </w:t>
      </w:r>
      <w:r>
        <w:rPr/>
        <w:t>water</w:t>
      </w:r>
      <w:r>
        <w:rPr>
          <w:spacing w:val="-2"/>
        </w:rPr>
        <w:t> scarcity:</w:t>
      </w:r>
    </w:p>
    <w:p>
      <w:pPr>
        <w:pStyle w:val="ListParagraph"/>
        <w:numPr>
          <w:ilvl w:val="0"/>
          <w:numId w:val="7"/>
        </w:numPr>
        <w:tabs>
          <w:tab w:pos="986" w:val="left" w:leader="none"/>
        </w:tabs>
        <w:spacing w:line="240" w:lineRule="auto" w:before="276" w:after="0"/>
        <w:ind w:left="986" w:right="0" w:hanging="359"/>
        <w:jc w:val="both"/>
        <w:rPr>
          <w:sz w:val="24"/>
        </w:rPr>
      </w:pPr>
      <w:r>
        <w:rPr>
          <w:i/>
          <w:sz w:val="24"/>
        </w:rPr>
        <w:t>Physical</w:t>
      </w:r>
      <w:r>
        <w:rPr>
          <w:i/>
          <w:spacing w:val="-3"/>
          <w:sz w:val="24"/>
        </w:rPr>
        <w:t> </w:t>
      </w:r>
      <w:r>
        <w:rPr>
          <w:i/>
          <w:sz w:val="24"/>
        </w:rPr>
        <w:t>scarcity. </w:t>
      </w:r>
      <w:r>
        <w:rPr>
          <w:sz w:val="24"/>
        </w:rPr>
        <w:t>(S1)</w:t>
      </w:r>
      <w:r>
        <w:rPr>
          <w:spacing w:val="-1"/>
          <w:sz w:val="24"/>
        </w:rPr>
        <w:t> </w:t>
      </w:r>
      <w:r>
        <w:rPr>
          <w:sz w:val="24"/>
        </w:rPr>
        <w:t>Occurs when</w:t>
      </w:r>
      <w:r>
        <w:rPr>
          <w:spacing w:val="-1"/>
          <w:sz w:val="24"/>
        </w:rPr>
        <w:t> </w:t>
      </w:r>
      <w:r>
        <w:rPr>
          <w:sz w:val="24"/>
        </w:rPr>
        <w:t>water</w:t>
      </w:r>
      <w:r>
        <w:rPr>
          <w:spacing w:val="-1"/>
          <w:sz w:val="24"/>
        </w:rPr>
        <w:t> </w:t>
      </w:r>
      <w:r>
        <w:rPr>
          <w:sz w:val="24"/>
        </w:rPr>
        <w:t>sources are</w:t>
      </w:r>
      <w:r>
        <w:rPr>
          <w:spacing w:val="-1"/>
          <w:sz w:val="24"/>
        </w:rPr>
        <w:t> </w:t>
      </w:r>
      <w:r>
        <w:rPr>
          <w:sz w:val="24"/>
        </w:rPr>
        <w:t>limited</w:t>
      </w:r>
      <w:r>
        <w:rPr>
          <w:spacing w:val="-1"/>
          <w:sz w:val="24"/>
        </w:rPr>
        <w:t> </w:t>
      </w:r>
      <w:r>
        <w:rPr>
          <w:sz w:val="24"/>
        </w:rPr>
        <w:t>by</w:t>
      </w:r>
      <w:r>
        <w:rPr>
          <w:spacing w:val="-5"/>
          <w:sz w:val="24"/>
        </w:rPr>
        <w:t> </w:t>
      </w:r>
      <w:r>
        <w:rPr>
          <w:spacing w:val="-2"/>
          <w:sz w:val="24"/>
        </w:rPr>
        <w:t>nature.</w:t>
      </w:r>
    </w:p>
    <w:p>
      <w:pPr>
        <w:pStyle w:val="BodyText"/>
        <w:spacing w:before="1"/>
      </w:pPr>
    </w:p>
    <w:p>
      <w:pPr>
        <w:pStyle w:val="ListParagraph"/>
        <w:numPr>
          <w:ilvl w:val="0"/>
          <w:numId w:val="7"/>
        </w:numPr>
        <w:tabs>
          <w:tab w:pos="987" w:val="left" w:leader="none"/>
        </w:tabs>
        <w:spacing w:line="463" w:lineRule="auto" w:before="0" w:after="0"/>
        <w:ind w:left="987" w:right="733" w:hanging="360"/>
        <w:jc w:val="both"/>
        <w:rPr>
          <w:sz w:val="24"/>
        </w:rPr>
      </w:pPr>
      <w:r>
        <w:rPr>
          <w:i/>
          <w:sz w:val="24"/>
        </w:rPr>
        <w:t>Economic scarcity. </w:t>
      </w:r>
      <w:r>
        <w:rPr>
          <w:sz w:val="24"/>
        </w:rPr>
        <w:t>(S2) Is the inability</w:t>
      </w:r>
      <w:r>
        <w:rPr>
          <w:spacing w:val="-1"/>
          <w:sz w:val="24"/>
        </w:rPr>
        <w:t> </w:t>
      </w:r>
      <w:r>
        <w:rPr>
          <w:sz w:val="24"/>
        </w:rPr>
        <w:t>or lack of means to provide water needs/use due to limited human or financial resources.</w:t>
      </w:r>
    </w:p>
    <w:p>
      <w:pPr>
        <w:pStyle w:val="ListParagraph"/>
        <w:numPr>
          <w:ilvl w:val="0"/>
          <w:numId w:val="7"/>
        </w:numPr>
        <w:tabs>
          <w:tab w:pos="987" w:val="left" w:leader="none"/>
        </w:tabs>
        <w:spacing w:line="463" w:lineRule="auto" w:before="21" w:after="0"/>
        <w:ind w:left="987" w:right="734" w:hanging="360"/>
        <w:jc w:val="both"/>
        <w:rPr>
          <w:sz w:val="24"/>
        </w:rPr>
      </w:pPr>
      <w:r>
        <w:rPr>
          <w:i/>
          <w:sz w:val="24"/>
        </w:rPr>
        <w:t>Managerial scarcity. </w:t>
      </w:r>
      <w:r>
        <w:rPr>
          <w:sz w:val="24"/>
        </w:rPr>
        <w:t>(S3) May occur when water systems and infrastructure suffer massive neglect or not properly maintained.</w:t>
      </w:r>
    </w:p>
    <w:p>
      <w:pPr>
        <w:spacing w:after="0" w:line="463" w:lineRule="auto"/>
        <w:jc w:val="both"/>
        <w:rPr>
          <w:sz w:val="24"/>
        </w:rPr>
        <w:sectPr>
          <w:pgSz w:w="12240" w:h="15840"/>
          <w:pgMar w:header="0" w:footer="1068" w:top="1340" w:bottom="1260" w:left="1720" w:right="680"/>
        </w:sectPr>
      </w:pPr>
    </w:p>
    <w:p>
      <w:pPr>
        <w:pStyle w:val="ListParagraph"/>
        <w:numPr>
          <w:ilvl w:val="0"/>
          <w:numId w:val="7"/>
        </w:numPr>
        <w:tabs>
          <w:tab w:pos="987" w:val="left" w:leader="none"/>
        </w:tabs>
        <w:spacing w:line="470" w:lineRule="auto" w:before="85" w:after="0"/>
        <w:ind w:left="987" w:right="732" w:hanging="360"/>
        <w:jc w:val="both"/>
        <w:rPr>
          <w:sz w:val="24"/>
        </w:rPr>
      </w:pPr>
      <w:r>
        <w:rPr>
          <w:i/>
          <w:sz w:val="24"/>
        </w:rPr>
        <w:t>Institutional scarcity. </w:t>
      </w:r>
      <w:r>
        <w:rPr>
          <w:sz w:val="24"/>
        </w:rPr>
        <w:t>(S4) Is an induced scarcity, which depicts a failure</w:t>
      </w:r>
      <w:r>
        <w:rPr>
          <w:spacing w:val="-1"/>
          <w:sz w:val="24"/>
        </w:rPr>
        <w:t> </w:t>
      </w:r>
      <w:r>
        <w:rPr>
          <w:sz w:val="24"/>
        </w:rPr>
        <w:t>on the part of a society to deal with rising supply/demand disequilibrium and the preservation the environment.</w:t>
      </w:r>
    </w:p>
    <w:p>
      <w:pPr>
        <w:pStyle w:val="ListParagraph"/>
        <w:numPr>
          <w:ilvl w:val="0"/>
          <w:numId w:val="7"/>
        </w:numPr>
        <w:tabs>
          <w:tab w:pos="987" w:val="left" w:leader="none"/>
        </w:tabs>
        <w:spacing w:line="463" w:lineRule="auto" w:before="15" w:after="0"/>
        <w:ind w:left="987" w:right="732" w:hanging="360"/>
        <w:jc w:val="both"/>
        <w:rPr>
          <w:sz w:val="24"/>
        </w:rPr>
      </w:pPr>
      <w:r>
        <w:rPr>
          <w:i/>
          <w:sz w:val="24"/>
        </w:rPr>
        <w:t>Political scarcity. </w:t>
      </w:r>
      <w:r>
        <w:rPr>
          <w:sz w:val="24"/>
        </w:rPr>
        <w:t>(S5) Occurs where people are barred from accessing an available source of water due to political discrimination/ subordination.</w:t>
      </w:r>
    </w:p>
    <w:p>
      <w:pPr>
        <w:pStyle w:val="BodyText"/>
      </w:pPr>
    </w:p>
    <w:p>
      <w:pPr>
        <w:pStyle w:val="BodyText"/>
        <w:spacing w:before="18"/>
      </w:pPr>
    </w:p>
    <w:p>
      <w:pPr>
        <w:pStyle w:val="BodyText"/>
        <w:spacing w:line="480" w:lineRule="auto" w:before="1"/>
        <w:ind w:left="267" w:right="727"/>
        <w:jc w:val="both"/>
      </w:pPr>
      <w:r>
        <w:rPr/>
        <w:t>By combing these different layers of water use (denoted by U1-U5) with the different dimensions of water scarcity (described by S1-S5), a variety of at least 25 matrix cases and scenarios</w:t>
      </w:r>
      <w:r>
        <w:rPr>
          <w:spacing w:val="-2"/>
        </w:rPr>
        <w:t> </w:t>
      </w:r>
      <w:r>
        <w:rPr/>
        <w:t>are</w:t>
      </w:r>
      <w:r>
        <w:rPr>
          <w:spacing w:val="-6"/>
        </w:rPr>
        <w:t> </w:t>
      </w:r>
      <w:r>
        <w:rPr/>
        <w:t>created.</w:t>
      </w:r>
      <w:r>
        <w:rPr>
          <w:spacing w:val="-2"/>
        </w:rPr>
        <w:t> </w:t>
      </w:r>
      <w:r>
        <w:rPr/>
        <w:t>For</w:t>
      </w:r>
      <w:r>
        <w:rPr>
          <w:spacing w:val="-3"/>
        </w:rPr>
        <w:t> </w:t>
      </w:r>
      <w:r>
        <w:rPr/>
        <w:t>instance,</w:t>
      </w:r>
      <w:r>
        <w:rPr>
          <w:spacing w:val="-2"/>
        </w:rPr>
        <w:t> </w:t>
      </w:r>
      <w:r>
        <w:rPr/>
        <w:t>U1S2</w:t>
      </w:r>
      <w:r>
        <w:rPr>
          <w:spacing w:val="-4"/>
        </w:rPr>
        <w:t> </w:t>
      </w:r>
      <w:r>
        <w:rPr/>
        <w:t>is</w:t>
      </w:r>
      <w:r>
        <w:rPr>
          <w:spacing w:val="-4"/>
        </w:rPr>
        <w:t> </w:t>
      </w:r>
      <w:r>
        <w:rPr/>
        <w:t>a</w:t>
      </w:r>
      <w:r>
        <w:rPr>
          <w:spacing w:val="-6"/>
        </w:rPr>
        <w:t> </w:t>
      </w:r>
      <w:r>
        <w:rPr/>
        <w:t>situation</w:t>
      </w:r>
      <w:r>
        <w:rPr>
          <w:spacing w:val="-5"/>
        </w:rPr>
        <w:t> </w:t>
      </w:r>
      <w:r>
        <w:rPr/>
        <w:t>where</w:t>
      </w:r>
      <w:r>
        <w:rPr>
          <w:spacing w:val="-4"/>
        </w:rPr>
        <w:t> </w:t>
      </w:r>
      <w:r>
        <w:rPr/>
        <w:t>drinking</w:t>
      </w:r>
      <w:r>
        <w:rPr>
          <w:spacing w:val="-5"/>
        </w:rPr>
        <w:t> </w:t>
      </w:r>
      <w:r>
        <w:rPr/>
        <w:t>water</w:t>
      </w:r>
      <w:r>
        <w:rPr>
          <w:spacing w:val="-6"/>
        </w:rPr>
        <w:t> </w:t>
      </w:r>
      <w:r>
        <w:rPr/>
        <w:t>is</w:t>
      </w:r>
      <w:r>
        <w:rPr>
          <w:spacing w:val="-4"/>
        </w:rPr>
        <w:t> </w:t>
      </w:r>
      <w:r>
        <w:rPr/>
        <w:t>available</w:t>
      </w:r>
      <w:r>
        <w:rPr>
          <w:spacing w:val="-6"/>
        </w:rPr>
        <w:t> </w:t>
      </w:r>
      <w:r>
        <w:rPr/>
        <w:t>but not</w:t>
      </w:r>
      <w:r>
        <w:rPr>
          <w:spacing w:val="-3"/>
        </w:rPr>
        <w:t> </w:t>
      </w:r>
      <w:r>
        <w:rPr/>
        <w:t>affordable</w:t>
      </w:r>
      <w:r>
        <w:rPr>
          <w:spacing w:val="-4"/>
        </w:rPr>
        <w:t> </w:t>
      </w:r>
      <w:r>
        <w:rPr/>
        <w:t>to</w:t>
      </w:r>
      <w:r>
        <w:rPr>
          <w:spacing w:val="-3"/>
        </w:rPr>
        <w:t> </w:t>
      </w:r>
      <w:r>
        <w:rPr/>
        <w:t>a</w:t>
      </w:r>
      <w:r>
        <w:rPr>
          <w:spacing w:val="-3"/>
        </w:rPr>
        <w:t> </w:t>
      </w:r>
      <w:r>
        <w:rPr/>
        <w:t>person,</w:t>
      </w:r>
      <w:r>
        <w:rPr>
          <w:spacing w:val="-3"/>
        </w:rPr>
        <w:t> </w:t>
      </w:r>
      <w:r>
        <w:rPr/>
        <w:t>while</w:t>
      </w:r>
      <w:r>
        <w:rPr>
          <w:spacing w:val="-3"/>
        </w:rPr>
        <w:t> </w:t>
      </w:r>
      <w:r>
        <w:rPr/>
        <w:t>U4S3</w:t>
      </w:r>
      <w:r>
        <w:rPr>
          <w:spacing w:val="-3"/>
        </w:rPr>
        <w:t> </w:t>
      </w:r>
      <w:r>
        <w:rPr/>
        <w:t>depicts</w:t>
      </w:r>
      <w:r>
        <w:rPr>
          <w:spacing w:val="-3"/>
        </w:rPr>
        <w:t> </w:t>
      </w:r>
      <w:r>
        <w:rPr/>
        <w:t>a</w:t>
      </w:r>
      <w:r>
        <w:rPr>
          <w:spacing w:val="-4"/>
        </w:rPr>
        <w:t> </w:t>
      </w:r>
      <w:r>
        <w:rPr/>
        <w:t>situation</w:t>
      </w:r>
      <w:r>
        <w:rPr>
          <w:spacing w:val="-3"/>
        </w:rPr>
        <w:t> </w:t>
      </w:r>
      <w:r>
        <w:rPr/>
        <w:t>where</w:t>
      </w:r>
      <w:r>
        <w:rPr>
          <w:spacing w:val="-5"/>
        </w:rPr>
        <w:t> </w:t>
      </w:r>
      <w:r>
        <w:rPr/>
        <w:t>irrigators</w:t>
      </w:r>
      <w:r>
        <w:rPr>
          <w:spacing w:val="-1"/>
        </w:rPr>
        <w:t> </w:t>
      </w:r>
      <w:r>
        <w:rPr/>
        <w:t>suffer</w:t>
      </w:r>
      <w:r>
        <w:rPr>
          <w:spacing w:val="-3"/>
        </w:rPr>
        <w:t> </w:t>
      </w:r>
      <w:r>
        <w:rPr/>
        <w:t>from</w:t>
      </w:r>
      <w:r>
        <w:rPr>
          <w:spacing w:val="-3"/>
        </w:rPr>
        <w:t> </w:t>
      </w:r>
      <w:r>
        <w:rPr/>
        <w:t>water shortage because upstream reservoirs were poorly maintained.</w:t>
      </w:r>
      <w:r>
        <w:rPr>
          <w:spacing w:val="80"/>
        </w:rPr>
        <w:t> </w:t>
      </w:r>
      <w:r>
        <w:rPr/>
        <w:t>Generally, water scarcity</w:t>
      </w:r>
      <w:r>
        <w:rPr>
          <w:spacing w:val="-3"/>
        </w:rPr>
        <w:t> </w:t>
      </w:r>
      <w:r>
        <w:rPr/>
        <w:t>is characterized by a continuous gap between the water needed and water available, and manifests itself in temporal forms (for example a reduction in the quantity of water earlier used</w:t>
      </w:r>
      <w:r>
        <w:rPr>
          <w:spacing w:val="-12"/>
        </w:rPr>
        <w:t> </w:t>
      </w:r>
      <w:r>
        <w:rPr/>
        <w:t>which</w:t>
      </w:r>
      <w:r>
        <w:rPr>
          <w:spacing w:val="-12"/>
        </w:rPr>
        <w:t> </w:t>
      </w:r>
      <w:r>
        <w:rPr/>
        <w:t>can</w:t>
      </w:r>
      <w:r>
        <w:rPr>
          <w:spacing w:val="-12"/>
        </w:rPr>
        <w:t> </w:t>
      </w:r>
      <w:r>
        <w:rPr/>
        <w:t>induce</w:t>
      </w:r>
      <w:r>
        <w:rPr>
          <w:spacing w:val="-13"/>
        </w:rPr>
        <w:t> </w:t>
      </w:r>
      <w:r>
        <w:rPr/>
        <w:t>adjustment</w:t>
      </w:r>
      <w:r>
        <w:rPr>
          <w:spacing w:val="-10"/>
        </w:rPr>
        <w:t> </w:t>
      </w:r>
      <w:r>
        <w:rPr/>
        <w:t>or</w:t>
      </w:r>
      <w:r>
        <w:rPr>
          <w:spacing w:val="-13"/>
        </w:rPr>
        <w:t> </w:t>
      </w:r>
      <w:r>
        <w:rPr/>
        <w:t>reduce</w:t>
      </w:r>
      <w:r>
        <w:rPr>
          <w:spacing w:val="-13"/>
        </w:rPr>
        <w:t> </w:t>
      </w:r>
      <w:r>
        <w:rPr/>
        <w:t>output</w:t>
      </w:r>
      <w:r>
        <w:rPr>
          <w:spacing w:val="-11"/>
        </w:rPr>
        <w:t> </w:t>
      </w:r>
      <w:r>
        <w:rPr/>
        <w:t>or</w:t>
      </w:r>
      <w:r>
        <w:rPr>
          <w:spacing w:val="-13"/>
        </w:rPr>
        <w:t> </w:t>
      </w:r>
      <w:r>
        <w:rPr/>
        <w:t>a</w:t>
      </w:r>
      <w:r>
        <w:rPr>
          <w:spacing w:val="-13"/>
        </w:rPr>
        <w:t> </w:t>
      </w:r>
      <w:r>
        <w:rPr/>
        <w:t>situation</w:t>
      </w:r>
      <w:r>
        <w:rPr>
          <w:spacing w:val="-12"/>
        </w:rPr>
        <w:t> </w:t>
      </w:r>
      <w:r>
        <w:rPr/>
        <w:t>where</w:t>
      </w:r>
      <w:r>
        <w:rPr>
          <w:spacing w:val="-14"/>
        </w:rPr>
        <w:t> </w:t>
      </w:r>
      <w:r>
        <w:rPr/>
        <w:t>a</w:t>
      </w:r>
      <w:r>
        <w:rPr>
          <w:spacing w:val="-13"/>
        </w:rPr>
        <w:t> </w:t>
      </w:r>
      <w:r>
        <w:rPr/>
        <w:t>user</w:t>
      </w:r>
      <w:r>
        <w:rPr>
          <w:spacing w:val="-13"/>
        </w:rPr>
        <w:t> </w:t>
      </w:r>
      <w:r>
        <w:rPr/>
        <w:t>can</w:t>
      </w:r>
      <w:r>
        <w:rPr>
          <w:spacing w:val="-12"/>
        </w:rPr>
        <w:t> </w:t>
      </w:r>
      <w:r>
        <w:rPr/>
        <w:t>potentially use more water, but the additional supply to meet this intending need is not available).</w:t>
      </w:r>
    </w:p>
    <w:p>
      <w:pPr>
        <w:pStyle w:val="BodyText"/>
        <w:spacing w:before="8"/>
      </w:pPr>
    </w:p>
    <w:p>
      <w:pPr>
        <w:pStyle w:val="Heading1"/>
        <w:numPr>
          <w:ilvl w:val="2"/>
          <w:numId w:val="6"/>
        </w:numPr>
        <w:tabs>
          <w:tab w:pos="987" w:val="left" w:leader="none"/>
        </w:tabs>
        <w:spacing w:line="240" w:lineRule="auto" w:before="0" w:after="0"/>
        <w:ind w:left="987" w:right="0" w:hanging="720"/>
        <w:jc w:val="left"/>
      </w:pPr>
      <w:r>
        <w:rPr/>
        <w:t>Water</w:t>
      </w:r>
      <w:r>
        <w:rPr>
          <w:spacing w:val="-5"/>
        </w:rPr>
        <w:t> </w:t>
      </w:r>
      <w:r>
        <w:rPr>
          <w:spacing w:val="-2"/>
        </w:rPr>
        <w:t>stress</w:t>
      </w:r>
    </w:p>
    <w:p>
      <w:pPr>
        <w:pStyle w:val="BodyText"/>
        <w:spacing w:before="15"/>
        <w:rPr>
          <w:b/>
        </w:rPr>
      </w:pPr>
    </w:p>
    <w:p>
      <w:pPr>
        <w:pStyle w:val="BodyText"/>
        <w:spacing w:line="480" w:lineRule="auto"/>
        <w:ind w:left="267" w:right="725"/>
        <w:jc w:val="both"/>
      </w:pPr>
      <w:r>
        <w:rPr/>
        <w:t>The World Water Assessment Program (WWAP, 2001), defined water stress as “the condition of insufficient water of satisfactory quality and quantity to meet human and environmental</w:t>
      </w:r>
      <w:r>
        <w:rPr>
          <w:spacing w:val="-8"/>
        </w:rPr>
        <w:t> </w:t>
      </w:r>
      <w:r>
        <w:rPr/>
        <w:t>needs”.</w:t>
      </w:r>
      <w:r>
        <w:rPr>
          <w:spacing w:val="-8"/>
        </w:rPr>
        <w:t> </w:t>
      </w:r>
      <w:r>
        <w:rPr/>
        <w:t>The</w:t>
      </w:r>
      <w:r>
        <w:rPr>
          <w:spacing w:val="-9"/>
        </w:rPr>
        <w:t> </w:t>
      </w:r>
      <w:r>
        <w:rPr/>
        <w:t>relationship</w:t>
      </w:r>
      <w:r>
        <w:rPr>
          <w:spacing w:val="-8"/>
        </w:rPr>
        <w:t> </w:t>
      </w:r>
      <w:r>
        <w:rPr/>
        <w:t>between</w:t>
      </w:r>
      <w:r>
        <w:rPr>
          <w:spacing w:val="-6"/>
        </w:rPr>
        <w:t> </w:t>
      </w:r>
      <w:r>
        <w:rPr/>
        <w:t>water</w:t>
      </w:r>
      <w:r>
        <w:rPr>
          <w:spacing w:val="-9"/>
        </w:rPr>
        <w:t> </w:t>
      </w:r>
      <w:r>
        <w:rPr/>
        <w:t>use</w:t>
      </w:r>
      <w:r>
        <w:rPr>
          <w:spacing w:val="-9"/>
        </w:rPr>
        <w:t> </w:t>
      </w:r>
      <w:r>
        <w:rPr/>
        <w:t>and</w:t>
      </w:r>
      <w:r>
        <w:rPr>
          <w:spacing w:val="-8"/>
        </w:rPr>
        <w:t> </w:t>
      </w:r>
      <w:r>
        <w:rPr/>
        <w:t>water</w:t>
      </w:r>
      <w:r>
        <w:rPr>
          <w:spacing w:val="-9"/>
        </w:rPr>
        <w:t> </w:t>
      </w:r>
      <w:r>
        <w:rPr/>
        <w:t>availability</w:t>
      </w:r>
      <w:r>
        <w:rPr>
          <w:spacing w:val="-13"/>
        </w:rPr>
        <w:t> </w:t>
      </w:r>
      <w:r>
        <w:rPr/>
        <w:t>as</w:t>
      </w:r>
      <w:r>
        <w:rPr>
          <w:spacing w:val="-8"/>
        </w:rPr>
        <w:t> </w:t>
      </w:r>
      <w:r>
        <w:rPr/>
        <w:t>noted</w:t>
      </w:r>
      <w:r>
        <w:rPr>
          <w:spacing w:val="-9"/>
        </w:rPr>
        <w:t> </w:t>
      </w:r>
      <w:r>
        <w:rPr/>
        <w:t>by Nepomiluiva (2017) is also known as water stress. Therefore, regions where water use exceeds the supply of water are most likely experiencing water stress. In addition, water stress is considered within the context of the capacity of meeting the human demand for water.</w:t>
      </w:r>
      <w:r>
        <w:rPr>
          <w:spacing w:val="-16"/>
        </w:rPr>
        <w:t> </w:t>
      </w:r>
      <w:r>
        <w:rPr/>
        <w:t>For</w:t>
      </w:r>
      <w:r>
        <w:rPr>
          <w:spacing w:val="-16"/>
        </w:rPr>
        <w:t> </w:t>
      </w:r>
      <w:r>
        <w:rPr/>
        <w:t>instance,</w:t>
      </w:r>
      <w:r>
        <w:rPr>
          <w:spacing w:val="-13"/>
        </w:rPr>
        <w:t> </w:t>
      </w:r>
      <w:r>
        <w:rPr/>
        <w:t>a</w:t>
      </w:r>
      <w:r>
        <w:rPr>
          <w:spacing w:val="-16"/>
        </w:rPr>
        <w:t> </w:t>
      </w:r>
      <w:r>
        <w:rPr/>
        <w:t>country</w:t>
      </w:r>
      <w:r>
        <w:rPr>
          <w:spacing w:val="-20"/>
        </w:rPr>
        <w:t> </w:t>
      </w:r>
      <w:r>
        <w:rPr/>
        <w:t>or</w:t>
      </w:r>
      <w:r>
        <w:rPr>
          <w:spacing w:val="-16"/>
        </w:rPr>
        <w:t> </w:t>
      </w:r>
      <w:r>
        <w:rPr/>
        <w:t>region</w:t>
      </w:r>
      <w:r>
        <w:rPr>
          <w:spacing w:val="-12"/>
        </w:rPr>
        <w:t> </w:t>
      </w:r>
      <w:r>
        <w:rPr/>
        <w:t>with</w:t>
      </w:r>
      <w:r>
        <w:rPr>
          <w:spacing w:val="-14"/>
        </w:rPr>
        <w:t> </w:t>
      </w:r>
      <w:r>
        <w:rPr/>
        <w:t>abundant</w:t>
      </w:r>
      <w:r>
        <w:rPr>
          <w:spacing w:val="-15"/>
        </w:rPr>
        <w:t> </w:t>
      </w:r>
      <w:r>
        <w:rPr/>
        <w:t>polluted</w:t>
      </w:r>
      <w:r>
        <w:rPr>
          <w:spacing w:val="-15"/>
        </w:rPr>
        <w:t> </w:t>
      </w:r>
      <w:r>
        <w:rPr/>
        <w:t>water</w:t>
      </w:r>
      <w:r>
        <w:rPr>
          <w:spacing w:val="-14"/>
        </w:rPr>
        <w:t> </w:t>
      </w:r>
      <w:r>
        <w:rPr/>
        <w:t>resource</w:t>
      </w:r>
      <w:r>
        <w:rPr>
          <w:spacing w:val="-16"/>
        </w:rPr>
        <w:t> </w:t>
      </w:r>
      <w:r>
        <w:rPr/>
        <w:t>is</w:t>
      </w:r>
      <w:r>
        <w:rPr>
          <w:spacing w:val="-14"/>
        </w:rPr>
        <w:t> </w:t>
      </w:r>
      <w:r>
        <w:rPr/>
        <w:t>not</w:t>
      </w:r>
      <w:r>
        <w:rPr>
          <w:spacing w:val="-14"/>
        </w:rPr>
        <w:t> </w:t>
      </w:r>
      <w:r>
        <w:rPr>
          <w:spacing w:val="-2"/>
        </w:rPr>
        <w:t>suffering</w:t>
      </w:r>
    </w:p>
    <w:p>
      <w:pPr>
        <w:spacing w:after="0" w:line="480" w:lineRule="auto"/>
        <w:jc w:val="both"/>
        <w:sectPr>
          <w:pgSz w:w="12240" w:h="15840"/>
          <w:pgMar w:header="0" w:footer="1068" w:top="1320" w:bottom="1260" w:left="1720" w:right="680"/>
        </w:sectPr>
      </w:pPr>
    </w:p>
    <w:p>
      <w:pPr>
        <w:pStyle w:val="BodyText"/>
        <w:spacing w:line="480" w:lineRule="auto" w:before="63"/>
        <w:ind w:left="267" w:right="729"/>
        <w:jc w:val="both"/>
      </w:pPr>
      <w:r>
        <w:rPr/>
        <w:t>water scarcity, but water stress because its large volumetric available water is grossly </w:t>
      </w:r>
      <w:r>
        <w:rPr>
          <w:spacing w:val="-2"/>
        </w:rPr>
        <w:t>underutilized.</w:t>
      </w:r>
    </w:p>
    <w:p>
      <w:pPr>
        <w:pStyle w:val="BodyText"/>
      </w:pPr>
    </w:p>
    <w:p>
      <w:pPr>
        <w:pStyle w:val="BodyText"/>
        <w:spacing w:line="480" w:lineRule="auto"/>
        <w:ind w:left="267" w:right="732"/>
        <w:jc w:val="both"/>
      </w:pPr>
      <w:r>
        <w:rPr/>
        <w:t>Though often used interchangeably, a distinction exists between water stress and water scarcity. As noted by Schulte (2014), in Figure 2.2 water scarcity apparently represents a micro part of the water stress concept. Water stress is therefore a more comprehensive definition which includes accessibility along with environmental flows, qualitative and quantitative water availability.</w:t>
      </w:r>
    </w:p>
    <w:p>
      <w:pPr>
        <w:pStyle w:val="BodyText"/>
        <w:ind w:left="660"/>
        <w:rPr>
          <w:sz w:val="20"/>
        </w:rPr>
      </w:pPr>
      <w:r>
        <w:rPr>
          <w:sz w:val="20"/>
        </w:rPr>
        <mc:AlternateContent>
          <mc:Choice Requires="wps">
            <w:drawing>
              <wp:inline distT="0" distB="0" distL="0" distR="0">
                <wp:extent cx="5123815" cy="2600325"/>
                <wp:effectExtent l="0" t="0" r="0" b="0"/>
                <wp:docPr id="13" name="Group 13"/>
                <wp:cNvGraphicFramePr>
                  <a:graphicFrameLocks/>
                </wp:cNvGraphicFramePr>
                <a:graphic>
                  <a:graphicData uri="http://schemas.microsoft.com/office/word/2010/wordprocessingGroup">
                    <wpg:wgp>
                      <wpg:cNvPr id="13" name="Group 13"/>
                      <wpg:cNvGrpSpPr/>
                      <wpg:grpSpPr>
                        <a:xfrm>
                          <a:off x="0" y="0"/>
                          <a:ext cx="5123815" cy="2600325"/>
                          <a:chExt cx="5123815" cy="2600325"/>
                        </a:xfrm>
                      </wpg:grpSpPr>
                      <pic:pic>
                        <pic:nvPicPr>
                          <pic:cNvPr id="14" name="Image 14"/>
                          <pic:cNvPicPr/>
                        </pic:nvPicPr>
                        <pic:blipFill>
                          <a:blip r:embed="rId11" cstate="print"/>
                          <a:stretch>
                            <a:fillRect/>
                          </a:stretch>
                        </pic:blipFill>
                        <pic:spPr>
                          <a:xfrm>
                            <a:off x="19811" y="496823"/>
                            <a:ext cx="5017008" cy="1572768"/>
                          </a:xfrm>
                          <a:prstGeom prst="rect">
                            <a:avLst/>
                          </a:prstGeom>
                        </pic:spPr>
                      </pic:pic>
                      <pic:pic>
                        <pic:nvPicPr>
                          <pic:cNvPr id="15" name="Image 15"/>
                          <pic:cNvPicPr/>
                        </pic:nvPicPr>
                        <pic:blipFill>
                          <a:blip r:embed="rId12" cstate="print"/>
                          <a:stretch>
                            <a:fillRect/>
                          </a:stretch>
                        </pic:blipFill>
                        <pic:spPr>
                          <a:xfrm>
                            <a:off x="9144" y="9144"/>
                            <a:ext cx="5105400" cy="2581655"/>
                          </a:xfrm>
                          <a:prstGeom prst="rect">
                            <a:avLst/>
                          </a:prstGeom>
                        </pic:spPr>
                      </pic:pic>
                      <wps:wsp>
                        <wps:cNvPr id="16" name="Graphic 16"/>
                        <wps:cNvSpPr/>
                        <wps:spPr>
                          <a:xfrm>
                            <a:off x="4572" y="4572"/>
                            <a:ext cx="5114925" cy="2590800"/>
                          </a:xfrm>
                          <a:custGeom>
                            <a:avLst/>
                            <a:gdLst/>
                            <a:ahLst/>
                            <a:cxnLst/>
                            <a:rect l="l" t="t" r="r" b="b"/>
                            <a:pathLst>
                              <a:path w="5114925" h="2590800">
                                <a:moveTo>
                                  <a:pt x="0" y="2590799"/>
                                </a:moveTo>
                                <a:lnTo>
                                  <a:pt x="5114544" y="2590799"/>
                                </a:lnTo>
                                <a:lnTo>
                                  <a:pt x="5114544" y="0"/>
                                </a:lnTo>
                                <a:lnTo>
                                  <a:pt x="0" y="0"/>
                                </a:lnTo>
                                <a:lnTo>
                                  <a:pt x="0" y="259079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03.45pt;height:204.75pt;mso-position-horizontal-relative:char;mso-position-vertical-relative:line" id="docshapegroup13" coordorigin="0,0" coordsize="8069,4095">
                <v:shape style="position:absolute;left:31;top:782;width:7901;height:2477" type="#_x0000_t75" id="docshape14" stroked="false">
                  <v:imagedata r:id="rId11" o:title=""/>
                </v:shape>
                <v:shape style="position:absolute;left:14;top:14;width:8040;height:4066" type="#_x0000_t75" id="docshape15" stroked="false">
                  <v:imagedata r:id="rId12" o:title=""/>
                </v:shape>
                <v:rect style="position:absolute;left:7;top:7;width:8055;height:4080" id="docshape16" filled="false" stroked="true" strokeweight=".72pt" strokecolor="#000000">
                  <v:stroke dashstyle="solid"/>
                </v:rect>
              </v:group>
            </w:pict>
          </mc:Fallback>
        </mc:AlternateContent>
      </w:r>
      <w:r>
        <w:rPr>
          <w:sz w:val="20"/>
        </w:rPr>
      </w:r>
    </w:p>
    <w:p>
      <w:pPr>
        <w:pStyle w:val="BodyText"/>
        <w:ind w:left="3582" w:right="1909" w:hanging="1698"/>
      </w:pPr>
      <w:r>
        <w:rPr/>
        <w:t>Figure</w:t>
      </w:r>
      <w:r>
        <w:rPr>
          <w:spacing w:val="-6"/>
        </w:rPr>
        <w:t> </w:t>
      </w:r>
      <w:r>
        <w:rPr/>
        <w:t>2.2:</w:t>
      </w:r>
      <w:r>
        <w:rPr>
          <w:spacing w:val="-4"/>
        </w:rPr>
        <w:t> </w:t>
      </w:r>
      <w:r>
        <w:rPr/>
        <w:t>Water</w:t>
      </w:r>
      <w:r>
        <w:rPr>
          <w:spacing w:val="-6"/>
        </w:rPr>
        <w:t> </w:t>
      </w:r>
      <w:r>
        <w:rPr/>
        <w:t>Scarcity</w:t>
      </w:r>
      <w:r>
        <w:rPr>
          <w:spacing w:val="-7"/>
        </w:rPr>
        <w:t> </w:t>
      </w:r>
      <w:r>
        <w:rPr/>
        <w:t>as</w:t>
      </w:r>
      <w:r>
        <w:rPr>
          <w:spacing w:val="-2"/>
        </w:rPr>
        <w:t> </w:t>
      </w:r>
      <w:r>
        <w:rPr/>
        <w:t>a</w:t>
      </w:r>
      <w:r>
        <w:rPr>
          <w:spacing w:val="-3"/>
        </w:rPr>
        <w:t> </w:t>
      </w:r>
      <w:r>
        <w:rPr/>
        <w:t>Micro</w:t>
      </w:r>
      <w:r>
        <w:rPr>
          <w:spacing w:val="-4"/>
        </w:rPr>
        <w:t> </w:t>
      </w:r>
      <w:r>
        <w:rPr/>
        <w:t>Part</w:t>
      </w:r>
      <w:r>
        <w:rPr>
          <w:spacing w:val="-4"/>
        </w:rPr>
        <w:t> </w:t>
      </w:r>
      <w:r>
        <w:rPr/>
        <w:t>of</w:t>
      </w:r>
      <w:r>
        <w:rPr>
          <w:spacing w:val="-4"/>
        </w:rPr>
        <w:t> </w:t>
      </w:r>
      <w:r>
        <w:rPr/>
        <w:t>Water</w:t>
      </w:r>
      <w:r>
        <w:rPr>
          <w:spacing w:val="-6"/>
        </w:rPr>
        <w:t> </w:t>
      </w:r>
      <w:r>
        <w:rPr/>
        <w:t>Stress Source: Schulte (2014)</w:t>
      </w:r>
    </w:p>
    <w:p>
      <w:pPr>
        <w:pStyle w:val="Heading1"/>
        <w:numPr>
          <w:ilvl w:val="2"/>
          <w:numId w:val="6"/>
        </w:numPr>
        <w:tabs>
          <w:tab w:pos="987" w:val="left" w:leader="none"/>
        </w:tabs>
        <w:spacing w:line="240" w:lineRule="auto" w:before="261" w:after="0"/>
        <w:ind w:left="987" w:right="0" w:hanging="720"/>
        <w:jc w:val="left"/>
      </w:pPr>
      <w:r>
        <w:rPr/>
        <w:t>Water</w:t>
      </w:r>
      <w:r>
        <w:rPr>
          <w:spacing w:val="-3"/>
        </w:rPr>
        <w:t> </w:t>
      </w:r>
      <w:r>
        <w:rPr>
          <w:spacing w:val="-2"/>
        </w:rPr>
        <w:t>poverty</w:t>
      </w:r>
    </w:p>
    <w:p>
      <w:pPr>
        <w:pStyle w:val="BodyText"/>
        <w:spacing w:before="14"/>
        <w:rPr>
          <w:b/>
        </w:rPr>
      </w:pPr>
    </w:p>
    <w:p>
      <w:pPr>
        <w:pStyle w:val="BodyText"/>
        <w:spacing w:line="480" w:lineRule="auto"/>
        <w:ind w:left="267" w:right="726"/>
        <w:jc w:val="both"/>
      </w:pPr>
      <w:r>
        <w:rPr/>
        <w:t>Water poverty is a much broader term which encompassed both water scarcity and water stress,</w:t>
      </w:r>
      <w:r>
        <w:rPr>
          <w:spacing w:val="-5"/>
        </w:rPr>
        <w:t> </w:t>
      </w:r>
      <w:r>
        <w:rPr/>
        <w:t>together</w:t>
      </w:r>
      <w:r>
        <w:rPr>
          <w:spacing w:val="-7"/>
        </w:rPr>
        <w:t> </w:t>
      </w:r>
      <w:r>
        <w:rPr/>
        <w:t>with</w:t>
      </w:r>
      <w:r>
        <w:rPr>
          <w:spacing w:val="-5"/>
        </w:rPr>
        <w:t> </w:t>
      </w:r>
      <w:r>
        <w:rPr/>
        <w:t>affordability.</w:t>
      </w:r>
      <w:r>
        <w:rPr>
          <w:spacing w:val="-6"/>
        </w:rPr>
        <w:t> </w:t>
      </w:r>
      <w:r>
        <w:rPr/>
        <w:t>For</w:t>
      </w:r>
      <w:r>
        <w:rPr>
          <w:spacing w:val="-3"/>
        </w:rPr>
        <w:t> </w:t>
      </w:r>
      <w:r>
        <w:rPr/>
        <w:t>example,</w:t>
      </w:r>
      <w:r>
        <w:rPr>
          <w:spacing w:val="-6"/>
        </w:rPr>
        <w:t> </w:t>
      </w:r>
      <w:r>
        <w:rPr/>
        <w:t>it</w:t>
      </w:r>
      <w:r>
        <w:rPr>
          <w:spacing w:val="-8"/>
        </w:rPr>
        <w:t> </w:t>
      </w:r>
      <w:r>
        <w:rPr/>
        <w:t>has</w:t>
      </w:r>
      <w:r>
        <w:rPr>
          <w:spacing w:val="-6"/>
        </w:rPr>
        <w:t> </w:t>
      </w:r>
      <w:r>
        <w:rPr/>
        <w:t>been</w:t>
      </w:r>
      <w:r>
        <w:rPr>
          <w:spacing w:val="-6"/>
        </w:rPr>
        <w:t> </w:t>
      </w:r>
      <w:r>
        <w:rPr/>
        <w:t>theorized</w:t>
      </w:r>
      <w:r>
        <w:rPr>
          <w:spacing w:val="-6"/>
        </w:rPr>
        <w:t> </w:t>
      </w:r>
      <w:r>
        <w:rPr/>
        <w:t>by</w:t>
      </w:r>
      <w:r>
        <w:rPr>
          <w:spacing w:val="-11"/>
        </w:rPr>
        <w:t> </w:t>
      </w:r>
      <w:r>
        <w:rPr/>
        <w:t>Turton</w:t>
      </w:r>
      <w:r>
        <w:rPr>
          <w:spacing w:val="-6"/>
        </w:rPr>
        <w:t> </w:t>
      </w:r>
      <w:r>
        <w:rPr/>
        <w:t>and</w:t>
      </w:r>
      <w:r>
        <w:rPr>
          <w:spacing w:val="-6"/>
        </w:rPr>
        <w:t> </w:t>
      </w:r>
      <w:r>
        <w:rPr/>
        <w:t>Ohlsson (1999)</w:t>
      </w:r>
      <w:r>
        <w:rPr>
          <w:spacing w:val="-7"/>
        </w:rPr>
        <w:t> </w:t>
      </w:r>
      <w:r>
        <w:rPr/>
        <w:t>that</w:t>
      </w:r>
      <w:r>
        <w:rPr>
          <w:spacing w:val="-6"/>
        </w:rPr>
        <w:t> </w:t>
      </w:r>
      <w:r>
        <w:rPr/>
        <w:t>a</w:t>
      </w:r>
      <w:r>
        <w:rPr>
          <w:spacing w:val="-5"/>
        </w:rPr>
        <w:t> </w:t>
      </w:r>
      <w:r>
        <w:rPr/>
        <w:t>social</w:t>
      </w:r>
      <w:r>
        <w:rPr>
          <w:spacing w:val="-4"/>
        </w:rPr>
        <w:t> </w:t>
      </w:r>
      <w:r>
        <w:rPr/>
        <w:t>entity</w:t>
      </w:r>
      <w:r>
        <w:rPr>
          <w:spacing w:val="-9"/>
        </w:rPr>
        <w:t> </w:t>
      </w:r>
      <w:r>
        <w:rPr/>
        <w:t>is</w:t>
      </w:r>
      <w:r>
        <w:rPr>
          <w:spacing w:val="-6"/>
        </w:rPr>
        <w:t> </w:t>
      </w:r>
      <w:r>
        <w:rPr/>
        <w:t>in</w:t>
      </w:r>
      <w:r>
        <w:rPr>
          <w:spacing w:val="-6"/>
        </w:rPr>
        <w:t> </w:t>
      </w:r>
      <w:r>
        <w:rPr/>
        <w:t>a</w:t>
      </w:r>
      <w:r>
        <w:rPr>
          <w:spacing w:val="-7"/>
        </w:rPr>
        <w:t> </w:t>
      </w:r>
      <w:r>
        <w:rPr/>
        <w:t>condition</w:t>
      </w:r>
      <w:r>
        <w:rPr>
          <w:spacing w:val="-6"/>
        </w:rPr>
        <w:t> </w:t>
      </w:r>
      <w:r>
        <w:rPr/>
        <w:t>of</w:t>
      </w:r>
      <w:r>
        <w:rPr>
          <w:spacing w:val="-5"/>
        </w:rPr>
        <w:t> </w:t>
      </w:r>
      <w:r>
        <w:rPr/>
        <w:t>water</w:t>
      </w:r>
      <w:r>
        <w:rPr>
          <w:spacing w:val="-5"/>
        </w:rPr>
        <w:t> </w:t>
      </w:r>
      <w:r>
        <w:rPr/>
        <w:t>poverty</w:t>
      </w:r>
      <w:r>
        <w:rPr>
          <w:spacing w:val="-11"/>
        </w:rPr>
        <w:t> </w:t>
      </w:r>
      <w:r>
        <w:rPr/>
        <w:t>if</w:t>
      </w:r>
      <w:r>
        <w:rPr>
          <w:spacing w:val="-7"/>
        </w:rPr>
        <w:t> </w:t>
      </w:r>
      <w:r>
        <w:rPr/>
        <w:t>it</w:t>
      </w:r>
      <w:r>
        <w:rPr>
          <w:spacing w:val="-6"/>
        </w:rPr>
        <w:t> </w:t>
      </w:r>
      <w:r>
        <w:rPr/>
        <w:t>is</w:t>
      </w:r>
      <w:r>
        <w:rPr>
          <w:spacing w:val="-3"/>
        </w:rPr>
        <w:t> </w:t>
      </w:r>
      <w:r>
        <w:rPr/>
        <w:t>confronted</w:t>
      </w:r>
      <w:r>
        <w:rPr>
          <w:spacing w:val="-6"/>
        </w:rPr>
        <w:t> </w:t>
      </w:r>
      <w:r>
        <w:rPr/>
        <w:t>by</w:t>
      </w:r>
      <w:r>
        <w:rPr>
          <w:spacing w:val="-9"/>
        </w:rPr>
        <w:t> </w:t>
      </w:r>
      <w:r>
        <w:rPr/>
        <w:t>a</w:t>
      </w:r>
      <w:r>
        <w:rPr>
          <w:spacing w:val="-7"/>
        </w:rPr>
        <w:t> </w:t>
      </w:r>
      <w:r>
        <w:rPr/>
        <w:t>prevailing condition of water scarcity, alongside low level of adaptive capacity. In other words, water poverty is the concurrent existence of both natural resource scarcity and a social resource scarcity.</w:t>
      </w:r>
      <w:r>
        <w:rPr>
          <w:spacing w:val="15"/>
        </w:rPr>
        <w:t> </w:t>
      </w:r>
      <w:r>
        <w:rPr/>
        <w:t>As</w:t>
      </w:r>
      <w:r>
        <w:rPr>
          <w:spacing w:val="16"/>
        </w:rPr>
        <w:t> </w:t>
      </w:r>
      <w:r>
        <w:rPr/>
        <w:t>aptly</w:t>
      </w:r>
      <w:r>
        <w:rPr>
          <w:spacing w:val="13"/>
        </w:rPr>
        <w:t> </w:t>
      </w:r>
      <w:r>
        <w:rPr/>
        <w:t>noted</w:t>
      </w:r>
      <w:r>
        <w:rPr>
          <w:spacing w:val="18"/>
        </w:rPr>
        <w:t> </w:t>
      </w:r>
      <w:r>
        <w:rPr/>
        <w:t>by</w:t>
      </w:r>
      <w:r>
        <w:rPr>
          <w:spacing w:val="15"/>
        </w:rPr>
        <w:t> </w:t>
      </w:r>
      <w:r>
        <w:rPr/>
        <w:t>Lawrence</w:t>
      </w:r>
      <w:r>
        <w:rPr>
          <w:spacing w:val="21"/>
        </w:rPr>
        <w:t> </w:t>
      </w:r>
      <w:r>
        <w:rPr>
          <w:i/>
        </w:rPr>
        <w:t>et</w:t>
      </w:r>
      <w:r>
        <w:rPr>
          <w:i/>
          <w:spacing w:val="17"/>
        </w:rPr>
        <w:t> </w:t>
      </w:r>
      <w:r>
        <w:rPr>
          <w:i/>
        </w:rPr>
        <w:t>al.</w:t>
      </w:r>
      <w:r>
        <w:rPr>
          <w:i/>
          <w:spacing w:val="16"/>
        </w:rPr>
        <w:t> </w:t>
      </w:r>
      <w:r>
        <w:rPr/>
        <w:t>(2002)</w:t>
      </w:r>
      <w:r>
        <w:rPr>
          <w:spacing w:val="15"/>
        </w:rPr>
        <w:t> </w:t>
      </w:r>
      <w:r>
        <w:rPr/>
        <w:t>people,</w:t>
      </w:r>
      <w:r>
        <w:rPr>
          <w:spacing w:val="17"/>
        </w:rPr>
        <w:t> </w:t>
      </w:r>
      <w:r>
        <w:rPr/>
        <w:t>regions</w:t>
      </w:r>
      <w:r>
        <w:rPr>
          <w:spacing w:val="17"/>
        </w:rPr>
        <w:t> </w:t>
      </w:r>
      <w:r>
        <w:rPr/>
        <w:t>or</w:t>
      </w:r>
      <w:r>
        <w:rPr>
          <w:spacing w:val="17"/>
        </w:rPr>
        <w:t> </w:t>
      </w:r>
      <w:r>
        <w:rPr/>
        <w:t>countries</w:t>
      </w:r>
      <w:r>
        <w:rPr>
          <w:spacing w:val="16"/>
        </w:rPr>
        <w:t> </w:t>
      </w:r>
      <w:r>
        <w:rPr/>
        <w:t>are</w:t>
      </w:r>
      <w:r>
        <w:rPr>
          <w:spacing w:val="18"/>
        </w:rPr>
        <w:t> </w:t>
      </w:r>
      <w:r>
        <w:rPr>
          <w:spacing w:val="-2"/>
        </w:rPr>
        <w:t>“water</w:t>
      </w:r>
    </w:p>
    <w:p>
      <w:pPr>
        <w:spacing w:after="0" w:line="480" w:lineRule="auto"/>
        <w:jc w:val="both"/>
        <w:sectPr>
          <w:pgSz w:w="12240" w:h="15840"/>
          <w:pgMar w:header="0" w:footer="1068" w:top="1340" w:bottom="1260" w:left="1720" w:right="680"/>
        </w:sectPr>
      </w:pPr>
    </w:p>
    <w:p>
      <w:pPr>
        <w:pStyle w:val="BodyText"/>
        <w:spacing w:line="480" w:lineRule="auto" w:before="63"/>
        <w:ind w:left="267" w:right="733"/>
        <w:jc w:val="both"/>
      </w:pPr>
      <w:r>
        <w:rPr/>
        <w:t>poor” due to either two principal reasons: (1) they have no sufficient water for their basic human needs since it is not available and (2) they are income poor, and although water is available,</w:t>
      </w:r>
      <w:r>
        <w:rPr>
          <w:spacing w:val="-15"/>
        </w:rPr>
        <w:t> </w:t>
      </w:r>
      <w:r>
        <w:rPr/>
        <w:t>it</w:t>
      </w:r>
      <w:r>
        <w:rPr>
          <w:spacing w:val="-15"/>
        </w:rPr>
        <w:t> </w:t>
      </w:r>
      <w:r>
        <w:rPr/>
        <w:t>is</w:t>
      </w:r>
      <w:r>
        <w:rPr>
          <w:spacing w:val="-15"/>
        </w:rPr>
        <w:t> </w:t>
      </w:r>
      <w:r>
        <w:rPr/>
        <w:t>unaffordable.</w:t>
      </w:r>
      <w:r>
        <w:rPr>
          <w:spacing w:val="19"/>
        </w:rPr>
        <w:t> </w:t>
      </w:r>
      <w:r>
        <w:rPr/>
        <w:t>The</w:t>
      </w:r>
      <w:r>
        <w:rPr>
          <w:spacing w:val="-15"/>
        </w:rPr>
        <w:t> </w:t>
      </w:r>
      <w:r>
        <w:rPr/>
        <w:t>phenomenon</w:t>
      </w:r>
      <w:r>
        <w:rPr>
          <w:spacing w:val="-15"/>
        </w:rPr>
        <w:t> </w:t>
      </w:r>
      <w:r>
        <w:rPr/>
        <w:t>of</w:t>
      </w:r>
      <w:r>
        <w:rPr>
          <w:spacing w:val="-13"/>
        </w:rPr>
        <w:t> </w:t>
      </w:r>
      <w:r>
        <w:rPr/>
        <w:t>water</w:t>
      </w:r>
      <w:r>
        <w:rPr>
          <w:spacing w:val="-15"/>
        </w:rPr>
        <w:t> </w:t>
      </w:r>
      <w:r>
        <w:rPr/>
        <w:t>poverty</w:t>
      </w:r>
      <w:r>
        <w:rPr>
          <w:spacing w:val="-15"/>
        </w:rPr>
        <w:t> </w:t>
      </w:r>
      <w:r>
        <w:rPr/>
        <w:t>therefore</w:t>
      </w:r>
      <w:r>
        <w:rPr>
          <w:spacing w:val="-15"/>
        </w:rPr>
        <w:t> </w:t>
      </w:r>
      <w:r>
        <w:rPr/>
        <w:t>exists</w:t>
      </w:r>
      <w:r>
        <w:rPr>
          <w:spacing w:val="-15"/>
        </w:rPr>
        <w:t> </w:t>
      </w:r>
      <w:r>
        <w:rPr/>
        <w:t>where</w:t>
      </w:r>
      <w:r>
        <w:rPr>
          <w:spacing w:val="-15"/>
        </w:rPr>
        <w:t> </w:t>
      </w:r>
      <w:r>
        <w:rPr/>
        <w:t>people are confronted with water scarcity and lack the adaptive capacity and means to afford the cost of sustainable clean water (Feitelson and Chenoweth, 2002, Fenwick, 2010).</w:t>
      </w:r>
    </w:p>
    <w:p>
      <w:pPr>
        <w:pStyle w:val="BodyText"/>
        <w:spacing w:before="5"/>
      </w:pPr>
    </w:p>
    <w:p>
      <w:pPr>
        <w:pStyle w:val="Heading1"/>
        <w:numPr>
          <w:ilvl w:val="2"/>
          <w:numId w:val="6"/>
        </w:numPr>
        <w:tabs>
          <w:tab w:pos="927" w:val="left" w:leader="none"/>
        </w:tabs>
        <w:spacing w:line="240" w:lineRule="auto" w:before="0" w:after="0"/>
        <w:ind w:left="927" w:right="0" w:hanging="660"/>
        <w:jc w:val="both"/>
      </w:pPr>
      <w:r>
        <w:rPr>
          <w:spacing w:val="-2"/>
        </w:rPr>
        <w:t>Poverty</w:t>
      </w:r>
    </w:p>
    <w:p>
      <w:pPr>
        <w:pStyle w:val="BodyText"/>
        <w:spacing w:line="480" w:lineRule="auto" w:before="272"/>
        <w:ind w:left="267" w:right="729"/>
        <w:jc w:val="both"/>
      </w:pPr>
      <w:r>
        <w:rPr/>
        <w:t>The main increase of the occurrences of poverty has made the issues of poverty a vital one, and this has several meanings to several people or group of people and every sector of life has its perception about poverty. For instance, the political scientists see poverty as lack of empowerment on the part of masses, the economists view it in relation to income while on the other hand the urban geographers and sociologists explain it as lack of social infrastructures and opportunities in the society (Oni and Fashogbon, 2013). Poverty is therefore, referred to a global phenomenon that constitutes social, economic, political and cultural</w:t>
      </w:r>
      <w:r>
        <w:rPr>
          <w:spacing w:val="-4"/>
        </w:rPr>
        <w:t> </w:t>
      </w:r>
      <w:r>
        <w:rPr/>
        <w:t>deprivations</w:t>
      </w:r>
      <w:r>
        <w:rPr>
          <w:spacing w:val="-5"/>
        </w:rPr>
        <w:t> </w:t>
      </w:r>
      <w:r>
        <w:rPr/>
        <w:t>faced</w:t>
      </w:r>
      <w:r>
        <w:rPr>
          <w:spacing w:val="-5"/>
        </w:rPr>
        <w:t> </w:t>
      </w:r>
      <w:r>
        <w:rPr/>
        <w:t>by</w:t>
      </w:r>
      <w:r>
        <w:rPr>
          <w:spacing w:val="-7"/>
        </w:rPr>
        <w:t> </w:t>
      </w:r>
      <w:r>
        <w:rPr/>
        <w:t>a</w:t>
      </w:r>
      <w:r>
        <w:rPr>
          <w:spacing w:val="-6"/>
        </w:rPr>
        <w:t> </w:t>
      </w:r>
      <w:r>
        <w:rPr/>
        <w:t>person,</w:t>
      </w:r>
      <w:r>
        <w:rPr>
          <w:spacing w:val="-5"/>
        </w:rPr>
        <w:t> </w:t>
      </w:r>
      <w:r>
        <w:rPr/>
        <w:t>household,</w:t>
      </w:r>
      <w:r>
        <w:rPr>
          <w:spacing w:val="-4"/>
        </w:rPr>
        <w:t> </w:t>
      </w:r>
      <w:r>
        <w:rPr/>
        <w:t>community</w:t>
      </w:r>
      <w:r>
        <w:rPr>
          <w:spacing w:val="-10"/>
        </w:rPr>
        <w:t> </w:t>
      </w:r>
      <w:r>
        <w:rPr/>
        <w:t>and</w:t>
      </w:r>
      <w:r>
        <w:rPr>
          <w:spacing w:val="-5"/>
        </w:rPr>
        <w:t> </w:t>
      </w:r>
      <w:r>
        <w:rPr/>
        <w:t>nation</w:t>
      </w:r>
      <w:r>
        <w:rPr>
          <w:spacing w:val="-5"/>
        </w:rPr>
        <w:t> </w:t>
      </w:r>
      <w:r>
        <w:rPr/>
        <w:t>at</w:t>
      </w:r>
      <w:r>
        <w:rPr>
          <w:spacing w:val="-4"/>
        </w:rPr>
        <w:t> </w:t>
      </w:r>
      <w:r>
        <w:rPr/>
        <w:t>any</w:t>
      </w:r>
      <w:r>
        <w:rPr>
          <w:spacing w:val="-10"/>
        </w:rPr>
        <w:t> </w:t>
      </w:r>
      <w:r>
        <w:rPr/>
        <w:t>time. Also, Ogwumike (1991) and World bank (2001) defined poverty as a condition of low income or insufficient</w:t>
      </w:r>
      <w:r>
        <w:rPr>
          <w:spacing w:val="-1"/>
        </w:rPr>
        <w:t> </w:t>
      </w:r>
      <w:r>
        <w:rPr/>
        <w:t>income</w:t>
      </w:r>
      <w:r>
        <w:rPr>
          <w:spacing w:val="-2"/>
        </w:rPr>
        <w:t> </w:t>
      </w:r>
      <w:r>
        <w:rPr/>
        <w:t>to</w:t>
      </w:r>
      <w:r>
        <w:rPr>
          <w:spacing w:val="-1"/>
        </w:rPr>
        <w:t> </w:t>
      </w:r>
      <w:r>
        <w:rPr/>
        <w:t>meet</w:t>
      </w:r>
      <w:r>
        <w:rPr>
          <w:spacing w:val="-1"/>
        </w:rPr>
        <w:t> </w:t>
      </w:r>
      <w:r>
        <w:rPr/>
        <w:t>the</w:t>
      </w:r>
      <w:r>
        <w:rPr>
          <w:spacing w:val="-2"/>
        </w:rPr>
        <w:t> </w:t>
      </w:r>
      <w:r>
        <w:rPr/>
        <w:t>basic</w:t>
      </w:r>
      <w:r>
        <w:rPr>
          <w:spacing w:val="-2"/>
        </w:rPr>
        <w:t> </w:t>
      </w:r>
      <w:r>
        <w:rPr/>
        <w:t>needs</w:t>
      </w:r>
      <w:r>
        <w:rPr>
          <w:spacing w:val="-1"/>
        </w:rPr>
        <w:t> </w:t>
      </w:r>
      <w:r>
        <w:rPr/>
        <w:t>of</w:t>
      </w:r>
      <w:r>
        <w:rPr>
          <w:spacing w:val="-2"/>
        </w:rPr>
        <w:t> </w:t>
      </w:r>
      <w:r>
        <w:rPr/>
        <w:t>life</w:t>
      </w:r>
      <w:r>
        <w:rPr>
          <w:spacing w:val="-1"/>
        </w:rPr>
        <w:t> </w:t>
      </w:r>
      <w:r>
        <w:rPr/>
        <w:t>such</w:t>
      </w:r>
      <w:r>
        <w:rPr>
          <w:spacing w:val="-1"/>
        </w:rPr>
        <w:t> </w:t>
      </w:r>
      <w:r>
        <w:rPr/>
        <w:t>needs</w:t>
      </w:r>
      <w:r>
        <w:rPr>
          <w:spacing w:val="-1"/>
        </w:rPr>
        <w:t> </w:t>
      </w:r>
      <w:r>
        <w:rPr/>
        <w:t>can</w:t>
      </w:r>
      <w:r>
        <w:rPr>
          <w:spacing w:val="-1"/>
        </w:rPr>
        <w:t> </w:t>
      </w:r>
      <w:r>
        <w:rPr/>
        <w:t>be</w:t>
      </w:r>
      <w:r>
        <w:rPr>
          <w:spacing w:val="-2"/>
        </w:rPr>
        <w:t> </w:t>
      </w:r>
      <w:r>
        <w:rPr/>
        <w:t>categorized</w:t>
      </w:r>
      <w:r>
        <w:rPr>
          <w:spacing w:val="-1"/>
        </w:rPr>
        <w:t> </w:t>
      </w:r>
      <w:r>
        <w:rPr/>
        <w:t>as</w:t>
      </w:r>
      <w:r>
        <w:rPr>
          <w:spacing w:val="-1"/>
        </w:rPr>
        <w:t> </w:t>
      </w:r>
      <w:r>
        <w:rPr/>
        <w:t>primary (food,</w:t>
      </w:r>
      <w:r>
        <w:rPr>
          <w:spacing w:val="-5"/>
        </w:rPr>
        <w:t> </w:t>
      </w:r>
      <w:r>
        <w:rPr/>
        <w:t>water,</w:t>
      </w:r>
      <w:r>
        <w:rPr>
          <w:spacing w:val="-5"/>
        </w:rPr>
        <w:t> </w:t>
      </w:r>
      <w:r>
        <w:rPr/>
        <w:t>shelter</w:t>
      </w:r>
      <w:r>
        <w:rPr>
          <w:spacing w:val="-5"/>
        </w:rPr>
        <w:t> </w:t>
      </w:r>
      <w:r>
        <w:rPr/>
        <w:t>and</w:t>
      </w:r>
      <w:r>
        <w:rPr>
          <w:spacing w:val="-5"/>
        </w:rPr>
        <w:t> </w:t>
      </w:r>
      <w:r>
        <w:rPr/>
        <w:t>housing)</w:t>
      </w:r>
      <w:r>
        <w:rPr>
          <w:spacing w:val="-5"/>
        </w:rPr>
        <w:t> </w:t>
      </w:r>
      <w:r>
        <w:rPr/>
        <w:t>and</w:t>
      </w:r>
      <w:r>
        <w:rPr>
          <w:spacing w:val="-5"/>
        </w:rPr>
        <w:t> </w:t>
      </w:r>
      <w:r>
        <w:rPr/>
        <w:t>secondary</w:t>
      </w:r>
      <w:r>
        <w:rPr>
          <w:spacing w:val="-10"/>
        </w:rPr>
        <w:t> </w:t>
      </w:r>
      <w:r>
        <w:rPr/>
        <w:t>(health,</w:t>
      </w:r>
      <w:r>
        <w:rPr>
          <w:spacing w:val="-5"/>
        </w:rPr>
        <w:t> </w:t>
      </w:r>
      <w:r>
        <w:rPr/>
        <w:t>education,</w:t>
      </w:r>
      <w:r>
        <w:rPr>
          <w:spacing w:val="-3"/>
        </w:rPr>
        <w:t> </w:t>
      </w:r>
      <w:r>
        <w:rPr/>
        <w:t>transportation,</w:t>
      </w:r>
      <w:r>
        <w:rPr>
          <w:spacing w:val="-4"/>
        </w:rPr>
        <w:t> </w:t>
      </w:r>
      <w:r>
        <w:rPr/>
        <w:t>security, liberty, religion, employment and freedom of expression) needs.</w:t>
      </w:r>
    </w:p>
    <w:p>
      <w:pPr>
        <w:pStyle w:val="BodyText"/>
        <w:spacing w:before="9"/>
      </w:pPr>
    </w:p>
    <w:p>
      <w:pPr>
        <w:pStyle w:val="Heading1"/>
        <w:numPr>
          <w:ilvl w:val="1"/>
          <w:numId w:val="6"/>
        </w:numPr>
        <w:tabs>
          <w:tab w:pos="746" w:val="left" w:leader="none"/>
        </w:tabs>
        <w:spacing w:line="240" w:lineRule="auto" w:before="0" w:after="0"/>
        <w:ind w:left="746" w:right="0" w:hanging="479"/>
        <w:jc w:val="both"/>
      </w:pPr>
      <w:r>
        <w:rPr/>
        <w:t>The</w:t>
      </w:r>
      <w:r>
        <w:rPr>
          <w:spacing w:val="-3"/>
        </w:rPr>
        <w:t> </w:t>
      </w:r>
      <w:r>
        <w:rPr/>
        <w:t>Dimension of</w:t>
      </w:r>
      <w:r>
        <w:rPr>
          <w:spacing w:val="-1"/>
        </w:rPr>
        <w:t> </w:t>
      </w:r>
      <w:r>
        <w:rPr/>
        <w:t>Global</w:t>
      </w:r>
      <w:r>
        <w:rPr>
          <w:spacing w:val="-1"/>
        </w:rPr>
        <w:t> </w:t>
      </w:r>
      <w:r>
        <w:rPr/>
        <w:t>Water</w:t>
      </w:r>
      <w:r>
        <w:rPr>
          <w:spacing w:val="-3"/>
        </w:rPr>
        <w:t> </w:t>
      </w:r>
      <w:r>
        <w:rPr/>
        <w:t>Scarcity </w:t>
      </w:r>
      <w:r>
        <w:rPr>
          <w:spacing w:val="-2"/>
        </w:rPr>
        <w:t>Problem</w:t>
      </w:r>
    </w:p>
    <w:p>
      <w:pPr>
        <w:pStyle w:val="BodyText"/>
        <w:spacing w:line="550" w:lineRule="atLeast" w:before="16"/>
        <w:ind w:left="267" w:right="727"/>
        <w:jc w:val="both"/>
      </w:pPr>
      <w:r>
        <w:rPr/>
        <w:t>Water scarcity</w:t>
      </w:r>
      <w:r>
        <w:rPr>
          <w:spacing w:val="-4"/>
        </w:rPr>
        <w:t> </w:t>
      </w:r>
      <w:r>
        <w:rPr/>
        <w:t>is a lingering global phenomenon. As evident in the Figure 2.3, while global water availability remained near constant within the last century, human population had increased in connection to water use and withdrawals which spiraled from 500 cubic kilometer</w:t>
      </w:r>
      <w:r>
        <w:rPr>
          <w:spacing w:val="13"/>
        </w:rPr>
        <w:t> </w:t>
      </w:r>
      <w:r>
        <w:rPr/>
        <w:t>in</w:t>
      </w:r>
      <w:r>
        <w:rPr>
          <w:spacing w:val="18"/>
        </w:rPr>
        <w:t> </w:t>
      </w:r>
      <w:r>
        <w:rPr/>
        <w:t>year</w:t>
      </w:r>
      <w:r>
        <w:rPr>
          <w:spacing w:val="19"/>
        </w:rPr>
        <w:t> </w:t>
      </w:r>
      <w:r>
        <w:rPr/>
        <w:t>1900</w:t>
      </w:r>
      <w:r>
        <w:rPr>
          <w:spacing w:val="15"/>
        </w:rPr>
        <w:t> </w:t>
      </w:r>
      <w:r>
        <w:rPr/>
        <w:t>to</w:t>
      </w:r>
      <w:r>
        <w:rPr>
          <w:spacing w:val="15"/>
        </w:rPr>
        <w:t> </w:t>
      </w:r>
      <w:r>
        <w:rPr/>
        <w:t>3830</w:t>
      </w:r>
      <w:r>
        <w:rPr>
          <w:spacing w:val="16"/>
        </w:rPr>
        <w:t> </w:t>
      </w:r>
      <w:r>
        <w:rPr/>
        <w:t>cubic</w:t>
      </w:r>
      <w:r>
        <w:rPr>
          <w:spacing w:val="15"/>
        </w:rPr>
        <w:t> </w:t>
      </w:r>
      <w:r>
        <w:rPr/>
        <w:t>kilometer</w:t>
      </w:r>
      <w:r>
        <w:rPr>
          <w:spacing w:val="18"/>
        </w:rPr>
        <w:t> </w:t>
      </w:r>
      <w:r>
        <w:rPr/>
        <w:t>in</w:t>
      </w:r>
      <w:r>
        <w:rPr>
          <w:spacing w:val="18"/>
        </w:rPr>
        <w:t> </w:t>
      </w:r>
      <w:r>
        <w:rPr/>
        <w:t>year</w:t>
      </w:r>
      <w:r>
        <w:rPr>
          <w:spacing w:val="14"/>
        </w:rPr>
        <w:t> </w:t>
      </w:r>
      <w:r>
        <w:rPr/>
        <w:t>2000</w:t>
      </w:r>
      <w:r>
        <w:rPr>
          <w:spacing w:val="18"/>
        </w:rPr>
        <w:t> </w:t>
      </w:r>
      <w:r>
        <w:rPr/>
        <w:t>(Rijsberman,</w:t>
      </w:r>
      <w:r>
        <w:rPr>
          <w:spacing w:val="15"/>
        </w:rPr>
        <w:t> </w:t>
      </w:r>
      <w:r>
        <w:rPr/>
        <w:t>2006;</w:t>
      </w:r>
      <w:r>
        <w:rPr>
          <w:spacing w:val="17"/>
        </w:rPr>
        <w:t> </w:t>
      </w:r>
      <w:r>
        <w:rPr>
          <w:spacing w:val="-2"/>
        </w:rPr>
        <w:t>Watkins,</w:t>
      </w:r>
    </w:p>
    <w:p>
      <w:pPr>
        <w:spacing w:after="0" w:line="550" w:lineRule="atLeast"/>
        <w:jc w:val="both"/>
        <w:sectPr>
          <w:pgSz w:w="12240" w:h="15840"/>
          <w:pgMar w:header="0" w:footer="1068" w:top="1340" w:bottom="1260" w:left="1720" w:right="680"/>
        </w:sectPr>
      </w:pPr>
    </w:p>
    <w:p>
      <w:pPr>
        <w:pStyle w:val="BodyText"/>
        <w:spacing w:line="480" w:lineRule="auto" w:before="63"/>
        <w:ind w:left="267" w:right="729"/>
        <w:jc w:val="both"/>
      </w:pPr>
      <w:r>
        <w:rPr/>
        <w:t>2006; Nepomiluiva, 2017). This resultant dynamic of rapid population growth and constant water availability implies that water use and consumption is likely to surpass water supply levels in some regions of the world.</w:t>
      </w:r>
    </w:p>
    <w:p>
      <w:pPr>
        <w:pStyle w:val="BodyText"/>
      </w:pPr>
    </w:p>
    <w:p>
      <w:pPr>
        <w:pStyle w:val="BodyText"/>
        <w:spacing w:line="480" w:lineRule="auto"/>
        <w:ind w:left="267" w:right="727"/>
        <w:jc w:val="both"/>
      </w:pPr>
      <w:r>
        <w:rPr/>
        <mc:AlternateContent>
          <mc:Choice Requires="wps">
            <w:drawing>
              <wp:anchor distT="0" distB="0" distL="0" distR="0" allowOverlap="1" layoutInCell="1" locked="0" behindDoc="1" simplePos="0" relativeHeight="487589888">
                <wp:simplePos x="0" y="0"/>
                <wp:positionH relativeFrom="page">
                  <wp:posOffset>1908048</wp:posOffset>
                </wp:positionH>
                <wp:positionV relativeFrom="paragraph">
                  <wp:posOffset>2117575</wp:posOffset>
                </wp:positionV>
                <wp:extent cx="4314825" cy="388620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4314825" cy="3886200"/>
                          <a:chExt cx="4314825" cy="3886200"/>
                        </a:xfrm>
                      </wpg:grpSpPr>
                      <pic:pic>
                        <pic:nvPicPr>
                          <pic:cNvPr id="18" name="Image 18"/>
                          <pic:cNvPicPr/>
                        </pic:nvPicPr>
                        <pic:blipFill>
                          <a:blip r:embed="rId13" cstate="print"/>
                          <a:stretch>
                            <a:fillRect/>
                          </a:stretch>
                        </pic:blipFill>
                        <pic:spPr>
                          <a:xfrm>
                            <a:off x="18669" y="9144"/>
                            <a:ext cx="4267578" cy="3858385"/>
                          </a:xfrm>
                          <a:prstGeom prst="rect">
                            <a:avLst/>
                          </a:prstGeom>
                        </pic:spPr>
                      </pic:pic>
                      <wps:wsp>
                        <wps:cNvPr id="19" name="Graphic 19"/>
                        <wps:cNvSpPr/>
                        <wps:spPr>
                          <a:xfrm>
                            <a:off x="4572" y="4572"/>
                            <a:ext cx="4305300" cy="3877310"/>
                          </a:xfrm>
                          <a:custGeom>
                            <a:avLst/>
                            <a:gdLst/>
                            <a:ahLst/>
                            <a:cxnLst/>
                            <a:rect l="l" t="t" r="r" b="b"/>
                            <a:pathLst>
                              <a:path w="4305300" h="3877310">
                                <a:moveTo>
                                  <a:pt x="0" y="3877055"/>
                                </a:moveTo>
                                <a:lnTo>
                                  <a:pt x="4305300" y="3877055"/>
                                </a:lnTo>
                                <a:lnTo>
                                  <a:pt x="4305300" y="0"/>
                                </a:lnTo>
                                <a:lnTo>
                                  <a:pt x="0" y="0"/>
                                </a:lnTo>
                                <a:lnTo>
                                  <a:pt x="0" y="387705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0.240005pt;margin-top:166.738205pt;width:339.75pt;height:306pt;mso-position-horizontal-relative:page;mso-position-vertical-relative:paragraph;z-index:-15726592;mso-wrap-distance-left:0;mso-wrap-distance-right:0" id="docshapegroup17" coordorigin="3005,3335" coordsize="6795,6120">
                <v:shape style="position:absolute;left:3034;top:3349;width:6721;height:6077" type="#_x0000_t75" id="docshape18" stroked="false">
                  <v:imagedata r:id="rId13" o:title=""/>
                </v:shape>
                <v:rect style="position:absolute;left:3012;top:3341;width:6780;height:6106" id="docshape19" filled="false" stroked="true" strokeweight=".72pt" strokecolor="#000000">
                  <v:stroke dashstyle="solid"/>
                </v:rect>
                <w10:wrap type="topAndBottom"/>
              </v:group>
            </w:pict>
          </mc:Fallback>
        </mc:AlternateContent>
      </w:r>
      <w:r>
        <w:rPr/>
        <w:t>This</w:t>
      </w:r>
      <w:r>
        <w:rPr>
          <w:spacing w:val="-15"/>
        </w:rPr>
        <w:t> </w:t>
      </w:r>
      <w:r>
        <w:rPr/>
        <w:t>observation</w:t>
      </w:r>
      <w:r>
        <w:rPr>
          <w:spacing w:val="-15"/>
        </w:rPr>
        <w:t> </w:t>
      </w:r>
      <w:r>
        <w:rPr/>
        <w:t>has</w:t>
      </w:r>
      <w:r>
        <w:rPr>
          <w:spacing w:val="-15"/>
        </w:rPr>
        <w:t> </w:t>
      </w:r>
      <w:r>
        <w:rPr/>
        <w:t>been</w:t>
      </w:r>
      <w:r>
        <w:rPr>
          <w:spacing w:val="-15"/>
        </w:rPr>
        <w:t> </w:t>
      </w:r>
      <w:r>
        <w:rPr/>
        <w:t>further</w:t>
      </w:r>
      <w:r>
        <w:rPr>
          <w:spacing w:val="-15"/>
        </w:rPr>
        <w:t> </w:t>
      </w:r>
      <w:r>
        <w:rPr/>
        <w:t>supported</w:t>
      </w:r>
      <w:r>
        <w:rPr>
          <w:spacing w:val="-15"/>
        </w:rPr>
        <w:t> </w:t>
      </w:r>
      <w:r>
        <w:rPr/>
        <w:t>by</w:t>
      </w:r>
      <w:r>
        <w:rPr>
          <w:spacing w:val="-15"/>
        </w:rPr>
        <w:t> </w:t>
      </w:r>
      <w:r>
        <w:rPr/>
        <w:t>the</w:t>
      </w:r>
      <w:r>
        <w:rPr>
          <w:spacing w:val="-11"/>
        </w:rPr>
        <w:t> </w:t>
      </w:r>
      <w:r>
        <w:rPr/>
        <w:t>International</w:t>
      </w:r>
      <w:r>
        <w:rPr>
          <w:spacing w:val="-15"/>
        </w:rPr>
        <w:t> </w:t>
      </w:r>
      <w:r>
        <w:rPr/>
        <w:t>Water</w:t>
      </w:r>
      <w:r>
        <w:rPr>
          <w:spacing w:val="-15"/>
        </w:rPr>
        <w:t> </w:t>
      </w:r>
      <w:r>
        <w:rPr/>
        <w:t>Management</w:t>
      </w:r>
      <w:r>
        <w:rPr>
          <w:spacing w:val="-13"/>
        </w:rPr>
        <w:t> </w:t>
      </w:r>
      <w:r>
        <w:rPr/>
        <w:t>Institute (IWMI) estimates that around 1.2 billion people globally have limited or no access to safe water</w:t>
      </w:r>
      <w:r>
        <w:rPr>
          <w:spacing w:val="-2"/>
        </w:rPr>
        <w:t> </w:t>
      </w:r>
      <w:r>
        <w:rPr/>
        <w:t>and</w:t>
      </w:r>
      <w:r>
        <w:rPr>
          <w:spacing w:val="-2"/>
        </w:rPr>
        <w:t> </w:t>
      </w:r>
      <w:r>
        <w:rPr/>
        <w:t>the</w:t>
      </w:r>
      <w:r>
        <w:rPr>
          <w:spacing w:val="-1"/>
        </w:rPr>
        <w:t> </w:t>
      </w:r>
      <w:r>
        <w:rPr/>
        <w:t>demand</w:t>
      </w:r>
      <w:r>
        <w:rPr>
          <w:spacing w:val="-2"/>
        </w:rPr>
        <w:t> </w:t>
      </w:r>
      <w:r>
        <w:rPr/>
        <w:t>is expected</w:t>
      </w:r>
      <w:r>
        <w:rPr>
          <w:spacing w:val="-2"/>
        </w:rPr>
        <w:t> </w:t>
      </w:r>
      <w:r>
        <w:rPr/>
        <w:t>to</w:t>
      </w:r>
      <w:r>
        <w:rPr>
          <w:spacing w:val="-2"/>
        </w:rPr>
        <w:t> </w:t>
      </w:r>
      <w:r>
        <w:rPr/>
        <w:t>increase</w:t>
      </w:r>
      <w:r>
        <w:rPr>
          <w:spacing w:val="-1"/>
        </w:rPr>
        <w:t> </w:t>
      </w:r>
      <w:r>
        <w:rPr/>
        <w:t>by</w:t>
      </w:r>
      <w:r>
        <w:rPr>
          <w:spacing w:val="-7"/>
        </w:rPr>
        <w:t> </w:t>
      </w:r>
      <w:r>
        <w:rPr/>
        <w:t>40%</w:t>
      </w:r>
      <w:r>
        <w:rPr>
          <w:spacing w:val="-3"/>
        </w:rPr>
        <w:t> </w:t>
      </w:r>
      <w:r>
        <w:rPr/>
        <w:t>by</w:t>
      </w:r>
      <w:r>
        <w:rPr>
          <w:spacing w:val="-7"/>
        </w:rPr>
        <w:t> </w:t>
      </w:r>
      <w:r>
        <w:rPr/>
        <w:t>2030 (Paulson,</w:t>
      </w:r>
      <w:r>
        <w:rPr>
          <w:spacing w:val="-2"/>
        </w:rPr>
        <w:t> </w:t>
      </w:r>
      <w:r>
        <w:rPr/>
        <w:t>2015).</w:t>
      </w:r>
      <w:r>
        <w:rPr>
          <w:spacing w:val="-2"/>
        </w:rPr>
        <w:t> </w:t>
      </w:r>
      <w:r>
        <w:rPr/>
        <w:t>Aside</w:t>
      </w:r>
      <w:r>
        <w:rPr>
          <w:spacing w:val="-3"/>
        </w:rPr>
        <w:t> </w:t>
      </w:r>
      <w:r>
        <w:rPr/>
        <w:t>being a global challenge, the characterization of water scarcity also manifest itself severely in developing countries (Jimenez-Cisneros </w:t>
      </w:r>
      <w:r>
        <w:rPr>
          <w:i/>
        </w:rPr>
        <w:t>et al.</w:t>
      </w:r>
      <w:r>
        <w:rPr/>
        <w:t>, 2014) were substantial proportion of the global population reside (Gerland </w:t>
      </w:r>
      <w:r>
        <w:rPr>
          <w:i/>
        </w:rPr>
        <w:t>et al.</w:t>
      </w:r>
      <w:r>
        <w:rPr/>
        <w:t>, 2014).</w:t>
      </w:r>
    </w:p>
    <w:p>
      <w:pPr>
        <w:pStyle w:val="Heading1"/>
        <w:spacing w:line="274" w:lineRule="exact" w:before="13"/>
        <w:ind w:left="9" w:right="472"/>
        <w:jc w:val="center"/>
      </w:pPr>
      <w:r>
        <w:rPr/>
        <w:t>Figure</w:t>
      </w:r>
      <w:r>
        <w:rPr>
          <w:spacing w:val="-5"/>
        </w:rPr>
        <w:t> </w:t>
      </w:r>
      <w:r>
        <w:rPr/>
        <w:t>2.3:</w:t>
      </w:r>
      <w:r>
        <w:rPr>
          <w:spacing w:val="-2"/>
        </w:rPr>
        <w:t> </w:t>
      </w:r>
      <w:r>
        <w:rPr/>
        <w:t>Global</w:t>
      </w:r>
      <w:r>
        <w:rPr>
          <w:spacing w:val="-1"/>
        </w:rPr>
        <w:t> </w:t>
      </w:r>
      <w:r>
        <w:rPr/>
        <w:t>Water</w:t>
      </w:r>
      <w:r>
        <w:rPr>
          <w:spacing w:val="-2"/>
        </w:rPr>
        <w:t> </w:t>
      </w:r>
      <w:r>
        <w:rPr/>
        <w:t>Withdrawals</w:t>
      </w:r>
      <w:r>
        <w:rPr>
          <w:spacing w:val="-1"/>
        </w:rPr>
        <w:t> </w:t>
      </w:r>
      <w:r>
        <w:rPr/>
        <w:t>versus</w:t>
      </w:r>
      <w:r>
        <w:rPr>
          <w:spacing w:val="-1"/>
        </w:rPr>
        <w:t> </w:t>
      </w:r>
      <w:r>
        <w:rPr/>
        <w:t>Population</w:t>
      </w:r>
      <w:r>
        <w:rPr>
          <w:spacing w:val="-1"/>
        </w:rPr>
        <w:t> </w:t>
      </w:r>
      <w:r>
        <w:rPr>
          <w:spacing w:val="-2"/>
        </w:rPr>
        <w:t>Growth</w:t>
      </w:r>
    </w:p>
    <w:p>
      <w:pPr>
        <w:pStyle w:val="BodyText"/>
        <w:spacing w:line="274" w:lineRule="exact"/>
        <w:ind w:left="9" w:right="470"/>
        <w:jc w:val="center"/>
      </w:pPr>
      <w:r>
        <w:rPr/>
        <w:t>Source:</w:t>
      </w:r>
      <w:r>
        <w:rPr>
          <w:spacing w:val="-2"/>
        </w:rPr>
        <w:t> </w:t>
      </w:r>
      <w:r>
        <w:rPr/>
        <w:t>Rijsberman</w:t>
      </w:r>
      <w:r>
        <w:rPr>
          <w:spacing w:val="-1"/>
        </w:rPr>
        <w:t> </w:t>
      </w:r>
      <w:r>
        <w:rPr/>
        <w:t>(2006)</w:t>
      </w:r>
      <w:r>
        <w:rPr>
          <w:spacing w:val="-1"/>
        </w:rPr>
        <w:t> </w:t>
      </w:r>
      <w:r>
        <w:rPr/>
        <w:t>and</w:t>
      </w:r>
      <w:r>
        <w:rPr>
          <w:spacing w:val="-1"/>
        </w:rPr>
        <w:t> </w:t>
      </w:r>
      <w:r>
        <w:rPr/>
        <w:t>White</w:t>
      </w:r>
      <w:r>
        <w:rPr>
          <w:spacing w:val="-2"/>
        </w:rPr>
        <w:t> (2012)</w:t>
      </w:r>
    </w:p>
    <w:p>
      <w:pPr>
        <w:spacing w:after="0" w:line="274" w:lineRule="exact"/>
        <w:jc w:val="center"/>
        <w:sectPr>
          <w:pgSz w:w="12240" w:h="15840"/>
          <w:pgMar w:header="0" w:footer="1068" w:top="1340" w:bottom="1260" w:left="1720" w:right="680"/>
        </w:sectPr>
      </w:pPr>
    </w:p>
    <w:p>
      <w:pPr>
        <w:pStyle w:val="BodyText"/>
        <w:spacing w:line="480" w:lineRule="auto" w:before="63"/>
        <w:ind w:left="267" w:right="727"/>
        <w:jc w:val="both"/>
      </w:pPr>
      <w:r>
        <w:rPr/>
        <mc:AlternateContent>
          <mc:Choice Requires="wps">
            <w:drawing>
              <wp:anchor distT="0" distB="0" distL="0" distR="0" allowOverlap="1" layoutInCell="1" locked="0" behindDoc="1" simplePos="0" relativeHeight="487590400">
                <wp:simplePos x="0" y="0"/>
                <wp:positionH relativeFrom="page">
                  <wp:posOffset>1271016</wp:posOffset>
                </wp:positionH>
                <wp:positionV relativeFrom="paragraph">
                  <wp:posOffset>3209035</wp:posOffset>
                </wp:positionV>
                <wp:extent cx="5515610" cy="2982595"/>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5515610" cy="2982595"/>
                          <a:chExt cx="5515610" cy="2982595"/>
                        </a:xfrm>
                      </wpg:grpSpPr>
                      <pic:pic>
                        <pic:nvPicPr>
                          <pic:cNvPr id="21" name="Image 21"/>
                          <pic:cNvPicPr/>
                        </pic:nvPicPr>
                        <pic:blipFill>
                          <a:blip r:embed="rId14" cstate="print"/>
                          <a:stretch>
                            <a:fillRect/>
                          </a:stretch>
                        </pic:blipFill>
                        <pic:spPr>
                          <a:xfrm>
                            <a:off x="54054" y="9144"/>
                            <a:ext cx="5434193" cy="2946215"/>
                          </a:xfrm>
                          <a:prstGeom prst="rect">
                            <a:avLst/>
                          </a:prstGeom>
                        </pic:spPr>
                      </pic:pic>
                      <wps:wsp>
                        <wps:cNvPr id="22" name="Graphic 22"/>
                        <wps:cNvSpPr/>
                        <wps:spPr>
                          <a:xfrm>
                            <a:off x="4572" y="4572"/>
                            <a:ext cx="5506720" cy="2973705"/>
                          </a:xfrm>
                          <a:custGeom>
                            <a:avLst/>
                            <a:gdLst/>
                            <a:ahLst/>
                            <a:cxnLst/>
                            <a:rect l="l" t="t" r="r" b="b"/>
                            <a:pathLst>
                              <a:path w="5506720" h="2973705">
                                <a:moveTo>
                                  <a:pt x="0" y="2973324"/>
                                </a:moveTo>
                                <a:lnTo>
                                  <a:pt x="5506212" y="2973324"/>
                                </a:lnTo>
                                <a:lnTo>
                                  <a:pt x="5506212" y="0"/>
                                </a:lnTo>
                                <a:lnTo>
                                  <a:pt x="0" y="0"/>
                                </a:lnTo>
                                <a:lnTo>
                                  <a:pt x="0" y="297332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080002pt;margin-top:252.679993pt;width:434.3pt;height:234.85pt;mso-position-horizontal-relative:page;mso-position-vertical-relative:paragraph;z-index:-15726080;mso-wrap-distance-left:0;mso-wrap-distance-right:0" id="docshapegroup20" coordorigin="2002,5054" coordsize="8686,4697">
                <v:shape style="position:absolute;left:2086;top:5068;width:8558;height:4640" type="#_x0000_t75" id="docshape21" stroked="false">
                  <v:imagedata r:id="rId14" o:title=""/>
                </v:shape>
                <v:rect style="position:absolute;left:2008;top:5060;width:8672;height:4683" id="docshape22" filled="false" stroked="true" strokeweight=".72pt" strokecolor="#000000">
                  <v:stroke dashstyle="solid"/>
                </v:rect>
                <w10:wrap type="topAndBottom"/>
              </v:group>
            </w:pict>
          </mc:Fallback>
        </mc:AlternateContent>
      </w:r>
      <w:r>
        <w:rPr/>
        <w:t>Compared to developed countries, water availability per capita index (1950=100) in developing</w:t>
      </w:r>
      <w:r>
        <w:rPr>
          <w:spacing w:val="-8"/>
        </w:rPr>
        <w:t> </w:t>
      </w:r>
      <w:r>
        <w:rPr/>
        <w:t>countries</w:t>
      </w:r>
      <w:r>
        <w:rPr>
          <w:spacing w:val="-6"/>
        </w:rPr>
        <w:t> </w:t>
      </w:r>
      <w:r>
        <w:rPr/>
        <w:t>(humid</w:t>
      </w:r>
      <w:r>
        <w:rPr>
          <w:spacing w:val="-6"/>
        </w:rPr>
        <w:t> </w:t>
      </w:r>
      <w:r>
        <w:rPr/>
        <w:t>and</w:t>
      </w:r>
      <w:r>
        <w:rPr>
          <w:spacing w:val="-6"/>
        </w:rPr>
        <w:t> </w:t>
      </w:r>
      <w:r>
        <w:rPr/>
        <w:t>arid)</w:t>
      </w:r>
      <w:r>
        <w:rPr>
          <w:spacing w:val="-7"/>
        </w:rPr>
        <w:t> </w:t>
      </w:r>
      <w:r>
        <w:rPr/>
        <w:t>as</w:t>
      </w:r>
      <w:r>
        <w:rPr>
          <w:spacing w:val="-6"/>
        </w:rPr>
        <w:t> </w:t>
      </w:r>
      <w:r>
        <w:rPr/>
        <w:t>apparent</w:t>
      </w:r>
      <w:r>
        <w:rPr>
          <w:spacing w:val="-4"/>
        </w:rPr>
        <w:t> </w:t>
      </w:r>
      <w:r>
        <w:rPr/>
        <w:t>in</w:t>
      </w:r>
      <w:r>
        <w:rPr>
          <w:spacing w:val="-5"/>
        </w:rPr>
        <w:t> </w:t>
      </w:r>
      <w:r>
        <w:rPr/>
        <w:t>figure</w:t>
      </w:r>
      <w:r>
        <w:rPr>
          <w:spacing w:val="-8"/>
        </w:rPr>
        <w:t> </w:t>
      </w:r>
      <w:r>
        <w:rPr/>
        <w:t>2.4</w:t>
      </w:r>
      <w:r>
        <w:rPr>
          <w:spacing w:val="-6"/>
        </w:rPr>
        <w:t> </w:t>
      </w:r>
      <w:r>
        <w:rPr/>
        <w:t>it</w:t>
      </w:r>
      <w:r>
        <w:rPr>
          <w:spacing w:val="-5"/>
        </w:rPr>
        <w:t> </w:t>
      </w:r>
      <w:r>
        <w:rPr/>
        <w:t>has</w:t>
      </w:r>
      <w:r>
        <w:rPr>
          <w:spacing w:val="-6"/>
        </w:rPr>
        <w:t> </w:t>
      </w:r>
      <w:r>
        <w:rPr/>
        <w:t>been</w:t>
      </w:r>
      <w:r>
        <w:rPr>
          <w:spacing w:val="-8"/>
        </w:rPr>
        <w:t> </w:t>
      </w:r>
      <w:r>
        <w:rPr/>
        <w:t>nose-diving,</w:t>
      </w:r>
      <w:r>
        <w:rPr>
          <w:spacing w:val="-6"/>
        </w:rPr>
        <w:t> </w:t>
      </w:r>
      <w:r>
        <w:rPr/>
        <w:t>with such</w:t>
      </w:r>
      <w:r>
        <w:rPr>
          <w:spacing w:val="-9"/>
        </w:rPr>
        <w:t> </w:t>
      </w:r>
      <w:r>
        <w:rPr/>
        <w:t>decline</w:t>
      </w:r>
      <w:r>
        <w:rPr>
          <w:spacing w:val="-10"/>
        </w:rPr>
        <w:t> </w:t>
      </w:r>
      <w:r>
        <w:rPr/>
        <w:t>expected</w:t>
      </w:r>
      <w:r>
        <w:rPr>
          <w:spacing w:val="-10"/>
        </w:rPr>
        <w:t> </w:t>
      </w:r>
      <w:r>
        <w:rPr/>
        <w:t>to</w:t>
      </w:r>
      <w:r>
        <w:rPr>
          <w:spacing w:val="-9"/>
        </w:rPr>
        <w:t> </w:t>
      </w:r>
      <w:r>
        <w:rPr/>
        <w:t>reach</w:t>
      </w:r>
      <w:r>
        <w:rPr>
          <w:spacing w:val="-9"/>
        </w:rPr>
        <w:t> </w:t>
      </w:r>
      <w:r>
        <w:rPr/>
        <w:t>between</w:t>
      </w:r>
      <w:r>
        <w:rPr>
          <w:spacing w:val="-9"/>
        </w:rPr>
        <w:t> </w:t>
      </w:r>
      <w:r>
        <w:rPr/>
        <w:t>15-</w:t>
      </w:r>
      <w:r>
        <w:rPr>
          <w:spacing w:val="-10"/>
        </w:rPr>
        <w:t> </w:t>
      </w:r>
      <w:r>
        <w:rPr/>
        <w:t>25%</w:t>
      </w:r>
      <w:r>
        <w:rPr>
          <w:spacing w:val="-10"/>
        </w:rPr>
        <w:t> </w:t>
      </w:r>
      <w:r>
        <w:rPr/>
        <w:t>by</w:t>
      </w:r>
      <w:r>
        <w:rPr>
          <w:spacing w:val="-9"/>
        </w:rPr>
        <w:t> </w:t>
      </w:r>
      <w:r>
        <w:rPr/>
        <w:t>year</w:t>
      </w:r>
      <w:r>
        <w:rPr>
          <w:spacing w:val="-10"/>
        </w:rPr>
        <w:t> </w:t>
      </w:r>
      <w:r>
        <w:rPr/>
        <w:t>2025(Watkins,</w:t>
      </w:r>
      <w:r>
        <w:rPr>
          <w:spacing w:val="-9"/>
        </w:rPr>
        <w:t> </w:t>
      </w:r>
      <w:r>
        <w:rPr/>
        <w:t>2006;</w:t>
      </w:r>
      <w:r>
        <w:rPr>
          <w:spacing w:val="-9"/>
        </w:rPr>
        <w:t> </w:t>
      </w:r>
      <w:r>
        <w:rPr/>
        <w:t>White,</w:t>
      </w:r>
      <w:r>
        <w:rPr>
          <w:spacing w:val="-10"/>
        </w:rPr>
        <w:t> </w:t>
      </w:r>
      <w:r>
        <w:rPr/>
        <w:t>2012). With 7.9 billion out of 9</w:t>
      </w:r>
      <w:r>
        <w:rPr>
          <w:spacing w:val="-3"/>
        </w:rPr>
        <w:t> </w:t>
      </w:r>
      <w:r>
        <w:rPr/>
        <w:t>billion people projected to live in developing countries by</w:t>
      </w:r>
      <w:r>
        <w:rPr>
          <w:spacing w:val="-3"/>
        </w:rPr>
        <w:t> </w:t>
      </w:r>
      <w:r>
        <w:rPr/>
        <w:t>the year 2050 (Ziotnik, 2016), increase in water demand and the lack of water to satisfy the increasingly</w:t>
      </w:r>
      <w:r>
        <w:rPr>
          <w:spacing w:val="-3"/>
        </w:rPr>
        <w:t> </w:t>
      </w:r>
      <w:r>
        <w:rPr/>
        <w:t>growing demand</w:t>
      </w:r>
      <w:r>
        <w:rPr>
          <w:spacing w:val="-1"/>
        </w:rPr>
        <w:t> </w:t>
      </w:r>
      <w:r>
        <w:rPr/>
        <w:t>will remain severe in developing countries of</w:t>
      </w:r>
      <w:r>
        <w:rPr>
          <w:spacing w:val="-1"/>
        </w:rPr>
        <w:t> </w:t>
      </w:r>
      <w:r>
        <w:rPr/>
        <w:t>the</w:t>
      </w:r>
      <w:r>
        <w:rPr>
          <w:spacing w:val="-1"/>
        </w:rPr>
        <w:t> </w:t>
      </w:r>
      <w:r>
        <w:rPr/>
        <w:t>world,</w:t>
      </w:r>
      <w:r>
        <w:rPr>
          <w:spacing w:val="-1"/>
        </w:rPr>
        <w:t> </w:t>
      </w:r>
      <w:r>
        <w:rPr/>
        <w:t>even in</w:t>
      </w:r>
      <w:r>
        <w:rPr>
          <w:spacing w:val="-15"/>
        </w:rPr>
        <w:t> </w:t>
      </w:r>
      <w:r>
        <w:rPr/>
        <w:t>the</w:t>
      </w:r>
      <w:r>
        <w:rPr>
          <w:spacing w:val="-15"/>
        </w:rPr>
        <w:t> </w:t>
      </w:r>
      <w:r>
        <w:rPr/>
        <w:t>foreseeable</w:t>
      </w:r>
      <w:r>
        <w:rPr>
          <w:spacing w:val="-15"/>
        </w:rPr>
        <w:t> </w:t>
      </w:r>
      <w:r>
        <w:rPr/>
        <w:t>future.</w:t>
      </w:r>
      <w:r>
        <w:rPr>
          <w:spacing w:val="-15"/>
        </w:rPr>
        <w:t> </w:t>
      </w:r>
      <w:r>
        <w:rPr/>
        <w:t>In</w:t>
      </w:r>
      <w:r>
        <w:rPr>
          <w:spacing w:val="-15"/>
        </w:rPr>
        <w:t> </w:t>
      </w:r>
      <w:r>
        <w:rPr/>
        <w:t>this</w:t>
      </w:r>
      <w:r>
        <w:rPr>
          <w:spacing w:val="-15"/>
        </w:rPr>
        <w:t> </w:t>
      </w:r>
      <w:r>
        <w:rPr/>
        <w:t>regard,</w:t>
      </w:r>
      <w:r>
        <w:rPr>
          <w:spacing w:val="-15"/>
        </w:rPr>
        <w:t> </w:t>
      </w:r>
      <w:r>
        <w:rPr/>
        <w:t>population</w:t>
      </w:r>
      <w:r>
        <w:rPr>
          <w:spacing w:val="-15"/>
        </w:rPr>
        <w:t> </w:t>
      </w:r>
      <w:r>
        <w:rPr/>
        <w:t>growth</w:t>
      </w:r>
      <w:r>
        <w:rPr>
          <w:spacing w:val="-15"/>
        </w:rPr>
        <w:t> </w:t>
      </w:r>
      <w:r>
        <w:rPr/>
        <w:t>is</w:t>
      </w:r>
      <w:r>
        <w:rPr>
          <w:spacing w:val="-15"/>
        </w:rPr>
        <w:t> </w:t>
      </w:r>
      <w:r>
        <w:rPr/>
        <w:t>expected</w:t>
      </w:r>
      <w:r>
        <w:rPr>
          <w:spacing w:val="-15"/>
        </w:rPr>
        <w:t> </w:t>
      </w:r>
      <w:r>
        <w:rPr/>
        <w:t>to</w:t>
      </w:r>
      <w:r>
        <w:rPr>
          <w:spacing w:val="-15"/>
        </w:rPr>
        <w:t> </w:t>
      </w:r>
      <w:r>
        <w:rPr/>
        <w:t>directly</w:t>
      </w:r>
      <w:r>
        <w:rPr>
          <w:spacing w:val="-15"/>
        </w:rPr>
        <w:t> </w:t>
      </w:r>
      <w:r>
        <w:rPr/>
        <w:t>or</w:t>
      </w:r>
      <w:r>
        <w:rPr>
          <w:spacing w:val="-15"/>
        </w:rPr>
        <w:t> </w:t>
      </w:r>
      <w:r>
        <w:rPr/>
        <w:t>otherwise shift about 55% of the world’s population towards severe water scarcity over the next generation (Rockstrum, 2011).</w:t>
      </w:r>
    </w:p>
    <w:p>
      <w:pPr>
        <w:pStyle w:val="Heading1"/>
        <w:spacing w:line="274" w:lineRule="exact" w:before="27"/>
        <w:ind w:left="9" w:right="472"/>
        <w:jc w:val="center"/>
      </w:pPr>
      <w:r>
        <w:rPr/>
        <w:t>Figure</w:t>
      </w:r>
      <w:r>
        <w:rPr>
          <w:spacing w:val="-5"/>
        </w:rPr>
        <w:t> </w:t>
      </w:r>
      <w:r>
        <w:rPr/>
        <w:t>2.4: Past, Present</w:t>
      </w:r>
      <w:r>
        <w:rPr>
          <w:spacing w:val="-2"/>
        </w:rPr>
        <w:t> </w:t>
      </w:r>
      <w:r>
        <w:rPr/>
        <w:t>and</w:t>
      </w:r>
      <w:r>
        <w:rPr>
          <w:spacing w:val="-1"/>
        </w:rPr>
        <w:t> </w:t>
      </w:r>
      <w:r>
        <w:rPr/>
        <w:t>Future</w:t>
      </w:r>
      <w:r>
        <w:rPr>
          <w:spacing w:val="-2"/>
        </w:rPr>
        <w:t> </w:t>
      </w:r>
      <w:r>
        <w:rPr/>
        <w:t>Water</w:t>
      </w:r>
      <w:r>
        <w:rPr>
          <w:spacing w:val="-2"/>
        </w:rPr>
        <w:t> Availability</w:t>
      </w:r>
    </w:p>
    <w:p>
      <w:pPr>
        <w:pStyle w:val="BodyText"/>
        <w:spacing w:line="274" w:lineRule="exact"/>
        <w:ind w:left="10" w:right="470"/>
        <w:jc w:val="center"/>
      </w:pPr>
      <w:r>
        <w:rPr/>
        <w:t>Source:</w:t>
      </w:r>
      <w:r>
        <w:rPr>
          <w:spacing w:val="-1"/>
        </w:rPr>
        <w:t> </w:t>
      </w:r>
      <w:r>
        <w:rPr/>
        <w:t>Watkins</w:t>
      </w:r>
      <w:r>
        <w:rPr>
          <w:spacing w:val="-1"/>
        </w:rPr>
        <w:t> </w:t>
      </w:r>
      <w:r>
        <w:rPr/>
        <w:t>(2006)</w:t>
      </w:r>
      <w:r>
        <w:rPr>
          <w:spacing w:val="-2"/>
        </w:rPr>
        <w:t> </w:t>
      </w:r>
      <w:r>
        <w:rPr/>
        <w:t>and</w:t>
      </w:r>
      <w:r>
        <w:rPr>
          <w:spacing w:val="-1"/>
        </w:rPr>
        <w:t> </w:t>
      </w:r>
      <w:r>
        <w:rPr/>
        <w:t>White</w:t>
      </w:r>
      <w:r>
        <w:rPr>
          <w:spacing w:val="-1"/>
        </w:rPr>
        <w:t> </w:t>
      </w:r>
      <w:r>
        <w:rPr>
          <w:spacing w:val="-2"/>
        </w:rPr>
        <w:t>(2012).</w:t>
      </w:r>
    </w:p>
    <w:p>
      <w:pPr>
        <w:pStyle w:val="BodyText"/>
      </w:pPr>
    </w:p>
    <w:p>
      <w:pPr>
        <w:pStyle w:val="BodyText"/>
        <w:spacing w:before="7"/>
      </w:pPr>
    </w:p>
    <w:p>
      <w:pPr>
        <w:pStyle w:val="Heading1"/>
        <w:numPr>
          <w:ilvl w:val="1"/>
          <w:numId w:val="6"/>
        </w:numPr>
        <w:tabs>
          <w:tab w:pos="867" w:val="left" w:leader="none"/>
        </w:tabs>
        <w:spacing w:line="240" w:lineRule="auto" w:before="1" w:after="0"/>
        <w:ind w:left="867" w:right="0" w:hanging="600"/>
        <w:jc w:val="left"/>
      </w:pPr>
      <w:r>
        <w:rPr/>
        <w:t>Evolution</w:t>
      </w:r>
      <w:r>
        <w:rPr>
          <w:spacing w:val="-3"/>
        </w:rPr>
        <w:t> </w:t>
      </w:r>
      <w:r>
        <w:rPr/>
        <w:t>of</w:t>
      </w:r>
      <w:r>
        <w:rPr>
          <w:spacing w:val="-1"/>
        </w:rPr>
        <w:t> </w:t>
      </w:r>
      <w:r>
        <w:rPr/>
        <w:t>Water</w:t>
      </w:r>
      <w:r>
        <w:rPr>
          <w:spacing w:val="-3"/>
        </w:rPr>
        <w:t> </w:t>
      </w:r>
      <w:r>
        <w:rPr/>
        <w:t>Scarcity</w:t>
      </w:r>
      <w:r>
        <w:rPr>
          <w:spacing w:val="-2"/>
        </w:rPr>
        <w:t> </w:t>
      </w:r>
      <w:r>
        <w:rPr/>
        <w:t>Metrics/</w:t>
      </w:r>
      <w:r>
        <w:rPr>
          <w:spacing w:val="-2"/>
        </w:rPr>
        <w:t> Indicators</w:t>
      </w:r>
    </w:p>
    <w:p>
      <w:pPr>
        <w:pStyle w:val="BodyText"/>
        <w:spacing w:before="14"/>
        <w:rPr>
          <w:b/>
        </w:rPr>
      </w:pPr>
    </w:p>
    <w:p>
      <w:pPr>
        <w:pStyle w:val="BodyText"/>
        <w:spacing w:line="480" w:lineRule="auto"/>
        <w:ind w:left="267" w:right="729"/>
        <w:jc w:val="both"/>
      </w:pPr>
      <w:r>
        <w:rPr/>
        <w:t>The</w:t>
      </w:r>
      <w:r>
        <w:rPr>
          <w:spacing w:val="-9"/>
        </w:rPr>
        <w:t> </w:t>
      </w:r>
      <w:r>
        <w:rPr/>
        <w:t>global</w:t>
      </w:r>
      <w:r>
        <w:rPr>
          <w:spacing w:val="-8"/>
        </w:rPr>
        <w:t> </w:t>
      </w:r>
      <w:r>
        <w:rPr/>
        <w:t>water</w:t>
      </w:r>
      <w:r>
        <w:rPr>
          <w:spacing w:val="-9"/>
        </w:rPr>
        <w:t> </w:t>
      </w:r>
      <w:r>
        <w:rPr/>
        <w:t>resources</w:t>
      </w:r>
      <w:r>
        <w:rPr>
          <w:spacing w:val="-7"/>
        </w:rPr>
        <w:t> </w:t>
      </w:r>
      <w:r>
        <w:rPr/>
        <w:t>are</w:t>
      </w:r>
      <w:r>
        <w:rPr>
          <w:spacing w:val="-10"/>
        </w:rPr>
        <w:t> </w:t>
      </w:r>
      <w:r>
        <w:rPr/>
        <w:t>highly</w:t>
      </w:r>
      <w:r>
        <w:rPr>
          <w:spacing w:val="-12"/>
        </w:rPr>
        <w:t> </w:t>
      </w:r>
      <w:r>
        <w:rPr/>
        <w:t>stressed</w:t>
      </w:r>
      <w:r>
        <w:rPr>
          <w:spacing w:val="-9"/>
        </w:rPr>
        <w:t> </w:t>
      </w:r>
      <w:r>
        <w:rPr/>
        <w:t>and</w:t>
      </w:r>
      <w:r>
        <w:rPr>
          <w:spacing w:val="-6"/>
        </w:rPr>
        <w:t> </w:t>
      </w:r>
      <w:r>
        <w:rPr/>
        <w:t>given</w:t>
      </w:r>
      <w:r>
        <w:rPr>
          <w:spacing w:val="-9"/>
        </w:rPr>
        <w:t> </w:t>
      </w:r>
      <w:r>
        <w:rPr/>
        <w:t>the</w:t>
      </w:r>
      <w:r>
        <w:rPr>
          <w:spacing w:val="-9"/>
        </w:rPr>
        <w:t> </w:t>
      </w:r>
      <w:r>
        <w:rPr/>
        <w:t>effect</w:t>
      </w:r>
      <w:r>
        <w:rPr>
          <w:spacing w:val="-8"/>
        </w:rPr>
        <w:t> </w:t>
      </w:r>
      <w:r>
        <w:rPr/>
        <w:t>of</w:t>
      </w:r>
      <w:r>
        <w:rPr>
          <w:spacing w:val="-9"/>
        </w:rPr>
        <w:t> </w:t>
      </w:r>
      <w:r>
        <w:rPr/>
        <w:t>climate</w:t>
      </w:r>
      <w:r>
        <w:rPr>
          <w:spacing w:val="-9"/>
        </w:rPr>
        <w:t> </w:t>
      </w:r>
      <w:r>
        <w:rPr/>
        <w:t>change</w:t>
      </w:r>
      <w:r>
        <w:rPr>
          <w:spacing w:val="-9"/>
        </w:rPr>
        <w:t> </w:t>
      </w:r>
      <w:r>
        <w:rPr/>
        <w:t>and</w:t>
      </w:r>
      <w:r>
        <w:rPr>
          <w:spacing w:val="-8"/>
        </w:rPr>
        <w:t> </w:t>
      </w:r>
      <w:r>
        <w:rPr/>
        <w:t>the ever-increasing levels of population explosion, water resources will need to be properly managed</w:t>
      </w:r>
      <w:r>
        <w:rPr>
          <w:spacing w:val="-13"/>
        </w:rPr>
        <w:t> </w:t>
      </w:r>
      <w:r>
        <w:rPr/>
        <w:t>(Sullivan</w:t>
      </w:r>
      <w:r>
        <w:rPr>
          <w:spacing w:val="-11"/>
        </w:rPr>
        <w:t> </w:t>
      </w:r>
      <w:r>
        <w:rPr/>
        <w:t>and</w:t>
      </w:r>
      <w:r>
        <w:rPr>
          <w:spacing w:val="-11"/>
        </w:rPr>
        <w:t> </w:t>
      </w:r>
      <w:r>
        <w:rPr/>
        <w:t>Jemmali,</w:t>
      </w:r>
      <w:r>
        <w:rPr>
          <w:spacing w:val="-11"/>
        </w:rPr>
        <w:t> </w:t>
      </w:r>
      <w:r>
        <w:rPr/>
        <w:t>2014).</w:t>
      </w:r>
      <w:r>
        <w:rPr>
          <w:spacing w:val="-11"/>
        </w:rPr>
        <w:t> </w:t>
      </w:r>
      <w:r>
        <w:rPr/>
        <w:t>The</w:t>
      </w:r>
      <w:r>
        <w:rPr>
          <w:spacing w:val="-11"/>
        </w:rPr>
        <w:t> </w:t>
      </w:r>
      <w:r>
        <w:rPr/>
        <w:t>intensification</w:t>
      </w:r>
      <w:r>
        <w:rPr>
          <w:spacing w:val="-11"/>
        </w:rPr>
        <w:t> </w:t>
      </w:r>
      <w:r>
        <w:rPr/>
        <w:t>of</w:t>
      </w:r>
      <w:r>
        <w:rPr>
          <w:spacing w:val="-12"/>
        </w:rPr>
        <w:t> </w:t>
      </w:r>
      <w:r>
        <w:rPr/>
        <w:t>water</w:t>
      </w:r>
      <w:r>
        <w:rPr>
          <w:spacing w:val="-12"/>
        </w:rPr>
        <w:t> </w:t>
      </w:r>
      <w:r>
        <w:rPr/>
        <w:t>scarcity</w:t>
      </w:r>
      <w:r>
        <w:rPr>
          <w:spacing w:val="-13"/>
        </w:rPr>
        <w:t> </w:t>
      </w:r>
      <w:r>
        <w:rPr/>
        <w:t>across</w:t>
      </w:r>
      <w:r>
        <w:rPr>
          <w:spacing w:val="-11"/>
        </w:rPr>
        <w:t> </w:t>
      </w:r>
      <w:r>
        <w:rPr/>
        <w:t>the</w:t>
      </w:r>
      <w:r>
        <w:rPr>
          <w:spacing w:val="-8"/>
        </w:rPr>
        <w:t> </w:t>
      </w:r>
      <w:r>
        <w:rPr>
          <w:spacing w:val="-2"/>
        </w:rPr>
        <w:t>globe</w:t>
      </w:r>
    </w:p>
    <w:p>
      <w:pPr>
        <w:spacing w:after="0" w:line="480" w:lineRule="auto"/>
        <w:jc w:val="both"/>
        <w:sectPr>
          <w:pgSz w:w="12240" w:h="15840"/>
          <w:pgMar w:header="0" w:footer="1068" w:top="1340" w:bottom="1260" w:left="1720" w:right="680"/>
        </w:sectPr>
      </w:pPr>
    </w:p>
    <w:p>
      <w:pPr>
        <w:pStyle w:val="BodyText"/>
        <w:spacing w:line="480" w:lineRule="auto" w:before="63"/>
        <w:ind w:left="267" w:right="726"/>
        <w:jc w:val="both"/>
      </w:pPr>
      <w:r>
        <w:rPr/>
        <w:t>has</w:t>
      </w:r>
      <w:r>
        <w:rPr>
          <w:spacing w:val="-2"/>
        </w:rPr>
        <w:t> </w:t>
      </w:r>
      <w:r>
        <w:rPr/>
        <w:t>led</w:t>
      </w:r>
      <w:r>
        <w:rPr>
          <w:spacing w:val="-3"/>
        </w:rPr>
        <w:t> </w:t>
      </w:r>
      <w:r>
        <w:rPr/>
        <w:t>to</w:t>
      </w:r>
      <w:r>
        <w:rPr>
          <w:spacing w:val="-2"/>
        </w:rPr>
        <w:t> </w:t>
      </w:r>
      <w:r>
        <w:rPr/>
        <w:t>the</w:t>
      </w:r>
      <w:r>
        <w:rPr>
          <w:spacing w:val="-1"/>
        </w:rPr>
        <w:t> </w:t>
      </w:r>
      <w:r>
        <w:rPr/>
        <w:t>search for</w:t>
      </w:r>
      <w:r>
        <w:rPr>
          <w:spacing w:val="-2"/>
        </w:rPr>
        <w:t> </w:t>
      </w:r>
      <w:r>
        <w:rPr/>
        <w:t>a</w:t>
      </w:r>
      <w:r>
        <w:rPr>
          <w:spacing w:val="-3"/>
        </w:rPr>
        <w:t> </w:t>
      </w:r>
      <w:r>
        <w:rPr/>
        <w:t>robust</w:t>
      </w:r>
      <w:r>
        <w:rPr>
          <w:spacing w:val="-2"/>
        </w:rPr>
        <w:t> </w:t>
      </w:r>
      <w:r>
        <w:rPr/>
        <w:t>quantitative</w:t>
      </w:r>
      <w:r>
        <w:rPr>
          <w:spacing w:val="-2"/>
        </w:rPr>
        <w:t> </w:t>
      </w:r>
      <w:r>
        <w:rPr/>
        <w:t>metric</w:t>
      </w:r>
      <w:r>
        <w:rPr>
          <w:spacing w:val="-3"/>
        </w:rPr>
        <w:t> </w:t>
      </w:r>
      <w:r>
        <w:rPr/>
        <w:t>to</w:t>
      </w:r>
      <w:r>
        <w:rPr>
          <w:spacing w:val="-2"/>
        </w:rPr>
        <w:t> </w:t>
      </w:r>
      <w:r>
        <w:rPr/>
        <w:t>measure</w:t>
      </w:r>
      <w:r>
        <w:rPr>
          <w:spacing w:val="-2"/>
        </w:rPr>
        <w:t> </w:t>
      </w:r>
      <w:r>
        <w:rPr/>
        <w:t>and</w:t>
      </w:r>
      <w:r>
        <w:rPr>
          <w:spacing w:val="-2"/>
        </w:rPr>
        <w:t> </w:t>
      </w:r>
      <w:r>
        <w:rPr/>
        <w:t>assess progress</w:t>
      </w:r>
      <w:r>
        <w:rPr>
          <w:spacing w:val="-2"/>
        </w:rPr>
        <w:t> </w:t>
      </w:r>
      <w:r>
        <w:rPr/>
        <w:t>towards reducing</w:t>
      </w:r>
      <w:r>
        <w:rPr>
          <w:spacing w:val="-15"/>
        </w:rPr>
        <w:t> </w:t>
      </w:r>
      <w:r>
        <w:rPr/>
        <w:t>water</w:t>
      </w:r>
      <w:r>
        <w:rPr>
          <w:spacing w:val="-14"/>
        </w:rPr>
        <w:t> </w:t>
      </w:r>
      <w:r>
        <w:rPr/>
        <w:t>scarcity.</w:t>
      </w:r>
      <w:r>
        <w:rPr>
          <w:spacing w:val="-13"/>
        </w:rPr>
        <w:t> </w:t>
      </w:r>
      <w:r>
        <w:rPr/>
        <w:t>Several</w:t>
      </w:r>
      <w:r>
        <w:rPr>
          <w:spacing w:val="-13"/>
        </w:rPr>
        <w:t> </w:t>
      </w:r>
      <w:r>
        <w:rPr/>
        <w:t>metrics</w:t>
      </w:r>
      <w:r>
        <w:rPr>
          <w:spacing w:val="-13"/>
        </w:rPr>
        <w:t> </w:t>
      </w:r>
      <w:r>
        <w:rPr/>
        <w:t>(simple</w:t>
      </w:r>
      <w:r>
        <w:rPr>
          <w:spacing w:val="-14"/>
        </w:rPr>
        <w:t> </w:t>
      </w:r>
      <w:r>
        <w:rPr/>
        <w:t>and</w:t>
      </w:r>
      <w:r>
        <w:rPr>
          <w:spacing w:val="-13"/>
        </w:rPr>
        <w:t> </w:t>
      </w:r>
      <w:r>
        <w:rPr/>
        <w:t>classical)</w:t>
      </w:r>
      <w:r>
        <w:rPr>
          <w:spacing w:val="-13"/>
        </w:rPr>
        <w:t> </w:t>
      </w:r>
      <w:r>
        <w:rPr/>
        <w:t>have</w:t>
      </w:r>
      <w:r>
        <w:rPr>
          <w:spacing w:val="-14"/>
        </w:rPr>
        <w:t> </w:t>
      </w:r>
      <w:r>
        <w:rPr/>
        <w:t>been</w:t>
      </w:r>
      <w:r>
        <w:rPr>
          <w:spacing w:val="-13"/>
        </w:rPr>
        <w:t> </w:t>
      </w:r>
      <w:r>
        <w:rPr/>
        <w:t>developed</w:t>
      </w:r>
      <w:r>
        <w:rPr>
          <w:spacing w:val="-14"/>
        </w:rPr>
        <w:t> </w:t>
      </w:r>
      <w:r>
        <w:rPr/>
        <w:t>since</w:t>
      </w:r>
      <w:r>
        <w:rPr>
          <w:spacing w:val="-14"/>
        </w:rPr>
        <w:t> </w:t>
      </w:r>
      <w:r>
        <w:rPr/>
        <w:t>the 1980’s to the start of 2000’s to quantify and assess water scarcity/stress at the global level. A</w:t>
      </w:r>
      <w:r>
        <w:rPr>
          <w:spacing w:val="-15"/>
        </w:rPr>
        <w:t> </w:t>
      </w:r>
      <w:r>
        <w:rPr/>
        <w:t>review</w:t>
      </w:r>
      <w:r>
        <w:rPr>
          <w:spacing w:val="-15"/>
        </w:rPr>
        <w:t> </w:t>
      </w:r>
      <w:r>
        <w:rPr/>
        <w:t>of</w:t>
      </w:r>
      <w:r>
        <w:rPr>
          <w:spacing w:val="-15"/>
        </w:rPr>
        <w:t> </w:t>
      </w:r>
      <w:r>
        <w:rPr/>
        <w:t>both</w:t>
      </w:r>
      <w:r>
        <w:rPr>
          <w:spacing w:val="-15"/>
        </w:rPr>
        <w:t> </w:t>
      </w:r>
      <w:r>
        <w:rPr/>
        <w:t>simple</w:t>
      </w:r>
      <w:r>
        <w:rPr>
          <w:spacing w:val="-15"/>
        </w:rPr>
        <w:t> </w:t>
      </w:r>
      <w:r>
        <w:rPr/>
        <w:t>(Falkenmark/water</w:t>
      </w:r>
      <w:r>
        <w:rPr>
          <w:spacing w:val="-15"/>
        </w:rPr>
        <w:t> </w:t>
      </w:r>
      <w:r>
        <w:rPr/>
        <w:t>stress</w:t>
      </w:r>
      <w:r>
        <w:rPr>
          <w:spacing w:val="-15"/>
        </w:rPr>
        <w:t> </w:t>
      </w:r>
      <w:r>
        <w:rPr/>
        <w:t>index</w:t>
      </w:r>
      <w:r>
        <w:rPr>
          <w:spacing w:val="-15"/>
        </w:rPr>
        <w:t> </w:t>
      </w:r>
      <w:r>
        <w:rPr/>
        <w:t>and</w:t>
      </w:r>
      <w:r>
        <w:rPr>
          <w:spacing w:val="-15"/>
        </w:rPr>
        <w:t> </w:t>
      </w:r>
      <w:r>
        <w:rPr/>
        <w:t>withdrawal-to-availability</w:t>
      </w:r>
      <w:r>
        <w:rPr>
          <w:spacing w:val="-15"/>
        </w:rPr>
        <w:t> </w:t>
      </w:r>
      <w:r>
        <w:rPr/>
        <w:t>ratio) and classical/holistic (social water stress index, physical and economic indicators and the water poverty index) assessment metric characterizing human environment and freshwater availability</w:t>
      </w:r>
      <w:r>
        <w:rPr>
          <w:spacing w:val="-15"/>
        </w:rPr>
        <w:t> </w:t>
      </w:r>
      <w:r>
        <w:rPr/>
        <w:t>over</w:t>
      </w:r>
      <w:r>
        <w:rPr>
          <w:spacing w:val="-14"/>
        </w:rPr>
        <w:t> </w:t>
      </w:r>
      <w:r>
        <w:rPr/>
        <w:t>the</w:t>
      </w:r>
      <w:r>
        <w:rPr>
          <w:spacing w:val="-13"/>
        </w:rPr>
        <w:t> </w:t>
      </w:r>
      <w:r>
        <w:rPr/>
        <w:t>last</w:t>
      </w:r>
      <w:r>
        <w:rPr>
          <w:spacing w:val="-12"/>
        </w:rPr>
        <w:t> </w:t>
      </w:r>
      <w:r>
        <w:rPr/>
        <w:t>three</w:t>
      </w:r>
      <w:r>
        <w:rPr>
          <w:spacing w:val="-11"/>
        </w:rPr>
        <w:t> </w:t>
      </w:r>
      <w:r>
        <w:rPr/>
        <w:t>decades</w:t>
      </w:r>
      <w:r>
        <w:rPr>
          <w:spacing w:val="-9"/>
        </w:rPr>
        <w:t> </w:t>
      </w:r>
      <w:r>
        <w:rPr/>
        <w:t>are</w:t>
      </w:r>
      <w:r>
        <w:rPr>
          <w:spacing w:val="-13"/>
        </w:rPr>
        <w:t> </w:t>
      </w:r>
      <w:r>
        <w:rPr/>
        <w:t>presented</w:t>
      </w:r>
      <w:r>
        <w:rPr>
          <w:spacing w:val="-12"/>
        </w:rPr>
        <w:t> </w:t>
      </w:r>
      <w:r>
        <w:rPr/>
        <w:t>in</w:t>
      </w:r>
      <w:r>
        <w:rPr>
          <w:spacing w:val="-7"/>
        </w:rPr>
        <w:t> </w:t>
      </w:r>
      <w:r>
        <w:rPr/>
        <w:t>this</w:t>
      </w:r>
      <w:r>
        <w:rPr>
          <w:spacing w:val="-12"/>
        </w:rPr>
        <w:t> </w:t>
      </w:r>
      <w:r>
        <w:rPr/>
        <w:t>section.</w:t>
      </w:r>
      <w:r>
        <w:rPr>
          <w:spacing w:val="-7"/>
        </w:rPr>
        <w:t> </w:t>
      </w:r>
      <w:r>
        <w:rPr/>
        <w:t>It</w:t>
      </w:r>
      <w:r>
        <w:rPr>
          <w:spacing w:val="-9"/>
        </w:rPr>
        <w:t> </w:t>
      </w:r>
      <w:r>
        <w:rPr/>
        <w:t>is</w:t>
      </w:r>
      <w:r>
        <w:rPr>
          <w:spacing w:val="-11"/>
        </w:rPr>
        <w:t> </w:t>
      </w:r>
      <w:r>
        <w:rPr/>
        <w:t>important</w:t>
      </w:r>
      <w:r>
        <w:rPr>
          <w:spacing w:val="-12"/>
        </w:rPr>
        <w:t> </w:t>
      </w:r>
      <w:r>
        <w:rPr/>
        <w:t>to</w:t>
      </w:r>
      <w:r>
        <w:rPr>
          <w:spacing w:val="-12"/>
        </w:rPr>
        <w:t> </w:t>
      </w:r>
      <w:r>
        <w:rPr/>
        <w:t>mention that while more sophisticated metrics (such as water footprint-based indicators and green- blue</w:t>
      </w:r>
      <w:r>
        <w:rPr>
          <w:spacing w:val="-10"/>
        </w:rPr>
        <w:t> </w:t>
      </w:r>
      <w:r>
        <w:rPr/>
        <w:t>water</w:t>
      </w:r>
      <w:r>
        <w:rPr>
          <w:spacing w:val="-9"/>
        </w:rPr>
        <w:t> </w:t>
      </w:r>
      <w:r>
        <w:rPr/>
        <w:t>scarcity)</w:t>
      </w:r>
      <w:r>
        <w:rPr>
          <w:spacing w:val="-10"/>
        </w:rPr>
        <w:t> </w:t>
      </w:r>
      <w:r>
        <w:rPr/>
        <w:t>have</w:t>
      </w:r>
      <w:r>
        <w:rPr>
          <w:spacing w:val="-9"/>
        </w:rPr>
        <w:t> </w:t>
      </w:r>
      <w:r>
        <w:rPr/>
        <w:t>been</w:t>
      </w:r>
      <w:r>
        <w:rPr>
          <w:spacing w:val="-9"/>
        </w:rPr>
        <w:t> </w:t>
      </w:r>
      <w:r>
        <w:rPr/>
        <w:t>developed</w:t>
      </w:r>
      <w:r>
        <w:rPr>
          <w:spacing w:val="-10"/>
        </w:rPr>
        <w:t> </w:t>
      </w:r>
      <w:r>
        <w:rPr/>
        <w:t>since</w:t>
      </w:r>
      <w:r>
        <w:rPr>
          <w:spacing w:val="-11"/>
        </w:rPr>
        <w:t> </w:t>
      </w:r>
      <w:r>
        <w:rPr/>
        <w:t>mid-2000,</w:t>
      </w:r>
      <w:r>
        <w:rPr>
          <w:spacing w:val="-10"/>
        </w:rPr>
        <w:t> </w:t>
      </w:r>
      <w:r>
        <w:rPr/>
        <w:t>the</w:t>
      </w:r>
      <w:r>
        <w:rPr>
          <w:spacing w:val="-10"/>
        </w:rPr>
        <w:t> </w:t>
      </w:r>
      <w:r>
        <w:rPr/>
        <w:t>current</w:t>
      </w:r>
      <w:r>
        <w:rPr>
          <w:spacing w:val="-8"/>
        </w:rPr>
        <w:t> </w:t>
      </w:r>
      <w:r>
        <w:rPr/>
        <w:t>review</w:t>
      </w:r>
      <w:r>
        <w:rPr>
          <w:spacing w:val="-9"/>
        </w:rPr>
        <w:t> </w:t>
      </w:r>
      <w:r>
        <w:rPr/>
        <w:t>is</w:t>
      </w:r>
      <w:r>
        <w:rPr>
          <w:spacing w:val="-10"/>
        </w:rPr>
        <w:t> </w:t>
      </w:r>
      <w:r>
        <w:rPr/>
        <w:t>limited</w:t>
      </w:r>
      <w:r>
        <w:rPr>
          <w:spacing w:val="-10"/>
        </w:rPr>
        <w:t> </w:t>
      </w:r>
      <w:r>
        <w:rPr/>
        <w:t>to</w:t>
      </w:r>
      <w:r>
        <w:rPr>
          <w:spacing w:val="-9"/>
        </w:rPr>
        <w:t> </w:t>
      </w:r>
      <w:r>
        <w:rPr/>
        <w:t>the simple and classical metrics.</w:t>
      </w:r>
    </w:p>
    <w:p>
      <w:pPr>
        <w:pStyle w:val="BodyText"/>
        <w:spacing w:before="8"/>
      </w:pPr>
    </w:p>
    <w:p>
      <w:pPr>
        <w:pStyle w:val="Heading1"/>
        <w:numPr>
          <w:ilvl w:val="2"/>
          <w:numId w:val="6"/>
        </w:numPr>
        <w:tabs>
          <w:tab w:pos="987" w:val="left" w:leader="none"/>
        </w:tabs>
        <w:spacing w:line="240" w:lineRule="auto" w:before="1" w:after="0"/>
        <w:ind w:left="987" w:right="0" w:hanging="720"/>
        <w:jc w:val="left"/>
      </w:pPr>
      <w:r>
        <w:rPr/>
        <w:t>Simple</w:t>
      </w:r>
      <w:r>
        <w:rPr>
          <w:spacing w:val="-2"/>
        </w:rPr>
        <w:t> </w:t>
      </w:r>
      <w:r>
        <w:rPr/>
        <w:t>water</w:t>
      </w:r>
      <w:r>
        <w:rPr>
          <w:spacing w:val="-3"/>
        </w:rPr>
        <w:t> </w:t>
      </w:r>
      <w:r>
        <w:rPr/>
        <w:t>scarcity </w:t>
      </w:r>
      <w:r>
        <w:rPr>
          <w:spacing w:val="-2"/>
        </w:rPr>
        <w:t>metrics</w:t>
      </w:r>
    </w:p>
    <w:p>
      <w:pPr>
        <w:pStyle w:val="BodyText"/>
        <w:spacing w:before="14"/>
        <w:rPr>
          <w:b/>
        </w:rPr>
      </w:pPr>
    </w:p>
    <w:p>
      <w:pPr>
        <w:pStyle w:val="BodyText"/>
        <w:spacing w:line="480" w:lineRule="auto"/>
        <w:ind w:left="267" w:right="733"/>
        <w:jc w:val="both"/>
      </w:pPr>
      <w:r>
        <w:rPr/>
        <w:t>The</w:t>
      </w:r>
      <w:r>
        <w:rPr>
          <w:spacing w:val="-6"/>
        </w:rPr>
        <w:t> </w:t>
      </w:r>
      <w:r>
        <w:rPr/>
        <w:t>simple/</w:t>
      </w:r>
      <w:r>
        <w:rPr>
          <w:spacing w:val="-4"/>
        </w:rPr>
        <w:t> </w:t>
      </w:r>
      <w:r>
        <w:rPr/>
        <w:t>conventional</w:t>
      </w:r>
      <w:r>
        <w:rPr>
          <w:spacing w:val="-3"/>
        </w:rPr>
        <w:t> </w:t>
      </w:r>
      <w:r>
        <w:rPr/>
        <w:t>water</w:t>
      </w:r>
      <w:r>
        <w:rPr>
          <w:spacing w:val="-6"/>
        </w:rPr>
        <w:t> </w:t>
      </w:r>
      <w:r>
        <w:rPr/>
        <w:t>scarcity</w:t>
      </w:r>
      <w:r>
        <w:rPr>
          <w:spacing w:val="-9"/>
        </w:rPr>
        <w:t> </w:t>
      </w:r>
      <w:r>
        <w:rPr/>
        <w:t>metrics</w:t>
      </w:r>
      <w:r>
        <w:rPr>
          <w:spacing w:val="-4"/>
        </w:rPr>
        <w:t> </w:t>
      </w:r>
      <w:r>
        <w:rPr/>
        <w:t>includes</w:t>
      </w:r>
      <w:r>
        <w:rPr>
          <w:spacing w:val="-4"/>
        </w:rPr>
        <w:t> </w:t>
      </w:r>
      <w:r>
        <w:rPr/>
        <w:t>both</w:t>
      </w:r>
      <w:r>
        <w:rPr>
          <w:spacing w:val="-4"/>
        </w:rPr>
        <w:t> </w:t>
      </w:r>
      <w:r>
        <w:rPr/>
        <w:t>the</w:t>
      </w:r>
      <w:r>
        <w:rPr>
          <w:spacing w:val="-4"/>
        </w:rPr>
        <w:t> </w:t>
      </w:r>
      <w:r>
        <w:rPr/>
        <w:t>Water</w:t>
      </w:r>
      <w:r>
        <w:rPr>
          <w:spacing w:val="-6"/>
        </w:rPr>
        <w:t> </w:t>
      </w:r>
      <w:r>
        <w:rPr/>
        <w:t>Stress</w:t>
      </w:r>
      <w:r>
        <w:rPr>
          <w:spacing w:val="-2"/>
        </w:rPr>
        <w:t> </w:t>
      </w:r>
      <w:r>
        <w:rPr/>
        <w:t>Index</w:t>
      </w:r>
      <w:r>
        <w:rPr>
          <w:spacing w:val="-2"/>
        </w:rPr>
        <w:t> </w:t>
      </w:r>
      <w:r>
        <w:rPr/>
        <w:t>(WSI) and Withdrawal-to-Availability Ratio (WTA).</w:t>
      </w:r>
    </w:p>
    <w:p>
      <w:pPr>
        <w:pStyle w:val="Heading1"/>
        <w:numPr>
          <w:ilvl w:val="3"/>
          <w:numId w:val="6"/>
        </w:numPr>
        <w:tabs>
          <w:tab w:pos="986" w:val="left" w:leader="none"/>
        </w:tabs>
        <w:spacing w:line="240" w:lineRule="auto" w:before="8" w:after="0"/>
        <w:ind w:left="986" w:right="0" w:hanging="719"/>
        <w:jc w:val="left"/>
      </w:pPr>
      <w:r>
        <w:rPr/>
        <w:t>Simple</w:t>
      </w:r>
      <w:r>
        <w:rPr>
          <w:spacing w:val="-5"/>
        </w:rPr>
        <w:t> </w:t>
      </w:r>
      <w:r>
        <w:rPr/>
        <w:t>falkenmark/water</w:t>
      </w:r>
      <w:r>
        <w:rPr>
          <w:spacing w:val="-3"/>
        </w:rPr>
        <w:t> </w:t>
      </w:r>
      <w:r>
        <w:rPr/>
        <w:t>stress</w:t>
      </w:r>
      <w:r>
        <w:rPr>
          <w:spacing w:val="-2"/>
        </w:rPr>
        <w:t> </w:t>
      </w:r>
      <w:r>
        <w:rPr/>
        <w:t>index</w:t>
      </w:r>
      <w:r>
        <w:rPr>
          <w:spacing w:val="1"/>
        </w:rPr>
        <w:t> </w:t>
      </w:r>
      <w:r>
        <w:rPr>
          <w:spacing w:val="-2"/>
        </w:rPr>
        <w:t>(WSI)</w:t>
      </w:r>
    </w:p>
    <w:p>
      <w:pPr>
        <w:pStyle w:val="BodyText"/>
        <w:spacing w:before="14"/>
        <w:rPr>
          <w:b/>
        </w:rPr>
      </w:pPr>
    </w:p>
    <w:p>
      <w:pPr>
        <w:pStyle w:val="BodyText"/>
        <w:spacing w:line="480" w:lineRule="auto"/>
        <w:ind w:left="267" w:right="730"/>
        <w:jc w:val="both"/>
      </w:pPr>
      <w:r>
        <w:rPr/>
        <w:t>The Water Stress/Falkenmark index is the first and most commonly used water scarcity metrics</w:t>
      </w:r>
      <w:r>
        <w:rPr>
          <w:spacing w:val="-1"/>
        </w:rPr>
        <w:t> </w:t>
      </w:r>
      <w:r>
        <w:rPr/>
        <w:t>at the global level. Though a</w:t>
      </w:r>
      <w:r>
        <w:rPr>
          <w:spacing w:val="-1"/>
        </w:rPr>
        <w:t> </w:t>
      </w:r>
      <w:r>
        <w:rPr/>
        <w:t>formal quantification of</w:t>
      </w:r>
      <w:r>
        <w:rPr>
          <w:spacing w:val="-1"/>
        </w:rPr>
        <w:t> </w:t>
      </w:r>
      <w:r>
        <w:rPr/>
        <w:t>water</w:t>
      </w:r>
      <w:r>
        <w:rPr>
          <w:spacing w:val="-1"/>
        </w:rPr>
        <w:t> </w:t>
      </w:r>
      <w:r>
        <w:rPr/>
        <w:t>scarcity</w:t>
      </w:r>
      <w:r>
        <w:rPr>
          <w:spacing w:val="-3"/>
        </w:rPr>
        <w:t> </w:t>
      </w:r>
      <w:r>
        <w:rPr/>
        <w:t>started with the development of WSI in early 1980s, the earlier research by Falkenmark and Lindh (1974) provided a quantitative linkage between freshwater and human population.</w:t>
      </w:r>
      <w:r>
        <w:rPr>
          <w:spacing w:val="-1"/>
        </w:rPr>
        <w:t> </w:t>
      </w:r>
      <w:r>
        <w:rPr/>
        <w:t>The water stress index</w:t>
      </w:r>
      <w:r>
        <w:rPr>
          <w:spacing w:val="-15"/>
        </w:rPr>
        <w:t> </w:t>
      </w:r>
      <w:r>
        <w:rPr/>
        <w:t>otherwise</w:t>
      </w:r>
      <w:r>
        <w:rPr>
          <w:spacing w:val="-15"/>
        </w:rPr>
        <w:t> </w:t>
      </w:r>
      <w:r>
        <w:rPr/>
        <w:t>known</w:t>
      </w:r>
      <w:r>
        <w:rPr>
          <w:spacing w:val="-15"/>
        </w:rPr>
        <w:t> </w:t>
      </w:r>
      <w:r>
        <w:rPr/>
        <w:t>as</w:t>
      </w:r>
      <w:r>
        <w:rPr>
          <w:spacing w:val="-15"/>
        </w:rPr>
        <w:t> </w:t>
      </w:r>
      <w:r>
        <w:rPr/>
        <w:t>the</w:t>
      </w:r>
      <w:r>
        <w:rPr>
          <w:spacing w:val="-15"/>
        </w:rPr>
        <w:t> </w:t>
      </w:r>
      <w:r>
        <w:rPr/>
        <w:t>Falkenmark</w:t>
      </w:r>
      <w:r>
        <w:rPr>
          <w:spacing w:val="-15"/>
        </w:rPr>
        <w:t> </w:t>
      </w:r>
      <w:r>
        <w:rPr/>
        <w:t>index</w:t>
      </w:r>
      <w:r>
        <w:rPr>
          <w:spacing w:val="-15"/>
        </w:rPr>
        <w:t> </w:t>
      </w:r>
      <w:r>
        <w:rPr/>
        <w:t>employed</w:t>
      </w:r>
      <w:r>
        <w:rPr>
          <w:spacing w:val="-15"/>
        </w:rPr>
        <w:t> </w:t>
      </w:r>
      <w:r>
        <w:rPr/>
        <w:t>the</w:t>
      </w:r>
      <w:r>
        <w:rPr>
          <w:spacing w:val="-15"/>
        </w:rPr>
        <w:t> </w:t>
      </w:r>
      <w:r>
        <w:rPr/>
        <w:t>logic</w:t>
      </w:r>
      <w:r>
        <w:rPr>
          <w:spacing w:val="-15"/>
        </w:rPr>
        <w:t> </w:t>
      </w:r>
      <w:r>
        <w:rPr/>
        <w:t>that</w:t>
      </w:r>
      <w:r>
        <w:rPr>
          <w:spacing w:val="-15"/>
        </w:rPr>
        <w:t> </w:t>
      </w:r>
      <w:r>
        <w:rPr/>
        <w:t>the</w:t>
      </w:r>
      <w:r>
        <w:rPr>
          <w:spacing w:val="-15"/>
        </w:rPr>
        <w:t> </w:t>
      </w:r>
      <w:r>
        <w:rPr/>
        <w:t>potential</w:t>
      </w:r>
      <w:r>
        <w:rPr>
          <w:spacing w:val="-15"/>
        </w:rPr>
        <w:t> </w:t>
      </w:r>
      <w:r>
        <w:rPr/>
        <w:t>conflict </w:t>
      </w:r>
      <w:r>
        <w:rPr>
          <w:spacing w:val="-2"/>
        </w:rPr>
        <w:t>over</w:t>
      </w:r>
      <w:r>
        <w:rPr>
          <w:spacing w:val="-5"/>
        </w:rPr>
        <w:t> </w:t>
      </w:r>
      <w:r>
        <w:rPr>
          <w:spacing w:val="-2"/>
        </w:rPr>
        <w:t>water</w:t>
      </w:r>
      <w:r>
        <w:rPr>
          <w:spacing w:val="-5"/>
        </w:rPr>
        <w:t> </w:t>
      </w:r>
      <w:r>
        <w:rPr>
          <w:spacing w:val="-2"/>
        </w:rPr>
        <w:t>availability</w:t>
      </w:r>
      <w:r>
        <w:rPr>
          <w:spacing w:val="-10"/>
        </w:rPr>
        <w:t> </w:t>
      </w:r>
      <w:r>
        <w:rPr>
          <w:spacing w:val="-2"/>
        </w:rPr>
        <w:t>is</w:t>
      </w:r>
      <w:r>
        <w:rPr>
          <w:spacing w:val="-3"/>
        </w:rPr>
        <w:t> </w:t>
      </w:r>
      <w:r>
        <w:rPr>
          <w:spacing w:val="-2"/>
        </w:rPr>
        <w:t>best</w:t>
      </w:r>
      <w:r>
        <w:rPr>
          <w:spacing w:val="-3"/>
        </w:rPr>
        <w:t> </w:t>
      </w:r>
      <w:r>
        <w:rPr>
          <w:spacing w:val="-2"/>
        </w:rPr>
        <w:t>measured</w:t>
      </w:r>
      <w:r>
        <w:rPr>
          <w:spacing w:val="-4"/>
        </w:rPr>
        <w:t> </w:t>
      </w:r>
      <w:r>
        <w:rPr>
          <w:spacing w:val="-2"/>
        </w:rPr>
        <w:t>by</w:t>
      </w:r>
      <w:r>
        <w:rPr>
          <w:spacing w:val="-10"/>
        </w:rPr>
        <w:t> </w:t>
      </w:r>
      <w:r>
        <w:rPr>
          <w:spacing w:val="-2"/>
        </w:rPr>
        <w:t>water</w:t>
      </w:r>
      <w:r>
        <w:rPr>
          <w:spacing w:val="-3"/>
        </w:rPr>
        <w:t> </w:t>
      </w:r>
      <w:r>
        <w:rPr>
          <w:spacing w:val="-2"/>
        </w:rPr>
        <w:t>availability</w:t>
      </w:r>
      <w:r>
        <w:rPr>
          <w:spacing w:val="-13"/>
        </w:rPr>
        <w:t> </w:t>
      </w:r>
      <w:r>
        <w:rPr>
          <w:spacing w:val="-2"/>
        </w:rPr>
        <w:t>per capital</w:t>
      </w:r>
      <w:r>
        <w:rPr>
          <w:spacing w:val="-3"/>
        </w:rPr>
        <w:t> </w:t>
      </w:r>
      <w:r>
        <w:rPr>
          <w:spacing w:val="-2"/>
        </w:rPr>
        <w:t>per year</w:t>
      </w:r>
      <w:r>
        <w:rPr>
          <w:spacing w:val="-5"/>
        </w:rPr>
        <w:t> </w:t>
      </w:r>
      <w:r>
        <w:rPr>
          <w:spacing w:val="-2"/>
        </w:rPr>
        <w:t>(Falkenmark </w:t>
      </w:r>
      <w:r>
        <w:rPr>
          <w:i/>
        </w:rPr>
        <w:t>et al.</w:t>
      </w:r>
      <w:r>
        <w:rPr/>
        <w:t>, 1989).</w:t>
      </w:r>
      <w:r>
        <w:rPr>
          <w:spacing w:val="40"/>
        </w:rPr>
        <w:t> </w:t>
      </w:r>
      <w:r>
        <w:rPr/>
        <w:t>As apparent in the Figure 2.5, the WSI demonstrates freshwater availability differences</w:t>
      </w:r>
      <w:r>
        <w:rPr>
          <w:spacing w:val="16"/>
        </w:rPr>
        <w:t> </w:t>
      </w:r>
      <w:r>
        <w:rPr/>
        <w:t>in</w:t>
      </w:r>
      <w:r>
        <w:rPr>
          <w:spacing w:val="19"/>
        </w:rPr>
        <w:t> </w:t>
      </w:r>
      <w:r>
        <w:rPr/>
        <w:t>terms</w:t>
      </w:r>
      <w:r>
        <w:rPr>
          <w:spacing w:val="18"/>
        </w:rPr>
        <w:t> </w:t>
      </w:r>
      <w:r>
        <w:rPr/>
        <w:t>of</w:t>
      </w:r>
      <w:r>
        <w:rPr>
          <w:spacing w:val="18"/>
        </w:rPr>
        <w:t> </w:t>
      </w:r>
      <w:r>
        <w:rPr/>
        <w:t>the</w:t>
      </w:r>
      <w:r>
        <w:rPr>
          <w:spacing w:val="17"/>
        </w:rPr>
        <w:t> </w:t>
      </w:r>
      <w:r>
        <w:rPr/>
        <w:t>number</w:t>
      </w:r>
      <w:r>
        <w:rPr>
          <w:spacing w:val="17"/>
        </w:rPr>
        <w:t> </w:t>
      </w:r>
      <w:r>
        <w:rPr/>
        <w:t>of</w:t>
      </w:r>
      <w:r>
        <w:rPr>
          <w:spacing w:val="17"/>
        </w:rPr>
        <w:t> </w:t>
      </w:r>
      <w:r>
        <w:rPr/>
        <w:t>people</w:t>
      </w:r>
      <w:r>
        <w:rPr>
          <w:spacing w:val="18"/>
        </w:rPr>
        <w:t> </w:t>
      </w:r>
      <w:r>
        <w:rPr/>
        <w:t>that</w:t>
      </w:r>
      <w:r>
        <w:rPr>
          <w:spacing w:val="18"/>
        </w:rPr>
        <w:t> </w:t>
      </w:r>
      <w:r>
        <w:rPr/>
        <w:t>can</w:t>
      </w:r>
      <w:r>
        <w:rPr>
          <w:spacing w:val="18"/>
        </w:rPr>
        <w:t> </w:t>
      </w:r>
      <w:r>
        <w:rPr/>
        <w:t>compete</w:t>
      </w:r>
      <w:r>
        <w:rPr>
          <w:spacing w:val="17"/>
        </w:rPr>
        <w:t> </w:t>
      </w:r>
      <w:r>
        <w:rPr/>
        <w:t>to</w:t>
      </w:r>
      <w:r>
        <w:rPr>
          <w:spacing w:val="19"/>
        </w:rPr>
        <w:t> </w:t>
      </w:r>
      <w:r>
        <w:rPr/>
        <w:t>be</w:t>
      </w:r>
      <w:r>
        <w:rPr>
          <w:spacing w:val="22"/>
        </w:rPr>
        <w:t> </w:t>
      </w:r>
      <w:r>
        <w:rPr/>
        <w:t>sustained</w:t>
      </w:r>
      <w:r>
        <w:rPr>
          <w:spacing w:val="17"/>
        </w:rPr>
        <w:t> </w:t>
      </w:r>
      <w:r>
        <w:rPr/>
        <w:t>by</w:t>
      </w:r>
      <w:r>
        <w:rPr>
          <w:spacing w:val="16"/>
        </w:rPr>
        <w:t> </w:t>
      </w:r>
      <w:r>
        <w:rPr/>
        <w:t>a</w:t>
      </w:r>
      <w:r>
        <w:rPr>
          <w:spacing w:val="18"/>
        </w:rPr>
        <w:t> </w:t>
      </w:r>
      <w:r>
        <w:rPr>
          <w:spacing w:val="-2"/>
        </w:rPr>
        <w:t>single</w:t>
      </w:r>
    </w:p>
    <w:p>
      <w:pPr>
        <w:spacing w:after="0" w:line="480" w:lineRule="auto"/>
        <w:jc w:val="both"/>
        <w:sectPr>
          <w:pgSz w:w="12240" w:h="15840"/>
          <w:pgMar w:header="0" w:footer="1068" w:top="1340" w:bottom="1260" w:left="1720" w:right="680"/>
        </w:sectPr>
      </w:pPr>
    </w:p>
    <w:p>
      <w:pPr>
        <w:pStyle w:val="BodyText"/>
        <w:spacing w:before="83"/>
        <w:ind w:left="267"/>
        <w:jc w:val="both"/>
      </w:pPr>
      <w:r>
        <w:rPr/>
        <w:t>flow</w:t>
      </w:r>
      <w:r>
        <w:rPr>
          <w:spacing w:val="-16"/>
        </w:rPr>
        <w:t> </w:t>
      </w:r>
      <w:r>
        <w:rPr/>
        <w:t>unit</w:t>
      </w:r>
      <w:r>
        <w:rPr>
          <w:spacing w:val="-15"/>
        </w:rPr>
        <w:t> </w:t>
      </w:r>
      <w:r>
        <w:rPr/>
        <w:t>of</w:t>
      </w:r>
      <w:r>
        <w:rPr>
          <w:spacing w:val="-14"/>
        </w:rPr>
        <w:t> </w:t>
      </w:r>
      <w:r>
        <w:rPr/>
        <w:t>water-</w:t>
      </w:r>
      <w:r>
        <w:rPr>
          <w:spacing w:val="-16"/>
        </w:rPr>
        <w:t> </w:t>
      </w:r>
      <w:r>
        <w:rPr/>
        <w:t>which</w:t>
      </w:r>
      <w:r>
        <w:rPr>
          <w:spacing w:val="-13"/>
        </w:rPr>
        <w:t> </w:t>
      </w:r>
      <w:r>
        <w:rPr/>
        <w:t>is</w:t>
      </w:r>
      <w:r>
        <w:rPr>
          <w:spacing w:val="-14"/>
        </w:rPr>
        <w:t> </w:t>
      </w:r>
      <w:r>
        <w:rPr/>
        <w:t>defined</w:t>
      </w:r>
      <w:r>
        <w:rPr>
          <w:spacing w:val="-12"/>
        </w:rPr>
        <w:t> </w:t>
      </w:r>
      <w:r>
        <w:rPr/>
        <w:t>as</w:t>
      </w:r>
      <w:r>
        <w:rPr>
          <w:spacing w:val="-15"/>
        </w:rPr>
        <w:t> </w:t>
      </w:r>
      <w:r>
        <w:rPr/>
        <w:t>10</w:t>
      </w:r>
      <w:r>
        <w:rPr>
          <w:vertAlign w:val="superscript"/>
        </w:rPr>
        <w:t>6</w:t>
      </w:r>
      <w:r>
        <w:rPr>
          <w:vertAlign w:val="baseline"/>
        </w:rPr>
        <w:t>m</w:t>
      </w:r>
      <w:r>
        <w:rPr>
          <w:vertAlign w:val="superscript"/>
        </w:rPr>
        <w:t>3</w:t>
      </w:r>
      <w:r>
        <w:rPr>
          <w:spacing w:val="-15"/>
          <w:vertAlign w:val="baseline"/>
        </w:rPr>
        <w:t> </w:t>
      </w:r>
      <w:r>
        <w:rPr>
          <w:vertAlign w:val="baseline"/>
        </w:rPr>
        <w:t>per</w:t>
      </w:r>
      <w:r>
        <w:rPr>
          <w:spacing w:val="-16"/>
          <w:vertAlign w:val="baseline"/>
        </w:rPr>
        <w:t> </w:t>
      </w:r>
      <w:r>
        <w:rPr>
          <w:vertAlign w:val="baseline"/>
        </w:rPr>
        <w:t>capita</w:t>
      </w:r>
      <w:r>
        <w:rPr>
          <w:spacing w:val="-13"/>
          <w:vertAlign w:val="baseline"/>
        </w:rPr>
        <w:t> </w:t>
      </w:r>
      <w:r>
        <w:rPr>
          <w:vertAlign w:val="baseline"/>
        </w:rPr>
        <w:t>year</w:t>
      </w:r>
      <w:r>
        <w:rPr>
          <w:spacing w:val="-13"/>
          <w:vertAlign w:val="baseline"/>
        </w:rPr>
        <w:t> </w:t>
      </w:r>
      <w:r>
        <w:rPr>
          <w:vertAlign w:val="baseline"/>
        </w:rPr>
        <w:t>(Falkenmark,</w:t>
      </w:r>
      <w:r>
        <w:rPr>
          <w:spacing w:val="-16"/>
          <w:vertAlign w:val="baseline"/>
        </w:rPr>
        <w:t> </w:t>
      </w:r>
      <w:r>
        <w:rPr>
          <w:vertAlign w:val="baseline"/>
        </w:rPr>
        <w:t>1986,</w:t>
      </w:r>
      <w:r>
        <w:rPr>
          <w:spacing w:val="33"/>
          <w:vertAlign w:val="baseline"/>
        </w:rPr>
        <w:t> </w:t>
      </w:r>
      <w:r>
        <w:rPr>
          <w:spacing w:val="-2"/>
          <w:vertAlign w:val="baseline"/>
        </w:rPr>
        <w:t>Falkenmark</w:t>
      </w:r>
    </w:p>
    <w:p>
      <w:pPr>
        <w:pStyle w:val="BodyText"/>
      </w:pPr>
    </w:p>
    <w:p>
      <w:pPr>
        <w:spacing w:before="0"/>
        <w:ind w:left="267" w:right="0" w:firstLine="0"/>
        <w:jc w:val="both"/>
        <w:rPr>
          <w:sz w:val="24"/>
        </w:rPr>
      </w:pPr>
      <w:r>
        <w:rPr>
          <w:i/>
          <w:sz w:val="24"/>
        </w:rPr>
        <w:t>et</w:t>
      </w:r>
      <w:r>
        <w:rPr>
          <w:i/>
          <w:spacing w:val="-1"/>
          <w:sz w:val="24"/>
        </w:rPr>
        <w:t> </w:t>
      </w:r>
      <w:r>
        <w:rPr>
          <w:i/>
          <w:sz w:val="24"/>
        </w:rPr>
        <w:t>al.</w:t>
      </w:r>
      <w:r>
        <w:rPr>
          <w:sz w:val="24"/>
        </w:rPr>
        <w:t>, </w:t>
      </w:r>
      <w:r>
        <w:rPr>
          <w:spacing w:val="-2"/>
          <w:sz w:val="24"/>
        </w:rPr>
        <w:t>1989).</w:t>
      </w:r>
    </w:p>
    <w:p>
      <w:pPr>
        <w:pStyle w:val="BodyText"/>
        <w:spacing w:before="43"/>
        <w:rPr>
          <w:sz w:val="20"/>
        </w:rPr>
      </w:pPr>
      <w:r>
        <w:rPr/>
        <mc:AlternateContent>
          <mc:Choice Requires="wps">
            <w:drawing>
              <wp:anchor distT="0" distB="0" distL="0" distR="0" allowOverlap="1" layoutInCell="1" locked="0" behindDoc="1" simplePos="0" relativeHeight="487590912">
                <wp:simplePos x="0" y="0"/>
                <wp:positionH relativeFrom="page">
                  <wp:posOffset>1668779</wp:posOffset>
                </wp:positionH>
                <wp:positionV relativeFrom="paragraph">
                  <wp:posOffset>189655</wp:posOffset>
                </wp:positionV>
                <wp:extent cx="4794885" cy="1696720"/>
                <wp:effectExtent l="0" t="0" r="0" b="0"/>
                <wp:wrapTopAndBottom/>
                <wp:docPr id="23" name="Group 23" descr="Diagram  Description automatically generated"/>
                <wp:cNvGraphicFramePr>
                  <a:graphicFrameLocks/>
                </wp:cNvGraphicFramePr>
                <a:graphic>
                  <a:graphicData uri="http://schemas.microsoft.com/office/word/2010/wordprocessingGroup">
                    <wpg:wgp>
                      <wpg:cNvPr id="23" name="Group 23" descr="Diagram  Description automatically generated"/>
                      <wpg:cNvGrpSpPr/>
                      <wpg:grpSpPr>
                        <a:xfrm>
                          <a:off x="0" y="0"/>
                          <a:ext cx="4794885" cy="1696720"/>
                          <a:chExt cx="4794885" cy="1696720"/>
                        </a:xfrm>
                      </wpg:grpSpPr>
                      <pic:pic>
                        <pic:nvPicPr>
                          <pic:cNvPr id="24" name="Image 24" descr="Diagram  Description automatically generated"/>
                          <pic:cNvPicPr/>
                        </pic:nvPicPr>
                        <pic:blipFill>
                          <a:blip r:embed="rId15" cstate="print"/>
                          <a:stretch>
                            <a:fillRect/>
                          </a:stretch>
                        </pic:blipFill>
                        <pic:spPr>
                          <a:xfrm>
                            <a:off x="9144" y="9144"/>
                            <a:ext cx="4776216" cy="1643680"/>
                          </a:xfrm>
                          <a:prstGeom prst="rect">
                            <a:avLst/>
                          </a:prstGeom>
                        </pic:spPr>
                      </pic:pic>
                      <wps:wsp>
                        <wps:cNvPr id="25" name="Graphic 25"/>
                        <wps:cNvSpPr/>
                        <wps:spPr>
                          <a:xfrm>
                            <a:off x="4572" y="4572"/>
                            <a:ext cx="4785360" cy="1687195"/>
                          </a:xfrm>
                          <a:custGeom>
                            <a:avLst/>
                            <a:gdLst/>
                            <a:ahLst/>
                            <a:cxnLst/>
                            <a:rect l="l" t="t" r="r" b="b"/>
                            <a:pathLst>
                              <a:path w="4785360" h="1687195">
                                <a:moveTo>
                                  <a:pt x="0" y="1687068"/>
                                </a:moveTo>
                                <a:lnTo>
                                  <a:pt x="4785360" y="1687068"/>
                                </a:lnTo>
                                <a:lnTo>
                                  <a:pt x="4785360" y="0"/>
                                </a:lnTo>
                                <a:lnTo>
                                  <a:pt x="0" y="0"/>
                                </a:lnTo>
                                <a:lnTo>
                                  <a:pt x="0" y="16870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399994pt;margin-top:14.933516pt;width:377.55pt;height:133.6pt;mso-position-horizontal-relative:page;mso-position-vertical-relative:paragraph;z-index:-15725568;mso-wrap-distance-left:0;mso-wrap-distance-right:0" id="docshapegroup23" coordorigin="2628,299" coordsize="7551,2672" alt="Diagram  Description automatically generated">
                <v:shape style="position:absolute;left:2642;top:313;width:7522;height:2589" type="#_x0000_t75" id="docshape24" alt="Diagram  Description automatically generated" stroked="false">
                  <v:imagedata r:id="rId15" o:title=""/>
                </v:shape>
                <v:rect style="position:absolute;left:2635;top:305;width:7536;height:2657" id="docshape25" filled="false" stroked="true" strokeweight=".72pt" strokecolor="#000000">
                  <v:stroke dashstyle="solid"/>
                </v:rect>
                <w10:wrap type="topAndBottom"/>
              </v:group>
            </w:pict>
          </mc:Fallback>
        </mc:AlternateContent>
      </w:r>
    </w:p>
    <w:p>
      <w:pPr>
        <w:pStyle w:val="Heading1"/>
        <w:spacing w:line="274" w:lineRule="exact" w:before="12"/>
        <w:ind w:left="0" w:right="464"/>
        <w:jc w:val="center"/>
      </w:pPr>
      <w:r>
        <w:rPr/>
        <w:t>Figure</w:t>
      </w:r>
      <w:r>
        <w:rPr>
          <w:spacing w:val="-5"/>
        </w:rPr>
        <w:t> </w:t>
      </w:r>
      <w:r>
        <w:rPr/>
        <w:t>2.5:</w:t>
      </w:r>
      <w:r>
        <w:rPr>
          <w:spacing w:val="-2"/>
        </w:rPr>
        <w:t> </w:t>
      </w:r>
      <w:r>
        <w:rPr/>
        <w:t>Visualization</w:t>
      </w:r>
      <w:r>
        <w:rPr>
          <w:spacing w:val="-1"/>
        </w:rPr>
        <w:t> </w:t>
      </w:r>
      <w:r>
        <w:rPr/>
        <w:t>of Different</w:t>
      </w:r>
      <w:r>
        <w:rPr>
          <w:spacing w:val="-1"/>
        </w:rPr>
        <w:t> </w:t>
      </w:r>
      <w:r>
        <w:rPr/>
        <w:t>Levels</w:t>
      </w:r>
      <w:r>
        <w:rPr>
          <w:spacing w:val="-1"/>
        </w:rPr>
        <w:t> </w:t>
      </w:r>
      <w:r>
        <w:rPr/>
        <w:t>of</w:t>
      </w:r>
      <w:r>
        <w:rPr>
          <w:spacing w:val="-1"/>
        </w:rPr>
        <w:t> </w:t>
      </w:r>
      <w:r>
        <w:rPr/>
        <w:t>Water</w:t>
      </w:r>
      <w:r>
        <w:rPr>
          <w:spacing w:val="-2"/>
        </w:rPr>
        <w:t> Competition</w:t>
      </w:r>
    </w:p>
    <w:p>
      <w:pPr>
        <w:pStyle w:val="BodyText"/>
        <w:spacing w:line="274" w:lineRule="exact"/>
        <w:ind w:left="9" w:right="475"/>
        <w:jc w:val="center"/>
      </w:pPr>
      <w:r>
        <w:rPr/>
        <w:t>Source:</w:t>
      </w:r>
      <w:r>
        <w:rPr>
          <w:spacing w:val="-2"/>
        </w:rPr>
        <w:t> </w:t>
      </w:r>
      <w:r>
        <w:rPr/>
        <w:t>Adapted from</w:t>
      </w:r>
      <w:r>
        <w:rPr>
          <w:spacing w:val="-1"/>
        </w:rPr>
        <w:t> </w:t>
      </w:r>
      <w:r>
        <w:rPr/>
        <w:t>Falkenmark,</w:t>
      </w:r>
      <w:r>
        <w:rPr>
          <w:spacing w:val="-1"/>
        </w:rPr>
        <w:t> </w:t>
      </w:r>
      <w:r>
        <w:rPr>
          <w:spacing w:val="-2"/>
        </w:rPr>
        <w:t>(1989).</w:t>
      </w:r>
    </w:p>
    <w:p>
      <w:pPr>
        <w:pStyle w:val="BodyText"/>
      </w:pPr>
    </w:p>
    <w:p>
      <w:pPr>
        <w:pStyle w:val="BodyText"/>
        <w:spacing w:line="480" w:lineRule="auto"/>
        <w:ind w:left="267" w:right="726"/>
        <w:jc w:val="both"/>
      </w:pPr>
      <w:r>
        <w:rPr/>
        <w:t>Each cube indicates the flow of 1million cubic metre per year available in terrestrial water system; each dot represents 100 individuals depending on that water (Falkenmark </w:t>
      </w:r>
      <w:r>
        <w:rPr>
          <w:i/>
        </w:rPr>
        <w:t>et al., </w:t>
      </w:r>
      <w:r>
        <w:rPr/>
        <w:t>1989)</w:t>
      </w:r>
      <w:r>
        <w:rPr>
          <w:spacing w:val="-6"/>
        </w:rPr>
        <w:t> </w:t>
      </w:r>
      <w:r>
        <w:rPr/>
        <w:t>stated</w:t>
      </w:r>
      <w:r>
        <w:rPr>
          <w:spacing w:val="-5"/>
        </w:rPr>
        <w:t> </w:t>
      </w:r>
      <w:r>
        <w:rPr/>
        <w:t>that</w:t>
      </w:r>
      <w:r>
        <w:rPr>
          <w:spacing w:val="-3"/>
        </w:rPr>
        <w:t> </w:t>
      </w:r>
      <w:r>
        <w:rPr/>
        <w:t>water</w:t>
      </w:r>
      <w:r>
        <w:rPr>
          <w:spacing w:val="-6"/>
        </w:rPr>
        <w:t> </w:t>
      </w:r>
      <w:r>
        <w:rPr/>
        <w:t>consumption</w:t>
      </w:r>
      <w:r>
        <w:rPr>
          <w:spacing w:val="-5"/>
        </w:rPr>
        <w:t> </w:t>
      </w:r>
      <w:r>
        <w:rPr/>
        <w:t>levels</w:t>
      </w:r>
      <w:r>
        <w:rPr>
          <w:spacing w:val="-4"/>
        </w:rPr>
        <w:t> </w:t>
      </w:r>
      <w:r>
        <w:rPr/>
        <w:t>in</w:t>
      </w:r>
      <w:r>
        <w:rPr>
          <w:spacing w:val="-4"/>
        </w:rPr>
        <w:t> </w:t>
      </w:r>
      <w:r>
        <w:rPr/>
        <w:t>most</w:t>
      </w:r>
      <w:r>
        <w:rPr>
          <w:spacing w:val="-4"/>
        </w:rPr>
        <w:t> </w:t>
      </w:r>
      <w:r>
        <w:rPr/>
        <w:t>industrialized</w:t>
      </w:r>
      <w:r>
        <w:rPr>
          <w:spacing w:val="-5"/>
        </w:rPr>
        <w:t> </w:t>
      </w:r>
      <w:r>
        <w:rPr/>
        <w:t>countries</w:t>
      </w:r>
      <w:r>
        <w:rPr>
          <w:spacing w:val="-2"/>
        </w:rPr>
        <w:t> </w:t>
      </w:r>
      <w:r>
        <w:rPr/>
        <w:t>is</w:t>
      </w:r>
      <w:r>
        <w:rPr>
          <w:spacing w:val="-4"/>
        </w:rPr>
        <w:t> </w:t>
      </w:r>
      <w:r>
        <w:rPr/>
        <w:t>in</w:t>
      </w:r>
      <w:r>
        <w:rPr>
          <w:spacing w:val="-4"/>
        </w:rPr>
        <w:t> </w:t>
      </w:r>
      <w:r>
        <w:rPr/>
        <w:t>the</w:t>
      </w:r>
      <w:r>
        <w:rPr>
          <w:spacing w:val="-5"/>
        </w:rPr>
        <w:t> </w:t>
      </w:r>
      <w:r>
        <w:rPr/>
        <w:t>range</w:t>
      </w:r>
      <w:r>
        <w:rPr>
          <w:spacing w:val="-6"/>
        </w:rPr>
        <w:t> </w:t>
      </w:r>
      <w:r>
        <w:rPr/>
        <w:t>of 100-500 people per flow unit (which was later adjusted to 600 people per flow unit (approximately 1700m</w:t>
      </w:r>
      <w:r>
        <w:rPr>
          <w:vertAlign w:val="superscript"/>
        </w:rPr>
        <w:t>3</w:t>
      </w:r>
      <w:r>
        <w:rPr>
          <w:vertAlign w:val="baseline"/>
        </w:rPr>
        <w:t>) so as not to exaggerate the situation). This value of 1700m</w:t>
      </w:r>
      <w:r>
        <w:rPr>
          <w:vertAlign w:val="superscript"/>
        </w:rPr>
        <w:t>3</w:t>
      </w:r>
      <w:r>
        <w:rPr>
          <w:vertAlign w:val="baseline"/>
        </w:rPr>
        <w:t> was therefore proposed as the threshold for water stress, below which varying degrees of water competition emerge. Based on this benchmark, Falkenmark </w:t>
      </w:r>
      <w:r>
        <w:rPr>
          <w:i/>
          <w:vertAlign w:val="baseline"/>
        </w:rPr>
        <w:t>et al., </w:t>
      </w:r>
      <w:r>
        <w:rPr>
          <w:vertAlign w:val="baseline"/>
        </w:rPr>
        <w:t>1989) categorized water condition in most countries based on the three (3) thresholds of water scarcity, water stress and absolute scarcity as shown in Table 2.1.</w:t>
      </w:r>
    </w:p>
    <w:p>
      <w:pPr>
        <w:pStyle w:val="Heading1"/>
        <w:spacing w:before="6" w:after="3"/>
        <w:jc w:val="both"/>
      </w:pPr>
      <w:r>
        <w:rPr/>
        <w:t>Table</w:t>
      </w:r>
      <w:r>
        <w:rPr>
          <w:spacing w:val="-2"/>
        </w:rPr>
        <w:t> </w:t>
      </w:r>
      <w:r>
        <w:rPr/>
        <w:t>2.1:</w:t>
      </w:r>
      <w:r>
        <w:rPr>
          <w:spacing w:val="-1"/>
        </w:rPr>
        <w:t> </w:t>
      </w:r>
      <w:r>
        <w:rPr/>
        <w:t>Summary</w:t>
      </w:r>
      <w:r>
        <w:rPr>
          <w:spacing w:val="-2"/>
        </w:rPr>
        <w:t> </w:t>
      </w:r>
      <w:r>
        <w:rPr/>
        <w:t>of</w:t>
      </w:r>
      <w:r>
        <w:rPr>
          <w:spacing w:val="1"/>
        </w:rPr>
        <w:t> </w:t>
      </w:r>
      <w:r>
        <w:rPr/>
        <w:t>Water</w:t>
      </w:r>
      <w:r>
        <w:rPr>
          <w:spacing w:val="-3"/>
        </w:rPr>
        <w:t> </w:t>
      </w:r>
      <w:r>
        <w:rPr/>
        <w:t>Stress</w:t>
      </w:r>
      <w:r>
        <w:rPr>
          <w:spacing w:val="-1"/>
        </w:rPr>
        <w:t> </w:t>
      </w:r>
      <w:r>
        <w:rPr/>
        <w:t>Index</w:t>
      </w:r>
      <w:r>
        <w:rPr>
          <w:spacing w:val="-1"/>
        </w:rPr>
        <w:t> </w:t>
      </w:r>
      <w:r>
        <w:rPr>
          <w:spacing w:val="-2"/>
        </w:rPr>
        <w:t>thresholds</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3599"/>
        <w:gridCol w:w="3521"/>
      </w:tblGrid>
      <w:tr>
        <w:trPr>
          <w:trHeight w:val="585" w:hRule="atLeast"/>
        </w:trPr>
        <w:tc>
          <w:tcPr>
            <w:tcW w:w="1728" w:type="dxa"/>
            <w:tcBorders>
              <w:top w:val="single" w:sz="8" w:space="0" w:color="000000"/>
            </w:tcBorders>
          </w:tcPr>
          <w:p>
            <w:pPr>
              <w:pStyle w:val="TableParagraph"/>
              <w:spacing w:line="228" w:lineRule="exact"/>
              <w:ind w:left="115"/>
              <w:rPr>
                <w:b/>
                <w:sz w:val="20"/>
              </w:rPr>
            </w:pPr>
            <w:r>
              <w:rPr>
                <w:b/>
                <w:spacing w:val="-2"/>
                <w:sz w:val="20"/>
              </w:rPr>
              <w:t>CATEGORY</w:t>
            </w:r>
          </w:p>
        </w:tc>
        <w:tc>
          <w:tcPr>
            <w:tcW w:w="3599" w:type="dxa"/>
            <w:tcBorders>
              <w:top w:val="single" w:sz="8" w:space="0" w:color="000000"/>
            </w:tcBorders>
          </w:tcPr>
          <w:p>
            <w:pPr>
              <w:pStyle w:val="TableParagraph"/>
              <w:spacing w:line="228" w:lineRule="exact"/>
              <w:ind w:left="319"/>
              <w:rPr>
                <w:b/>
                <w:sz w:val="20"/>
              </w:rPr>
            </w:pPr>
            <w:r>
              <w:rPr>
                <w:b/>
                <w:sz w:val="20"/>
              </w:rPr>
              <w:t>Inverted</w:t>
            </w:r>
            <w:r>
              <w:rPr>
                <w:b/>
                <w:spacing w:val="-8"/>
                <w:sz w:val="20"/>
              </w:rPr>
              <w:t> </w:t>
            </w:r>
            <w:r>
              <w:rPr>
                <w:b/>
                <w:sz w:val="20"/>
              </w:rPr>
              <w:t>WSI</w:t>
            </w:r>
            <w:r>
              <w:rPr>
                <w:b/>
                <w:spacing w:val="-7"/>
                <w:sz w:val="20"/>
              </w:rPr>
              <w:t> </w:t>
            </w:r>
            <w:r>
              <w:rPr>
                <w:b/>
                <w:sz w:val="20"/>
              </w:rPr>
              <w:t>(People/Flow</w:t>
            </w:r>
            <w:r>
              <w:rPr>
                <w:b/>
                <w:spacing w:val="-6"/>
                <w:sz w:val="20"/>
              </w:rPr>
              <w:t> </w:t>
            </w:r>
            <w:r>
              <w:rPr>
                <w:b/>
                <w:spacing w:val="-2"/>
                <w:sz w:val="20"/>
              </w:rPr>
              <w:t>Unit)</w:t>
            </w:r>
          </w:p>
        </w:tc>
        <w:tc>
          <w:tcPr>
            <w:tcW w:w="3521" w:type="dxa"/>
            <w:tcBorders>
              <w:top w:val="single" w:sz="8" w:space="0" w:color="000000"/>
            </w:tcBorders>
          </w:tcPr>
          <w:p>
            <w:pPr>
              <w:pStyle w:val="TableParagraph"/>
              <w:tabs>
                <w:tab w:pos="1968" w:val="left" w:leader="none"/>
                <w:tab w:pos="2599" w:val="left" w:leader="none"/>
              </w:tabs>
              <w:spacing w:line="228" w:lineRule="exact"/>
              <w:ind w:left="457"/>
              <w:rPr>
                <w:b/>
                <w:sz w:val="20"/>
              </w:rPr>
            </w:pPr>
            <w:r>
              <w:rPr>
                <w:b/>
                <w:spacing w:val="-2"/>
                <w:sz w:val="20"/>
              </w:rPr>
              <w:t>Contemporary</w:t>
            </w:r>
            <w:r>
              <w:rPr>
                <w:b/>
                <w:sz w:val="20"/>
              </w:rPr>
              <w:tab/>
            </w:r>
            <w:r>
              <w:rPr>
                <w:b/>
                <w:spacing w:val="-5"/>
                <w:sz w:val="20"/>
              </w:rPr>
              <w:t>WSI</w:t>
            </w:r>
            <w:r>
              <w:rPr>
                <w:b/>
                <w:sz w:val="20"/>
              </w:rPr>
              <w:tab/>
            </w:r>
            <w:r>
              <w:rPr>
                <w:b/>
                <w:spacing w:val="-2"/>
                <w:sz w:val="20"/>
              </w:rPr>
              <w:t>threshold</w:t>
            </w:r>
          </w:p>
          <w:p>
            <w:pPr>
              <w:pStyle w:val="TableParagraph"/>
              <w:tabs>
                <w:tab w:pos="3523" w:val="left" w:leader="none"/>
              </w:tabs>
              <w:spacing w:before="1"/>
              <w:ind w:left="-5320" w:right="-15"/>
              <w:rPr>
                <w:b/>
                <w:sz w:val="20"/>
              </w:rPr>
            </w:pPr>
            <w:r>
              <w:rPr>
                <w:b/>
                <w:spacing w:val="77"/>
                <w:w w:val="150"/>
                <w:sz w:val="20"/>
                <w:u w:val="single"/>
              </w:rPr>
              <w:t>                                      </w:t>
            </w:r>
            <w:r>
              <w:rPr>
                <w:b/>
                <w:spacing w:val="-2"/>
                <w:sz w:val="20"/>
                <w:u w:val="single"/>
              </w:rPr>
              <w:t>(m³/capital/year)</w:t>
            </w:r>
            <w:r>
              <w:rPr>
                <w:b/>
                <w:sz w:val="20"/>
                <w:u w:val="single"/>
              </w:rPr>
              <w:tab/>
            </w:r>
          </w:p>
        </w:tc>
      </w:tr>
      <w:tr>
        <w:trPr>
          <w:trHeight w:val="469" w:hRule="atLeast"/>
        </w:trPr>
        <w:tc>
          <w:tcPr>
            <w:tcW w:w="1728" w:type="dxa"/>
          </w:tcPr>
          <w:p>
            <w:pPr>
              <w:pStyle w:val="TableParagraph"/>
              <w:spacing w:before="123"/>
              <w:ind w:left="115"/>
              <w:rPr>
                <w:b/>
                <w:sz w:val="20"/>
              </w:rPr>
            </w:pPr>
            <w:r>
              <w:rPr>
                <w:b/>
                <w:sz w:val="20"/>
              </w:rPr>
              <w:t>No</w:t>
            </w:r>
            <w:r>
              <w:rPr>
                <w:b/>
                <w:spacing w:val="-2"/>
                <w:sz w:val="20"/>
              </w:rPr>
              <w:t> Stress</w:t>
            </w:r>
          </w:p>
        </w:tc>
        <w:tc>
          <w:tcPr>
            <w:tcW w:w="3599" w:type="dxa"/>
          </w:tcPr>
          <w:p>
            <w:pPr>
              <w:pStyle w:val="TableParagraph"/>
              <w:spacing w:before="118"/>
              <w:ind w:left="319"/>
              <w:rPr>
                <w:sz w:val="20"/>
              </w:rPr>
            </w:pPr>
            <w:r>
              <w:rPr>
                <w:sz w:val="20"/>
              </w:rPr>
              <w:t>&lt;</w:t>
            </w:r>
            <w:r>
              <w:rPr>
                <w:spacing w:val="-3"/>
                <w:sz w:val="20"/>
              </w:rPr>
              <w:t> </w:t>
            </w:r>
            <w:r>
              <w:rPr>
                <w:sz w:val="20"/>
              </w:rPr>
              <w:t>600</w:t>
            </w:r>
            <w:r>
              <w:rPr>
                <w:spacing w:val="-3"/>
                <w:sz w:val="20"/>
              </w:rPr>
              <w:t> </w:t>
            </w:r>
            <w:r>
              <w:rPr>
                <w:sz w:val="20"/>
              </w:rPr>
              <w:t>people</w:t>
            </w:r>
            <w:r>
              <w:rPr>
                <w:spacing w:val="-2"/>
                <w:sz w:val="20"/>
              </w:rPr>
              <w:t> </w:t>
            </w:r>
            <w:r>
              <w:rPr>
                <w:sz w:val="20"/>
              </w:rPr>
              <w:t>/</w:t>
            </w:r>
            <w:r>
              <w:rPr>
                <w:spacing w:val="-3"/>
                <w:sz w:val="20"/>
              </w:rPr>
              <w:t> </w:t>
            </w:r>
            <w:r>
              <w:rPr>
                <w:sz w:val="20"/>
              </w:rPr>
              <w:t>flow</w:t>
            </w:r>
            <w:r>
              <w:rPr>
                <w:spacing w:val="-4"/>
                <w:sz w:val="20"/>
              </w:rPr>
              <w:t> unit</w:t>
            </w:r>
          </w:p>
        </w:tc>
        <w:tc>
          <w:tcPr>
            <w:tcW w:w="3521" w:type="dxa"/>
          </w:tcPr>
          <w:p>
            <w:pPr>
              <w:pStyle w:val="TableParagraph"/>
              <w:spacing w:before="118"/>
              <w:ind w:left="457"/>
              <w:rPr>
                <w:sz w:val="20"/>
              </w:rPr>
            </w:pPr>
            <w:r>
              <w:rPr>
                <w:sz w:val="20"/>
              </w:rPr>
              <w:t>&gt;</w:t>
            </w:r>
            <w:r>
              <w:rPr>
                <w:spacing w:val="-2"/>
                <w:sz w:val="20"/>
              </w:rPr>
              <w:t> </w:t>
            </w:r>
            <w:r>
              <w:rPr>
                <w:spacing w:val="-4"/>
                <w:sz w:val="20"/>
              </w:rPr>
              <w:t>1700</w:t>
            </w:r>
          </w:p>
        </w:tc>
      </w:tr>
      <w:tr>
        <w:trPr>
          <w:trHeight w:val="459" w:hRule="atLeast"/>
        </w:trPr>
        <w:tc>
          <w:tcPr>
            <w:tcW w:w="1728" w:type="dxa"/>
          </w:tcPr>
          <w:p>
            <w:pPr>
              <w:pStyle w:val="TableParagraph"/>
              <w:spacing w:before="112"/>
              <w:ind w:left="115"/>
              <w:rPr>
                <w:b/>
                <w:sz w:val="20"/>
              </w:rPr>
            </w:pPr>
            <w:r>
              <w:rPr>
                <w:b/>
                <w:sz w:val="20"/>
              </w:rPr>
              <w:t>Water</w:t>
            </w:r>
            <w:r>
              <w:rPr>
                <w:b/>
                <w:spacing w:val="-5"/>
                <w:sz w:val="20"/>
              </w:rPr>
              <w:t> </w:t>
            </w:r>
            <w:r>
              <w:rPr>
                <w:b/>
                <w:spacing w:val="-2"/>
                <w:sz w:val="20"/>
              </w:rPr>
              <w:t>Scarcity</w:t>
            </w:r>
          </w:p>
        </w:tc>
        <w:tc>
          <w:tcPr>
            <w:tcW w:w="3599" w:type="dxa"/>
          </w:tcPr>
          <w:p>
            <w:pPr>
              <w:pStyle w:val="TableParagraph"/>
              <w:spacing w:before="107"/>
              <w:ind w:left="319"/>
              <w:rPr>
                <w:sz w:val="20"/>
              </w:rPr>
            </w:pPr>
            <w:r>
              <w:rPr>
                <w:sz w:val="20"/>
              </w:rPr>
              <w:t>600</w:t>
            </w:r>
            <w:r>
              <w:rPr>
                <w:spacing w:val="-2"/>
                <w:sz w:val="20"/>
              </w:rPr>
              <w:t> </w:t>
            </w:r>
            <w:r>
              <w:rPr>
                <w:sz w:val="20"/>
              </w:rPr>
              <w:t>-</w:t>
            </w:r>
            <w:r>
              <w:rPr>
                <w:spacing w:val="-5"/>
                <w:sz w:val="20"/>
              </w:rPr>
              <w:t> </w:t>
            </w:r>
            <w:r>
              <w:rPr>
                <w:sz w:val="20"/>
              </w:rPr>
              <w:t>1000</w:t>
            </w:r>
            <w:r>
              <w:rPr>
                <w:spacing w:val="-2"/>
                <w:sz w:val="20"/>
              </w:rPr>
              <w:t> </w:t>
            </w:r>
            <w:r>
              <w:rPr>
                <w:sz w:val="20"/>
              </w:rPr>
              <w:t>people/</w:t>
            </w:r>
            <w:r>
              <w:rPr>
                <w:spacing w:val="-2"/>
                <w:sz w:val="20"/>
              </w:rPr>
              <w:t> </w:t>
            </w:r>
            <w:r>
              <w:rPr>
                <w:sz w:val="20"/>
              </w:rPr>
              <w:t>flow</w:t>
            </w:r>
            <w:r>
              <w:rPr>
                <w:spacing w:val="-8"/>
                <w:sz w:val="20"/>
              </w:rPr>
              <w:t> </w:t>
            </w:r>
            <w:r>
              <w:rPr>
                <w:spacing w:val="-4"/>
                <w:sz w:val="20"/>
              </w:rPr>
              <w:t>unit</w:t>
            </w:r>
          </w:p>
        </w:tc>
        <w:tc>
          <w:tcPr>
            <w:tcW w:w="3521" w:type="dxa"/>
          </w:tcPr>
          <w:p>
            <w:pPr>
              <w:pStyle w:val="TableParagraph"/>
              <w:spacing w:before="107"/>
              <w:ind w:left="457"/>
              <w:rPr>
                <w:sz w:val="20"/>
              </w:rPr>
            </w:pPr>
            <w:r>
              <w:rPr>
                <w:sz w:val="20"/>
              </w:rPr>
              <w:t>1700</w:t>
            </w:r>
            <w:r>
              <w:rPr>
                <w:spacing w:val="-2"/>
                <w:sz w:val="20"/>
              </w:rPr>
              <w:t> </w:t>
            </w:r>
            <w:r>
              <w:rPr>
                <w:sz w:val="20"/>
              </w:rPr>
              <w:t>– </w:t>
            </w:r>
            <w:r>
              <w:rPr>
                <w:spacing w:val="-4"/>
                <w:sz w:val="20"/>
              </w:rPr>
              <w:t>1000</w:t>
            </w:r>
          </w:p>
        </w:tc>
      </w:tr>
      <w:tr>
        <w:trPr>
          <w:trHeight w:val="460" w:hRule="atLeast"/>
        </w:trPr>
        <w:tc>
          <w:tcPr>
            <w:tcW w:w="1728" w:type="dxa"/>
          </w:tcPr>
          <w:p>
            <w:pPr>
              <w:pStyle w:val="TableParagraph"/>
              <w:spacing w:before="113"/>
              <w:ind w:left="115"/>
              <w:rPr>
                <w:b/>
                <w:sz w:val="20"/>
              </w:rPr>
            </w:pPr>
            <w:r>
              <w:rPr>
                <w:b/>
                <w:sz w:val="20"/>
              </w:rPr>
              <w:t>Water</w:t>
            </w:r>
            <w:r>
              <w:rPr>
                <w:b/>
                <w:spacing w:val="-5"/>
                <w:sz w:val="20"/>
              </w:rPr>
              <w:t> </w:t>
            </w:r>
            <w:r>
              <w:rPr>
                <w:b/>
                <w:spacing w:val="-2"/>
                <w:sz w:val="20"/>
              </w:rPr>
              <w:t>Stress</w:t>
            </w:r>
          </w:p>
        </w:tc>
        <w:tc>
          <w:tcPr>
            <w:tcW w:w="3599" w:type="dxa"/>
          </w:tcPr>
          <w:p>
            <w:pPr>
              <w:pStyle w:val="TableParagraph"/>
              <w:spacing w:before="108"/>
              <w:ind w:left="319"/>
              <w:rPr>
                <w:sz w:val="20"/>
              </w:rPr>
            </w:pPr>
            <w:r>
              <w:rPr>
                <w:sz w:val="20"/>
              </w:rPr>
              <w:t>1000</w:t>
            </w:r>
            <w:r>
              <w:rPr>
                <w:spacing w:val="-2"/>
                <w:sz w:val="20"/>
              </w:rPr>
              <w:t> </w:t>
            </w:r>
            <w:r>
              <w:rPr>
                <w:sz w:val="20"/>
              </w:rPr>
              <w:t>-</w:t>
            </w:r>
            <w:r>
              <w:rPr>
                <w:spacing w:val="-4"/>
                <w:sz w:val="20"/>
              </w:rPr>
              <w:t> </w:t>
            </w:r>
            <w:r>
              <w:rPr>
                <w:sz w:val="20"/>
              </w:rPr>
              <w:t>2000</w:t>
            </w:r>
            <w:r>
              <w:rPr>
                <w:spacing w:val="-4"/>
                <w:sz w:val="20"/>
              </w:rPr>
              <w:t> </w:t>
            </w:r>
            <w:r>
              <w:rPr>
                <w:sz w:val="20"/>
              </w:rPr>
              <w:t>people</w:t>
            </w:r>
            <w:r>
              <w:rPr>
                <w:spacing w:val="-2"/>
                <w:sz w:val="20"/>
              </w:rPr>
              <w:t> </w:t>
            </w:r>
            <w:r>
              <w:rPr>
                <w:sz w:val="20"/>
              </w:rPr>
              <w:t>/</w:t>
            </w:r>
            <w:r>
              <w:rPr>
                <w:spacing w:val="-3"/>
                <w:sz w:val="20"/>
              </w:rPr>
              <w:t> </w:t>
            </w:r>
            <w:r>
              <w:rPr>
                <w:sz w:val="20"/>
              </w:rPr>
              <w:t>flow</w:t>
            </w:r>
            <w:r>
              <w:rPr>
                <w:spacing w:val="-5"/>
                <w:sz w:val="20"/>
              </w:rPr>
              <w:t> </w:t>
            </w:r>
            <w:r>
              <w:rPr>
                <w:spacing w:val="-4"/>
                <w:sz w:val="20"/>
              </w:rPr>
              <w:t>unit</w:t>
            </w:r>
          </w:p>
        </w:tc>
        <w:tc>
          <w:tcPr>
            <w:tcW w:w="3521" w:type="dxa"/>
          </w:tcPr>
          <w:p>
            <w:pPr>
              <w:pStyle w:val="TableParagraph"/>
              <w:spacing w:before="108"/>
              <w:ind w:left="457"/>
              <w:rPr>
                <w:sz w:val="20"/>
              </w:rPr>
            </w:pPr>
            <w:r>
              <w:rPr>
                <w:sz w:val="20"/>
              </w:rPr>
              <w:t>1000</w:t>
            </w:r>
            <w:r>
              <w:rPr>
                <w:spacing w:val="-2"/>
                <w:sz w:val="20"/>
              </w:rPr>
              <w:t> </w:t>
            </w:r>
            <w:r>
              <w:rPr>
                <w:sz w:val="20"/>
              </w:rPr>
              <w:t>– </w:t>
            </w:r>
            <w:r>
              <w:rPr>
                <w:spacing w:val="-5"/>
                <w:sz w:val="20"/>
              </w:rPr>
              <w:t>500</w:t>
            </w:r>
          </w:p>
        </w:tc>
      </w:tr>
      <w:tr>
        <w:trPr>
          <w:trHeight w:val="575" w:hRule="atLeast"/>
        </w:trPr>
        <w:tc>
          <w:tcPr>
            <w:tcW w:w="1728" w:type="dxa"/>
            <w:tcBorders>
              <w:bottom w:val="single" w:sz="8" w:space="0" w:color="000000"/>
            </w:tcBorders>
          </w:tcPr>
          <w:p>
            <w:pPr>
              <w:pStyle w:val="TableParagraph"/>
              <w:spacing w:line="230" w:lineRule="atLeast" w:before="95"/>
              <w:ind w:left="115" w:right="311"/>
              <w:rPr>
                <w:b/>
                <w:sz w:val="20"/>
              </w:rPr>
            </w:pPr>
            <w:r>
              <w:rPr>
                <w:b/>
                <w:sz w:val="20"/>
              </w:rPr>
              <w:t>Absolute</w:t>
            </w:r>
            <w:r>
              <w:rPr>
                <w:b/>
                <w:spacing w:val="-13"/>
                <w:sz w:val="20"/>
              </w:rPr>
              <w:t> </w:t>
            </w:r>
            <w:r>
              <w:rPr>
                <w:b/>
                <w:sz w:val="20"/>
              </w:rPr>
              <w:t>water </w:t>
            </w:r>
            <w:r>
              <w:rPr>
                <w:b/>
                <w:spacing w:val="-2"/>
                <w:sz w:val="20"/>
              </w:rPr>
              <w:t>stress</w:t>
            </w:r>
          </w:p>
        </w:tc>
        <w:tc>
          <w:tcPr>
            <w:tcW w:w="3599" w:type="dxa"/>
            <w:tcBorders>
              <w:bottom w:val="single" w:sz="8" w:space="0" w:color="000000"/>
            </w:tcBorders>
          </w:tcPr>
          <w:p>
            <w:pPr>
              <w:pStyle w:val="TableParagraph"/>
              <w:spacing w:before="108"/>
              <w:ind w:left="319"/>
              <w:rPr>
                <w:sz w:val="20"/>
              </w:rPr>
            </w:pPr>
            <w:r>
              <w:rPr>
                <w:sz w:val="20"/>
              </w:rPr>
              <w:t>&gt;</w:t>
            </w:r>
            <w:r>
              <w:rPr>
                <w:spacing w:val="-3"/>
                <w:sz w:val="20"/>
              </w:rPr>
              <w:t> </w:t>
            </w:r>
            <w:r>
              <w:rPr>
                <w:sz w:val="20"/>
              </w:rPr>
              <w:t>2000</w:t>
            </w:r>
            <w:r>
              <w:rPr>
                <w:spacing w:val="-3"/>
                <w:sz w:val="20"/>
              </w:rPr>
              <w:t> </w:t>
            </w:r>
            <w:r>
              <w:rPr>
                <w:sz w:val="20"/>
              </w:rPr>
              <w:t>people/</w:t>
            </w:r>
            <w:r>
              <w:rPr>
                <w:spacing w:val="-3"/>
                <w:sz w:val="20"/>
              </w:rPr>
              <w:t> </w:t>
            </w:r>
            <w:r>
              <w:rPr>
                <w:sz w:val="20"/>
              </w:rPr>
              <w:t>flow</w:t>
            </w:r>
            <w:r>
              <w:rPr>
                <w:spacing w:val="-4"/>
                <w:sz w:val="20"/>
              </w:rPr>
              <w:t> unit</w:t>
            </w:r>
          </w:p>
        </w:tc>
        <w:tc>
          <w:tcPr>
            <w:tcW w:w="3521" w:type="dxa"/>
            <w:tcBorders>
              <w:bottom w:val="single" w:sz="8" w:space="0" w:color="000000"/>
            </w:tcBorders>
          </w:tcPr>
          <w:p>
            <w:pPr>
              <w:pStyle w:val="TableParagraph"/>
              <w:spacing w:before="108"/>
              <w:ind w:left="457"/>
              <w:rPr>
                <w:sz w:val="20"/>
              </w:rPr>
            </w:pPr>
            <w:r>
              <w:rPr>
                <w:spacing w:val="-4"/>
                <w:sz w:val="20"/>
              </w:rPr>
              <w:t>&lt;500</w:t>
            </w:r>
          </w:p>
        </w:tc>
      </w:tr>
    </w:tbl>
    <w:p>
      <w:pPr>
        <w:spacing w:before="0"/>
        <w:ind w:left="267" w:right="726" w:firstLine="0"/>
        <w:jc w:val="both"/>
        <w:rPr>
          <w:sz w:val="16"/>
        </w:rPr>
      </w:pPr>
      <w:r>
        <w:rPr>
          <w:sz w:val="16"/>
        </w:rPr>
        <w:t>Note:</w:t>
      </w:r>
      <w:r>
        <w:rPr>
          <w:spacing w:val="-5"/>
          <w:sz w:val="16"/>
        </w:rPr>
        <w:t> </w:t>
      </w:r>
      <w:r>
        <w:rPr>
          <w:sz w:val="16"/>
        </w:rPr>
        <w:t>A</w:t>
      </w:r>
      <w:r>
        <w:rPr>
          <w:spacing w:val="-9"/>
          <w:sz w:val="16"/>
        </w:rPr>
        <w:t> </w:t>
      </w:r>
      <w:r>
        <w:rPr>
          <w:sz w:val="16"/>
        </w:rPr>
        <w:t>flow</w:t>
      </w:r>
      <w:r>
        <w:rPr>
          <w:spacing w:val="-9"/>
          <w:sz w:val="16"/>
        </w:rPr>
        <w:t> </w:t>
      </w:r>
      <w:r>
        <w:rPr>
          <w:sz w:val="16"/>
        </w:rPr>
        <w:t>unit</w:t>
      </w:r>
      <w:r>
        <w:rPr>
          <w:spacing w:val="-7"/>
          <w:sz w:val="16"/>
        </w:rPr>
        <w:t> </w:t>
      </w:r>
      <w:r>
        <w:rPr>
          <w:sz w:val="16"/>
        </w:rPr>
        <w:t>in</w:t>
      </w:r>
      <w:r>
        <w:rPr>
          <w:spacing w:val="-7"/>
          <w:sz w:val="16"/>
        </w:rPr>
        <w:t> </w:t>
      </w:r>
      <w:r>
        <w:rPr>
          <w:sz w:val="16"/>
        </w:rPr>
        <w:t>the</w:t>
      </w:r>
      <w:r>
        <w:rPr>
          <w:spacing w:val="-10"/>
          <w:sz w:val="16"/>
        </w:rPr>
        <w:t> </w:t>
      </w:r>
      <w:r>
        <w:rPr>
          <w:sz w:val="16"/>
        </w:rPr>
        <w:t>second</w:t>
      </w:r>
      <w:r>
        <w:rPr>
          <w:spacing w:val="-7"/>
          <w:sz w:val="16"/>
        </w:rPr>
        <w:t> </w:t>
      </w:r>
      <w:r>
        <w:rPr>
          <w:sz w:val="16"/>
        </w:rPr>
        <w:t>column</w:t>
      </w:r>
      <w:r>
        <w:rPr>
          <w:spacing w:val="-5"/>
          <w:sz w:val="16"/>
        </w:rPr>
        <w:t> </w:t>
      </w:r>
      <w:r>
        <w:rPr>
          <w:sz w:val="16"/>
        </w:rPr>
        <w:t>for</w:t>
      </w:r>
      <w:r>
        <w:rPr>
          <w:spacing w:val="-9"/>
          <w:sz w:val="16"/>
        </w:rPr>
        <w:t> </w:t>
      </w:r>
      <w:r>
        <w:rPr>
          <w:sz w:val="16"/>
        </w:rPr>
        <w:t>the</w:t>
      </w:r>
      <w:r>
        <w:rPr>
          <w:spacing w:val="-10"/>
          <w:sz w:val="16"/>
        </w:rPr>
        <w:t> </w:t>
      </w:r>
      <w:r>
        <w:rPr>
          <w:sz w:val="16"/>
        </w:rPr>
        <w:t>inverted</w:t>
      </w:r>
      <w:r>
        <w:rPr>
          <w:spacing w:val="-5"/>
          <w:sz w:val="16"/>
        </w:rPr>
        <w:t> </w:t>
      </w:r>
      <w:r>
        <w:rPr>
          <w:sz w:val="16"/>
        </w:rPr>
        <w:t>WSI</w:t>
      </w:r>
      <w:r>
        <w:rPr>
          <w:spacing w:val="-10"/>
          <w:sz w:val="16"/>
        </w:rPr>
        <w:t> </w:t>
      </w:r>
      <w:r>
        <w:rPr>
          <w:sz w:val="16"/>
        </w:rPr>
        <w:t>is</w:t>
      </w:r>
      <w:r>
        <w:rPr>
          <w:spacing w:val="-6"/>
          <w:sz w:val="16"/>
        </w:rPr>
        <w:t> </w:t>
      </w:r>
      <w:r>
        <w:rPr>
          <w:sz w:val="16"/>
        </w:rPr>
        <w:t>equivalent</w:t>
      </w:r>
      <w:r>
        <w:rPr>
          <w:spacing w:val="-7"/>
          <w:sz w:val="16"/>
        </w:rPr>
        <w:t> </w:t>
      </w:r>
      <w:r>
        <w:rPr>
          <w:sz w:val="16"/>
        </w:rPr>
        <w:t>to</w:t>
      </w:r>
      <w:r>
        <w:rPr>
          <w:spacing w:val="-9"/>
          <w:sz w:val="16"/>
        </w:rPr>
        <w:t> </w:t>
      </w:r>
      <w:r>
        <w:rPr>
          <w:sz w:val="16"/>
        </w:rPr>
        <w:t>10</w:t>
      </w:r>
      <w:r>
        <w:rPr>
          <w:sz w:val="16"/>
          <w:vertAlign w:val="superscript"/>
        </w:rPr>
        <w:t>6</w:t>
      </w:r>
      <w:r>
        <w:rPr>
          <w:sz w:val="16"/>
          <w:vertAlign w:val="baseline"/>
        </w:rPr>
        <w:t>m</w:t>
      </w:r>
      <w:r>
        <w:rPr>
          <w:sz w:val="16"/>
          <w:vertAlign w:val="superscript"/>
        </w:rPr>
        <w:t>3</w:t>
      </w:r>
      <w:r>
        <w:rPr>
          <w:spacing w:val="-8"/>
          <w:sz w:val="16"/>
          <w:vertAlign w:val="baseline"/>
        </w:rPr>
        <w:t> </w:t>
      </w:r>
      <w:r>
        <w:rPr>
          <w:sz w:val="16"/>
          <w:vertAlign w:val="baseline"/>
        </w:rPr>
        <w:t>and</w:t>
      </w:r>
      <w:r>
        <w:rPr>
          <w:spacing w:val="-7"/>
          <w:sz w:val="16"/>
          <w:vertAlign w:val="baseline"/>
        </w:rPr>
        <w:t> </w:t>
      </w:r>
      <w:r>
        <w:rPr>
          <w:sz w:val="16"/>
          <w:vertAlign w:val="baseline"/>
        </w:rPr>
        <w:t>the</w:t>
      </w:r>
      <w:r>
        <w:rPr>
          <w:spacing w:val="-7"/>
          <w:sz w:val="16"/>
          <w:vertAlign w:val="baseline"/>
        </w:rPr>
        <w:t> </w:t>
      </w:r>
      <w:r>
        <w:rPr>
          <w:sz w:val="16"/>
          <w:vertAlign w:val="baseline"/>
        </w:rPr>
        <w:t>contemporary</w:t>
      </w:r>
      <w:r>
        <w:rPr>
          <w:spacing w:val="-9"/>
          <w:sz w:val="16"/>
          <w:vertAlign w:val="baseline"/>
        </w:rPr>
        <w:t> </w:t>
      </w:r>
      <w:r>
        <w:rPr>
          <w:sz w:val="16"/>
          <w:vertAlign w:val="baseline"/>
        </w:rPr>
        <w:t>WSI</w:t>
      </w:r>
      <w:r>
        <w:rPr>
          <w:spacing w:val="-10"/>
          <w:sz w:val="16"/>
          <w:vertAlign w:val="baseline"/>
        </w:rPr>
        <w:t> </w:t>
      </w:r>
      <w:r>
        <w:rPr>
          <w:sz w:val="16"/>
          <w:vertAlign w:val="baseline"/>
        </w:rPr>
        <w:t>can</w:t>
      </w:r>
      <w:r>
        <w:rPr>
          <w:spacing w:val="-7"/>
          <w:sz w:val="16"/>
          <w:vertAlign w:val="baseline"/>
        </w:rPr>
        <w:t> </w:t>
      </w:r>
      <w:r>
        <w:rPr>
          <w:sz w:val="16"/>
          <w:vertAlign w:val="baseline"/>
        </w:rPr>
        <w:t>be</w:t>
      </w:r>
      <w:r>
        <w:rPr>
          <w:spacing w:val="-7"/>
          <w:sz w:val="16"/>
          <w:vertAlign w:val="baseline"/>
        </w:rPr>
        <w:t> </w:t>
      </w:r>
      <w:r>
        <w:rPr>
          <w:sz w:val="16"/>
          <w:vertAlign w:val="baseline"/>
        </w:rPr>
        <w:t>arrived</w:t>
      </w:r>
      <w:r>
        <w:rPr>
          <w:spacing w:val="-7"/>
          <w:sz w:val="16"/>
          <w:vertAlign w:val="baseline"/>
        </w:rPr>
        <w:t> </w:t>
      </w:r>
      <w:r>
        <w:rPr>
          <w:sz w:val="16"/>
          <w:vertAlign w:val="baseline"/>
        </w:rPr>
        <w:t>at</w:t>
      </w:r>
      <w:r>
        <w:rPr>
          <w:spacing w:val="-7"/>
          <w:sz w:val="16"/>
          <w:vertAlign w:val="baseline"/>
        </w:rPr>
        <w:t> </w:t>
      </w:r>
      <w:r>
        <w:rPr>
          <w:sz w:val="16"/>
          <w:vertAlign w:val="baseline"/>
        </w:rPr>
        <w:t>by</w:t>
      </w:r>
      <w:r>
        <w:rPr>
          <w:spacing w:val="-9"/>
          <w:sz w:val="16"/>
          <w:vertAlign w:val="baseline"/>
        </w:rPr>
        <w:t> </w:t>
      </w:r>
      <w:r>
        <w:rPr>
          <w:sz w:val="16"/>
          <w:vertAlign w:val="baseline"/>
        </w:rPr>
        <w:t>dividing</w:t>
      </w:r>
      <w:r>
        <w:rPr>
          <w:spacing w:val="40"/>
          <w:sz w:val="16"/>
          <w:vertAlign w:val="baseline"/>
        </w:rPr>
        <w:t> </w:t>
      </w:r>
      <w:r>
        <w:rPr>
          <w:sz w:val="16"/>
          <w:vertAlign w:val="baseline"/>
        </w:rPr>
        <w:t>one flow unit by the number people competing for this quantity of water.</w:t>
      </w:r>
    </w:p>
    <w:p>
      <w:pPr>
        <w:spacing w:line="183" w:lineRule="exact" w:before="0"/>
        <w:ind w:left="267" w:right="0" w:firstLine="0"/>
        <w:jc w:val="both"/>
        <w:rPr>
          <w:sz w:val="16"/>
        </w:rPr>
      </w:pPr>
      <w:r>
        <w:rPr>
          <w:sz w:val="16"/>
        </w:rPr>
        <w:t>Source:</w:t>
      </w:r>
      <w:r>
        <w:rPr>
          <w:spacing w:val="-7"/>
          <w:sz w:val="16"/>
        </w:rPr>
        <w:t> </w:t>
      </w:r>
      <w:r>
        <w:rPr>
          <w:sz w:val="16"/>
        </w:rPr>
        <w:t>Damkjaer</w:t>
      </w:r>
      <w:r>
        <w:rPr>
          <w:spacing w:val="-7"/>
          <w:sz w:val="16"/>
        </w:rPr>
        <w:t> </w:t>
      </w:r>
      <w:r>
        <w:rPr>
          <w:sz w:val="16"/>
        </w:rPr>
        <w:t>and</w:t>
      </w:r>
      <w:r>
        <w:rPr>
          <w:spacing w:val="-6"/>
          <w:sz w:val="16"/>
        </w:rPr>
        <w:t> </w:t>
      </w:r>
      <w:r>
        <w:rPr>
          <w:sz w:val="16"/>
        </w:rPr>
        <w:t>Taylor</w:t>
      </w:r>
      <w:r>
        <w:rPr>
          <w:spacing w:val="-6"/>
          <w:sz w:val="16"/>
        </w:rPr>
        <w:t> </w:t>
      </w:r>
      <w:r>
        <w:rPr>
          <w:spacing w:val="-2"/>
          <w:sz w:val="16"/>
        </w:rPr>
        <w:t>(2017)</w:t>
      </w:r>
    </w:p>
    <w:p>
      <w:pPr>
        <w:spacing w:after="0" w:line="183" w:lineRule="exact"/>
        <w:jc w:val="both"/>
        <w:rPr>
          <w:sz w:val="16"/>
        </w:rPr>
        <w:sectPr>
          <w:pgSz w:w="12240" w:h="15840"/>
          <w:pgMar w:header="0" w:footer="1068" w:top="1320" w:bottom="1260" w:left="1720" w:right="680"/>
        </w:sectPr>
      </w:pPr>
    </w:p>
    <w:p>
      <w:pPr>
        <w:pStyle w:val="BodyText"/>
        <w:spacing w:line="480" w:lineRule="auto" w:before="83"/>
        <w:ind w:left="267" w:right="722"/>
        <w:jc w:val="both"/>
      </w:pPr>
      <w:r>
        <w:rPr/>
        <w:t>Countries or regions whose water availability cannot sustain the threshold of 1700m</w:t>
      </w:r>
      <w:r>
        <w:rPr>
          <w:vertAlign w:val="superscript"/>
        </w:rPr>
        <w:t>3</w:t>
      </w:r>
      <w:r>
        <w:rPr>
          <w:vertAlign w:val="baseline"/>
        </w:rPr>
        <w:t> per capita per year are said to experience “water scarcity”. Countries with water availability below 1000m</w:t>
      </w:r>
      <w:r>
        <w:rPr>
          <w:vertAlign w:val="superscript"/>
        </w:rPr>
        <w:t>3</w:t>
      </w:r>
      <w:r>
        <w:rPr>
          <w:vertAlign w:val="baseline"/>
        </w:rPr>
        <w:t> per</w:t>
      </w:r>
      <w:r>
        <w:rPr>
          <w:spacing w:val="-1"/>
          <w:vertAlign w:val="baseline"/>
        </w:rPr>
        <w:t> </w:t>
      </w:r>
      <w:r>
        <w:rPr>
          <w:vertAlign w:val="baseline"/>
        </w:rPr>
        <w:t>capita</w:t>
      </w:r>
      <w:r>
        <w:rPr>
          <w:spacing w:val="-1"/>
          <w:vertAlign w:val="baseline"/>
        </w:rPr>
        <w:t> </w:t>
      </w:r>
      <w:r>
        <w:rPr>
          <w:vertAlign w:val="baseline"/>
        </w:rPr>
        <w:t>per year</w:t>
      </w:r>
      <w:r>
        <w:rPr>
          <w:spacing w:val="-1"/>
          <w:vertAlign w:val="baseline"/>
        </w:rPr>
        <w:t> </w:t>
      </w:r>
      <w:r>
        <w:rPr>
          <w:vertAlign w:val="baseline"/>
        </w:rPr>
        <w:t>are</w:t>
      </w:r>
      <w:r>
        <w:rPr>
          <w:spacing w:val="-1"/>
          <w:vertAlign w:val="baseline"/>
        </w:rPr>
        <w:t> </w:t>
      </w:r>
      <w:r>
        <w:rPr>
          <w:vertAlign w:val="baseline"/>
        </w:rPr>
        <w:t>“water</w:t>
      </w:r>
      <w:r>
        <w:rPr>
          <w:spacing w:val="-1"/>
          <w:vertAlign w:val="baseline"/>
        </w:rPr>
        <w:t> </w:t>
      </w:r>
      <w:r>
        <w:rPr>
          <w:vertAlign w:val="baseline"/>
        </w:rPr>
        <w:t>stress”</w:t>
      </w:r>
      <w:r>
        <w:rPr>
          <w:spacing w:val="-1"/>
          <w:vertAlign w:val="baseline"/>
        </w:rPr>
        <w:t> </w:t>
      </w:r>
      <w:r>
        <w:rPr>
          <w:vertAlign w:val="baseline"/>
        </w:rPr>
        <w:t>and when water</w:t>
      </w:r>
      <w:r>
        <w:rPr>
          <w:spacing w:val="-2"/>
          <w:vertAlign w:val="baseline"/>
        </w:rPr>
        <w:t> </w:t>
      </w:r>
      <w:r>
        <w:rPr>
          <w:vertAlign w:val="baseline"/>
        </w:rPr>
        <w:t>availability</w:t>
      </w:r>
      <w:r>
        <w:rPr>
          <w:spacing w:val="-8"/>
          <w:vertAlign w:val="baseline"/>
        </w:rPr>
        <w:t> </w:t>
      </w:r>
      <w:r>
        <w:rPr>
          <w:vertAlign w:val="baseline"/>
        </w:rPr>
        <w:t>falls below 500m</w:t>
      </w:r>
      <w:r>
        <w:rPr>
          <w:vertAlign w:val="superscript"/>
        </w:rPr>
        <w:t>3</w:t>
      </w:r>
      <w:r>
        <w:rPr>
          <w:spacing w:val="-4"/>
          <w:vertAlign w:val="baseline"/>
        </w:rPr>
        <w:t> </w:t>
      </w:r>
      <w:r>
        <w:rPr>
          <w:vertAlign w:val="baseline"/>
        </w:rPr>
        <w:t>per</w:t>
      </w:r>
      <w:r>
        <w:rPr>
          <w:spacing w:val="-6"/>
          <w:vertAlign w:val="baseline"/>
        </w:rPr>
        <w:t> </w:t>
      </w:r>
      <w:r>
        <w:rPr>
          <w:vertAlign w:val="baseline"/>
        </w:rPr>
        <w:t>capita</w:t>
      </w:r>
      <w:r>
        <w:rPr>
          <w:spacing w:val="-4"/>
          <w:vertAlign w:val="baseline"/>
        </w:rPr>
        <w:t> </w:t>
      </w:r>
      <w:r>
        <w:rPr>
          <w:vertAlign w:val="baseline"/>
        </w:rPr>
        <w:t>per year,</w:t>
      </w:r>
      <w:r>
        <w:rPr>
          <w:spacing w:val="-6"/>
          <w:vertAlign w:val="baseline"/>
        </w:rPr>
        <w:t> </w:t>
      </w:r>
      <w:r>
        <w:rPr>
          <w:vertAlign w:val="baseline"/>
        </w:rPr>
        <w:t>such</w:t>
      </w:r>
      <w:r>
        <w:rPr>
          <w:spacing w:val="-2"/>
          <w:vertAlign w:val="baseline"/>
        </w:rPr>
        <w:t> </w:t>
      </w:r>
      <w:r>
        <w:rPr>
          <w:vertAlign w:val="baseline"/>
        </w:rPr>
        <w:t>countries</w:t>
      </w:r>
      <w:r>
        <w:rPr>
          <w:spacing w:val="-3"/>
          <w:vertAlign w:val="baseline"/>
        </w:rPr>
        <w:t> </w:t>
      </w:r>
      <w:r>
        <w:rPr>
          <w:vertAlign w:val="baseline"/>
        </w:rPr>
        <w:t>experience</w:t>
      </w:r>
      <w:r>
        <w:rPr>
          <w:spacing w:val="-3"/>
          <w:vertAlign w:val="baseline"/>
        </w:rPr>
        <w:t> </w:t>
      </w:r>
      <w:r>
        <w:rPr>
          <w:vertAlign w:val="baseline"/>
        </w:rPr>
        <w:t>“absolute</w:t>
      </w:r>
      <w:r>
        <w:rPr>
          <w:spacing w:val="-5"/>
          <w:vertAlign w:val="baseline"/>
        </w:rPr>
        <w:t> </w:t>
      </w:r>
      <w:r>
        <w:rPr>
          <w:vertAlign w:val="baseline"/>
        </w:rPr>
        <w:t>scarcity”.</w:t>
      </w:r>
      <w:r>
        <w:rPr>
          <w:spacing w:val="-2"/>
          <w:vertAlign w:val="baseline"/>
        </w:rPr>
        <w:t> </w:t>
      </w:r>
      <w:r>
        <w:rPr>
          <w:vertAlign w:val="baseline"/>
        </w:rPr>
        <w:t>On</w:t>
      </w:r>
      <w:r>
        <w:rPr>
          <w:spacing w:val="-5"/>
          <w:vertAlign w:val="baseline"/>
        </w:rPr>
        <w:t> </w:t>
      </w:r>
      <w:r>
        <w:rPr>
          <w:vertAlign w:val="baseline"/>
        </w:rPr>
        <w:t>the</w:t>
      </w:r>
      <w:r>
        <w:rPr>
          <w:spacing w:val="-5"/>
          <w:vertAlign w:val="baseline"/>
        </w:rPr>
        <w:t> </w:t>
      </w:r>
      <w:r>
        <w:rPr>
          <w:vertAlign w:val="baseline"/>
        </w:rPr>
        <w:t>basis</w:t>
      </w:r>
      <w:r>
        <w:rPr>
          <w:spacing w:val="-4"/>
          <w:vertAlign w:val="baseline"/>
        </w:rPr>
        <w:t> </w:t>
      </w:r>
      <w:r>
        <w:rPr>
          <w:vertAlign w:val="baseline"/>
        </w:rPr>
        <w:t>of</w:t>
      </w:r>
      <w:r>
        <w:rPr>
          <w:spacing w:val="-6"/>
          <w:vertAlign w:val="baseline"/>
        </w:rPr>
        <w:t> </w:t>
      </w:r>
      <w:r>
        <w:rPr>
          <w:vertAlign w:val="baseline"/>
        </w:rPr>
        <w:t>the thresholds, the</w:t>
      </w:r>
      <w:r>
        <w:rPr>
          <w:spacing w:val="-1"/>
          <w:vertAlign w:val="baseline"/>
        </w:rPr>
        <w:t> </w:t>
      </w:r>
      <w:r>
        <w:rPr>
          <w:vertAlign w:val="baseline"/>
        </w:rPr>
        <w:t>application of</w:t>
      </w:r>
      <w:r>
        <w:rPr>
          <w:spacing w:val="-1"/>
          <w:vertAlign w:val="baseline"/>
        </w:rPr>
        <w:t> </w:t>
      </w:r>
      <w:r>
        <w:rPr>
          <w:vertAlign w:val="baseline"/>
        </w:rPr>
        <w:t>the</w:t>
      </w:r>
      <w:r>
        <w:rPr>
          <w:spacing w:val="-1"/>
          <w:vertAlign w:val="baseline"/>
        </w:rPr>
        <w:t> </w:t>
      </w:r>
      <w:r>
        <w:rPr>
          <w:vertAlign w:val="baseline"/>
        </w:rPr>
        <w:t>Water</w:t>
      </w:r>
      <w:r>
        <w:rPr>
          <w:spacing w:val="-2"/>
          <w:vertAlign w:val="baseline"/>
        </w:rPr>
        <w:t> </w:t>
      </w:r>
      <w:r>
        <w:rPr>
          <w:vertAlign w:val="baseline"/>
        </w:rPr>
        <w:t>Stress Index as a</w:t>
      </w:r>
      <w:r>
        <w:rPr>
          <w:spacing w:val="-1"/>
          <w:vertAlign w:val="baseline"/>
        </w:rPr>
        <w:t> </w:t>
      </w:r>
      <w:r>
        <w:rPr>
          <w:vertAlign w:val="baseline"/>
        </w:rPr>
        <w:t>water</w:t>
      </w:r>
      <w:r>
        <w:rPr>
          <w:spacing w:val="-2"/>
          <w:vertAlign w:val="baseline"/>
        </w:rPr>
        <w:t> </w:t>
      </w:r>
      <w:r>
        <w:rPr>
          <w:vertAlign w:val="baseline"/>
        </w:rPr>
        <w:t>scarcity</w:t>
      </w:r>
      <w:r>
        <w:rPr>
          <w:spacing w:val="-5"/>
          <w:vertAlign w:val="baseline"/>
        </w:rPr>
        <w:t> </w:t>
      </w:r>
      <w:r>
        <w:rPr>
          <w:vertAlign w:val="baseline"/>
        </w:rPr>
        <w:t>metric</w:t>
      </w:r>
      <w:r>
        <w:rPr>
          <w:spacing w:val="-1"/>
          <w:vertAlign w:val="baseline"/>
        </w:rPr>
        <w:t> </w:t>
      </w:r>
      <w:r>
        <w:rPr>
          <w:vertAlign w:val="baseline"/>
        </w:rPr>
        <w:t>for</w:t>
      </w:r>
      <w:r>
        <w:rPr>
          <w:spacing w:val="-2"/>
          <w:vertAlign w:val="baseline"/>
        </w:rPr>
        <w:t> </w:t>
      </w:r>
      <w:r>
        <w:rPr>
          <w:vertAlign w:val="baseline"/>
        </w:rPr>
        <w:t>assessing the proportion of people suffering from water scarcity around the world as at year 2005 is shown</w:t>
      </w:r>
      <w:r>
        <w:rPr>
          <w:spacing w:val="-13"/>
          <w:vertAlign w:val="baseline"/>
        </w:rPr>
        <w:t> </w:t>
      </w:r>
      <w:r>
        <w:rPr>
          <w:vertAlign w:val="baseline"/>
        </w:rPr>
        <w:t>in</w:t>
      </w:r>
      <w:r>
        <w:rPr>
          <w:spacing w:val="-12"/>
          <w:vertAlign w:val="baseline"/>
        </w:rPr>
        <w:t> </w:t>
      </w:r>
      <w:r>
        <w:rPr>
          <w:vertAlign w:val="baseline"/>
        </w:rPr>
        <w:t>figure</w:t>
      </w:r>
      <w:r>
        <w:rPr>
          <w:spacing w:val="-14"/>
          <w:vertAlign w:val="baseline"/>
        </w:rPr>
        <w:t> </w:t>
      </w:r>
      <w:r>
        <w:rPr>
          <w:vertAlign w:val="baseline"/>
        </w:rPr>
        <w:t>2.6.</w:t>
      </w:r>
      <w:r>
        <w:rPr>
          <w:spacing w:val="37"/>
          <w:vertAlign w:val="baseline"/>
        </w:rPr>
        <w:t> </w:t>
      </w:r>
      <w:r>
        <w:rPr>
          <w:vertAlign w:val="baseline"/>
        </w:rPr>
        <w:t>An</w:t>
      </w:r>
      <w:r>
        <w:rPr>
          <w:spacing w:val="-13"/>
          <w:vertAlign w:val="baseline"/>
        </w:rPr>
        <w:t> </w:t>
      </w:r>
      <w:r>
        <w:rPr>
          <w:vertAlign w:val="baseline"/>
        </w:rPr>
        <w:t>interesting</w:t>
      </w:r>
      <w:r>
        <w:rPr>
          <w:spacing w:val="-14"/>
          <w:vertAlign w:val="baseline"/>
        </w:rPr>
        <w:t> </w:t>
      </w:r>
      <w:r>
        <w:rPr>
          <w:vertAlign w:val="baseline"/>
        </w:rPr>
        <w:t>observation</w:t>
      </w:r>
      <w:r>
        <w:rPr>
          <w:spacing w:val="-12"/>
          <w:vertAlign w:val="baseline"/>
        </w:rPr>
        <w:t> </w:t>
      </w:r>
      <w:r>
        <w:rPr>
          <w:vertAlign w:val="baseline"/>
        </w:rPr>
        <w:t>is</w:t>
      </w:r>
      <w:r>
        <w:rPr>
          <w:spacing w:val="-11"/>
          <w:vertAlign w:val="baseline"/>
        </w:rPr>
        <w:t> </w:t>
      </w:r>
      <w:r>
        <w:rPr>
          <w:vertAlign w:val="baseline"/>
        </w:rPr>
        <w:t>that</w:t>
      </w:r>
      <w:r>
        <w:rPr>
          <w:spacing w:val="-12"/>
          <w:vertAlign w:val="baseline"/>
        </w:rPr>
        <w:t> </w:t>
      </w:r>
      <w:r>
        <w:rPr>
          <w:vertAlign w:val="baseline"/>
        </w:rPr>
        <w:t>despite</w:t>
      </w:r>
      <w:r>
        <w:rPr>
          <w:spacing w:val="-13"/>
          <w:vertAlign w:val="baseline"/>
        </w:rPr>
        <w:t> </w:t>
      </w:r>
      <w:r>
        <w:rPr>
          <w:vertAlign w:val="baseline"/>
        </w:rPr>
        <w:t>high</w:t>
      </w:r>
      <w:r>
        <w:rPr>
          <w:spacing w:val="-12"/>
          <w:vertAlign w:val="baseline"/>
        </w:rPr>
        <w:t> </w:t>
      </w:r>
      <w:r>
        <w:rPr>
          <w:vertAlign w:val="baseline"/>
        </w:rPr>
        <w:t>availability</w:t>
      </w:r>
      <w:r>
        <w:rPr>
          <w:spacing w:val="-15"/>
          <w:vertAlign w:val="baseline"/>
        </w:rPr>
        <w:t> </w:t>
      </w:r>
      <w:r>
        <w:rPr>
          <w:vertAlign w:val="baseline"/>
        </w:rPr>
        <w:t>of</w:t>
      </w:r>
      <w:r>
        <w:rPr>
          <w:spacing w:val="-13"/>
          <w:vertAlign w:val="baseline"/>
        </w:rPr>
        <w:t> </w:t>
      </w:r>
      <w:r>
        <w:rPr>
          <w:vertAlign w:val="baseline"/>
        </w:rPr>
        <w:t>fresh</w:t>
      </w:r>
      <w:r>
        <w:rPr>
          <w:spacing w:val="-12"/>
          <w:vertAlign w:val="baseline"/>
        </w:rPr>
        <w:t> </w:t>
      </w:r>
      <w:r>
        <w:rPr>
          <w:vertAlign w:val="baseline"/>
        </w:rPr>
        <w:t>water in most African countries, Nigeria is perceived water stressed while the north Africa region (with less than 500m</w:t>
      </w:r>
      <w:r>
        <w:rPr>
          <w:vertAlign w:val="superscript"/>
        </w:rPr>
        <w:t>3</w:t>
      </w:r>
      <w:r>
        <w:rPr>
          <w:vertAlign w:val="baseline"/>
        </w:rPr>
        <w:t> per capita per year) is suffering from absolute water scarcity.</w:t>
      </w:r>
    </w:p>
    <w:p>
      <w:pPr>
        <w:pStyle w:val="BodyText"/>
      </w:pPr>
    </w:p>
    <w:p>
      <w:pPr>
        <w:pStyle w:val="BodyText"/>
        <w:spacing w:before="1"/>
      </w:pPr>
    </w:p>
    <w:p>
      <w:pPr>
        <w:pStyle w:val="BodyText"/>
        <w:spacing w:line="480" w:lineRule="auto"/>
        <w:ind w:left="267" w:right="725"/>
        <w:jc w:val="both"/>
      </w:pPr>
      <w:r>
        <w:rPr/>
        <w:t>While the Falkenmark/Water Stress index has wider application because it is simple in use, easy to understand, intuitive and the data is readily available at an international level (Jemmali</w:t>
      </w:r>
      <w:r>
        <w:rPr>
          <w:spacing w:val="-2"/>
        </w:rPr>
        <w:t> </w:t>
      </w:r>
      <w:r>
        <w:rPr/>
        <w:t>and</w:t>
      </w:r>
      <w:r>
        <w:rPr>
          <w:spacing w:val="-2"/>
        </w:rPr>
        <w:t> </w:t>
      </w:r>
      <w:r>
        <w:rPr/>
        <w:t>Matoussi, 2013;</w:t>
      </w:r>
      <w:r>
        <w:rPr>
          <w:spacing w:val="-2"/>
        </w:rPr>
        <w:t> </w:t>
      </w:r>
      <w:r>
        <w:rPr/>
        <w:t>Jemmali,</w:t>
      </w:r>
      <w:r>
        <w:rPr>
          <w:spacing w:val="-2"/>
        </w:rPr>
        <w:t> </w:t>
      </w:r>
      <w:r>
        <w:rPr/>
        <w:t>2018; Liu</w:t>
      </w:r>
      <w:r>
        <w:rPr>
          <w:spacing w:val="-1"/>
        </w:rPr>
        <w:t> </w:t>
      </w:r>
      <w:r>
        <w:rPr>
          <w:i/>
        </w:rPr>
        <w:t>et</w:t>
      </w:r>
      <w:r>
        <w:rPr>
          <w:i/>
          <w:spacing w:val="-2"/>
        </w:rPr>
        <w:t> </w:t>
      </w:r>
      <w:r>
        <w:rPr>
          <w:i/>
        </w:rPr>
        <w:t>al.</w:t>
      </w:r>
      <w:r>
        <w:rPr/>
        <w:t>,</w:t>
      </w:r>
      <w:r>
        <w:rPr>
          <w:spacing w:val="-2"/>
        </w:rPr>
        <w:t> </w:t>
      </w:r>
      <w:r>
        <w:rPr/>
        <w:t>2017),</w:t>
      </w:r>
      <w:r>
        <w:rPr>
          <w:spacing w:val="-2"/>
        </w:rPr>
        <w:t> </w:t>
      </w:r>
      <w:r>
        <w:rPr/>
        <w:t>it</w:t>
      </w:r>
      <w:r>
        <w:rPr>
          <w:spacing w:val="-2"/>
        </w:rPr>
        <w:t> </w:t>
      </w:r>
      <w:r>
        <w:rPr/>
        <w:t>is</w:t>
      </w:r>
      <w:r>
        <w:rPr>
          <w:spacing w:val="-1"/>
        </w:rPr>
        <w:t> </w:t>
      </w:r>
      <w:r>
        <w:rPr/>
        <w:t>not without</w:t>
      </w:r>
      <w:r>
        <w:rPr>
          <w:spacing w:val="-2"/>
        </w:rPr>
        <w:t> </w:t>
      </w:r>
      <w:r>
        <w:rPr/>
        <w:t>its</w:t>
      </w:r>
      <w:r>
        <w:rPr>
          <w:spacing w:val="-2"/>
        </w:rPr>
        <w:t> </w:t>
      </w:r>
      <w:r>
        <w:rPr/>
        <w:t>inherent shortcomings.</w:t>
      </w:r>
      <w:r>
        <w:rPr>
          <w:spacing w:val="40"/>
        </w:rPr>
        <w:t> </w:t>
      </w:r>
      <w:r>
        <w:rPr/>
        <w:t>First, the index has been criticized as a one-dimensional indicator which considers only the physical aspect of water availability by neglecting the socio-political, economic</w:t>
      </w:r>
      <w:r>
        <w:rPr>
          <w:spacing w:val="-15"/>
        </w:rPr>
        <w:t> </w:t>
      </w:r>
      <w:r>
        <w:rPr/>
        <w:t>and</w:t>
      </w:r>
      <w:r>
        <w:rPr>
          <w:spacing w:val="-15"/>
        </w:rPr>
        <w:t> </w:t>
      </w:r>
      <w:r>
        <w:rPr/>
        <w:t>environmental</w:t>
      </w:r>
      <w:r>
        <w:rPr>
          <w:spacing w:val="-15"/>
        </w:rPr>
        <w:t> </w:t>
      </w:r>
      <w:r>
        <w:rPr/>
        <w:t>drivers</w:t>
      </w:r>
      <w:r>
        <w:rPr>
          <w:spacing w:val="-15"/>
        </w:rPr>
        <w:t> </w:t>
      </w:r>
      <w:r>
        <w:rPr/>
        <w:t>of</w:t>
      </w:r>
      <w:r>
        <w:rPr>
          <w:spacing w:val="-15"/>
        </w:rPr>
        <w:t> </w:t>
      </w:r>
      <w:r>
        <w:rPr/>
        <w:t>water</w:t>
      </w:r>
      <w:r>
        <w:rPr>
          <w:spacing w:val="-15"/>
        </w:rPr>
        <w:t> </w:t>
      </w:r>
      <w:r>
        <w:rPr/>
        <w:t>scarcity</w:t>
      </w:r>
      <w:r>
        <w:rPr>
          <w:spacing w:val="-15"/>
        </w:rPr>
        <w:t> </w:t>
      </w:r>
      <w:r>
        <w:rPr/>
        <w:t>(Jemmali</w:t>
      </w:r>
      <w:r>
        <w:rPr>
          <w:spacing w:val="-15"/>
        </w:rPr>
        <w:t> </w:t>
      </w:r>
      <w:r>
        <w:rPr/>
        <w:t>and</w:t>
      </w:r>
      <w:r>
        <w:rPr>
          <w:spacing w:val="-15"/>
        </w:rPr>
        <w:t> </w:t>
      </w:r>
      <w:r>
        <w:rPr/>
        <w:t>Matoussi,</w:t>
      </w:r>
      <w:r>
        <w:rPr>
          <w:spacing w:val="-15"/>
        </w:rPr>
        <w:t> </w:t>
      </w:r>
      <w:r>
        <w:rPr/>
        <w:t>2013;</w:t>
      </w:r>
      <w:r>
        <w:rPr>
          <w:spacing w:val="-15"/>
        </w:rPr>
        <w:t> </w:t>
      </w:r>
      <w:r>
        <w:rPr/>
        <w:t>Sullivan and Jemmali, 2014).</w:t>
      </w:r>
    </w:p>
    <w:p>
      <w:pPr>
        <w:spacing w:after="0" w:line="480" w:lineRule="auto"/>
        <w:jc w:val="both"/>
        <w:sectPr>
          <w:pgSz w:w="12240" w:h="15840"/>
          <w:pgMar w:header="0" w:footer="1068" w:top="1320" w:bottom="1260" w:left="1720" w:right="680"/>
        </w:sectPr>
      </w:pPr>
    </w:p>
    <w:p>
      <w:pPr>
        <w:pStyle w:val="BodyText"/>
        <w:ind w:left="472"/>
        <w:rPr>
          <w:sz w:val="20"/>
        </w:rPr>
      </w:pPr>
      <w:r>
        <w:rPr>
          <w:sz w:val="20"/>
        </w:rPr>
        <mc:AlternateContent>
          <mc:Choice Requires="wps">
            <w:drawing>
              <wp:inline distT="0" distB="0" distL="0" distR="0">
                <wp:extent cx="5351145" cy="3230880"/>
                <wp:effectExtent l="0" t="0" r="0" b="7619"/>
                <wp:docPr id="26" name="Group 26"/>
                <wp:cNvGraphicFramePr>
                  <a:graphicFrameLocks/>
                </wp:cNvGraphicFramePr>
                <a:graphic>
                  <a:graphicData uri="http://schemas.microsoft.com/office/word/2010/wordprocessingGroup">
                    <wpg:wgp>
                      <wpg:cNvPr id="26" name="Group 26"/>
                      <wpg:cNvGrpSpPr/>
                      <wpg:grpSpPr>
                        <a:xfrm>
                          <a:off x="0" y="0"/>
                          <a:ext cx="5351145" cy="3230880"/>
                          <a:chExt cx="5351145" cy="3230880"/>
                        </a:xfrm>
                      </wpg:grpSpPr>
                      <pic:pic>
                        <pic:nvPicPr>
                          <pic:cNvPr id="27" name="Image 27"/>
                          <pic:cNvPicPr/>
                        </pic:nvPicPr>
                        <pic:blipFill>
                          <a:blip r:embed="rId16" cstate="print"/>
                          <a:stretch>
                            <a:fillRect/>
                          </a:stretch>
                        </pic:blipFill>
                        <pic:spPr>
                          <a:xfrm>
                            <a:off x="18288" y="9170"/>
                            <a:ext cx="5300548" cy="2624301"/>
                          </a:xfrm>
                          <a:prstGeom prst="rect">
                            <a:avLst/>
                          </a:prstGeom>
                        </pic:spPr>
                      </pic:pic>
                      <wps:wsp>
                        <wps:cNvPr id="28" name="Graphic 28"/>
                        <wps:cNvSpPr/>
                        <wps:spPr>
                          <a:xfrm>
                            <a:off x="13716" y="4572"/>
                            <a:ext cx="5316220" cy="2633980"/>
                          </a:xfrm>
                          <a:custGeom>
                            <a:avLst/>
                            <a:gdLst/>
                            <a:ahLst/>
                            <a:cxnLst/>
                            <a:rect l="l" t="t" r="r" b="b"/>
                            <a:pathLst>
                              <a:path w="5316220" h="2633980">
                                <a:moveTo>
                                  <a:pt x="0" y="2633472"/>
                                </a:moveTo>
                                <a:lnTo>
                                  <a:pt x="5315712" y="2633472"/>
                                </a:lnTo>
                                <a:lnTo>
                                  <a:pt x="5315712" y="0"/>
                                </a:lnTo>
                                <a:lnTo>
                                  <a:pt x="0" y="0"/>
                                </a:lnTo>
                                <a:lnTo>
                                  <a:pt x="0" y="2633472"/>
                                </a:lnTo>
                                <a:close/>
                              </a:path>
                            </a:pathLst>
                          </a:custGeom>
                          <a:ln w="9144">
                            <a:solidFill>
                              <a:srgbClr val="000000"/>
                            </a:solidFill>
                            <a:prstDash val="solid"/>
                          </a:ln>
                        </wps:spPr>
                        <wps:bodyPr wrap="square" lIns="0" tIns="0" rIns="0" bIns="0" rtlCol="0">
                          <a:prstTxWarp prst="textNoShape">
                            <a:avLst/>
                          </a:prstTxWarp>
                          <a:noAutofit/>
                        </wps:bodyPr>
                      </wps:wsp>
                      <pic:pic>
                        <pic:nvPicPr>
                          <pic:cNvPr id="29" name="Image 29"/>
                          <pic:cNvPicPr/>
                        </pic:nvPicPr>
                        <pic:blipFill>
                          <a:blip r:embed="rId17" cstate="print"/>
                          <a:stretch>
                            <a:fillRect/>
                          </a:stretch>
                        </pic:blipFill>
                        <pic:spPr>
                          <a:xfrm>
                            <a:off x="9144" y="2679203"/>
                            <a:ext cx="5183015" cy="542532"/>
                          </a:xfrm>
                          <a:prstGeom prst="rect">
                            <a:avLst/>
                          </a:prstGeom>
                        </pic:spPr>
                      </pic:pic>
                      <wps:wsp>
                        <wps:cNvPr id="30" name="Graphic 30"/>
                        <wps:cNvSpPr/>
                        <wps:spPr>
                          <a:xfrm>
                            <a:off x="4572" y="2674620"/>
                            <a:ext cx="5341620" cy="551815"/>
                          </a:xfrm>
                          <a:custGeom>
                            <a:avLst/>
                            <a:gdLst/>
                            <a:ahLst/>
                            <a:cxnLst/>
                            <a:rect l="l" t="t" r="r" b="b"/>
                            <a:pathLst>
                              <a:path w="5341620" h="551815">
                                <a:moveTo>
                                  <a:pt x="0" y="551688"/>
                                </a:moveTo>
                                <a:lnTo>
                                  <a:pt x="5341620" y="551688"/>
                                </a:lnTo>
                                <a:lnTo>
                                  <a:pt x="5341620" y="0"/>
                                </a:lnTo>
                                <a:lnTo>
                                  <a:pt x="0" y="0"/>
                                </a:lnTo>
                                <a:lnTo>
                                  <a:pt x="0" y="5516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1.35pt;height:254.4pt;mso-position-horizontal-relative:char;mso-position-vertical-relative:line" id="docshapegroup26" coordorigin="0,0" coordsize="8427,5088">
                <v:shape style="position:absolute;left:28;top:14;width:8348;height:4133" type="#_x0000_t75" id="docshape27" stroked="false">
                  <v:imagedata r:id="rId16" o:title=""/>
                </v:shape>
                <v:rect style="position:absolute;left:21;top:7;width:8372;height:4148" id="docshape28" filled="false" stroked="true" strokeweight=".72pt" strokecolor="#000000">
                  <v:stroke dashstyle="solid"/>
                </v:rect>
                <v:shape style="position:absolute;left:14;top:4219;width:8163;height:855" type="#_x0000_t75" id="docshape29" stroked="false">
                  <v:imagedata r:id="rId17" o:title=""/>
                </v:shape>
                <v:rect style="position:absolute;left:7;top:4212;width:8412;height:869" id="docshape30" filled="false" stroked="true" strokeweight=".72pt" strokecolor="#000000">
                  <v:stroke dashstyle="solid"/>
                </v:rect>
              </v:group>
            </w:pict>
          </mc:Fallback>
        </mc:AlternateContent>
      </w:r>
      <w:r>
        <w:rPr>
          <w:sz w:val="20"/>
        </w:rPr>
      </w:r>
    </w:p>
    <w:p>
      <w:pPr>
        <w:pStyle w:val="Heading1"/>
        <w:spacing w:line="274" w:lineRule="exact" w:before="172"/>
        <w:ind w:left="9" w:right="472"/>
        <w:jc w:val="center"/>
      </w:pPr>
      <w:r>
        <w:rPr/>
        <w:t>Figure</w:t>
      </w:r>
      <w:r>
        <w:rPr>
          <w:spacing w:val="-4"/>
        </w:rPr>
        <w:t> </w:t>
      </w:r>
      <w:r>
        <w:rPr/>
        <w:t>2.6:</w:t>
      </w:r>
      <w:r>
        <w:rPr>
          <w:spacing w:val="-1"/>
        </w:rPr>
        <w:t> </w:t>
      </w:r>
      <w:r>
        <w:rPr/>
        <w:t>Water</w:t>
      </w:r>
      <w:r>
        <w:rPr>
          <w:spacing w:val="-1"/>
        </w:rPr>
        <w:t> </w:t>
      </w:r>
      <w:r>
        <w:rPr/>
        <w:t>Scarcity</w:t>
      </w:r>
      <w:r>
        <w:rPr>
          <w:spacing w:val="-1"/>
        </w:rPr>
        <w:t> </w:t>
      </w:r>
      <w:r>
        <w:rPr/>
        <w:t>in year</w:t>
      </w:r>
      <w:r>
        <w:rPr>
          <w:spacing w:val="-2"/>
        </w:rPr>
        <w:t> </w:t>
      </w:r>
      <w:r>
        <w:rPr/>
        <w:t>2005</w:t>
      </w:r>
      <w:r>
        <w:rPr>
          <w:spacing w:val="-1"/>
        </w:rPr>
        <w:t> </w:t>
      </w:r>
      <w:r>
        <w:rPr/>
        <w:t>based on</w:t>
      </w:r>
      <w:r>
        <w:rPr>
          <w:spacing w:val="-1"/>
        </w:rPr>
        <w:t> </w:t>
      </w:r>
      <w:r>
        <w:rPr/>
        <w:t>the Water</w:t>
      </w:r>
      <w:r>
        <w:rPr>
          <w:spacing w:val="-2"/>
        </w:rPr>
        <w:t> </w:t>
      </w:r>
      <w:r>
        <w:rPr/>
        <w:t>Stress </w:t>
      </w:r>
      <w:r>
        <w:rPr>
          <w:spacing w:val="-2"/>
        </w:rPr>
        <w:t>Index</w:t>
      </w:r>
    </w:p>
    <w:p>
      <w:pPr>
        <w:spacing w:line="274" w:lineRule="exact" w:before="0"/>
        <w:ind w:left="9" w:right="470" w:firstLine="0"/>
        <w:jc w:val="center"/>
        <w:rPr>
          <w:sz w:val="24"/>
        </w:rPr>
      </w:pPr>
      <w:r>
        <w:rPr>
          <w:sz w:val="24"/>
        </w:rPr>
        <w:t>Source:</w:t>
      </w:r>
      <w:r>
        <w:rPr>
          <w:spacing w:val="-3"/>
          <w:sz w:val="24"/>
        </w:rPr>
        <w:t> </w:t>
      </w:r>
      <w:r>
        <w:rPr>
          <w:sz w:val="24"/>
        </w:rPr>
        <w:t>Kummu</w:t>
      </w:r>
      <w:r>
        <w:rPr>
          <w:spacing w:val="-1"/>
          <w:sz w:val="24"/>
        </w:rPr>
        <w:t> </w:t>
      </w:r>
      <w:r>
        <w:rPr>
          <w:i/>
          <w:sz w:val="24"/>
        </w:rPr>
        <w:t>et</w:t>
      </w:r>
      <w:r>
        <w:rPr>
          <w:i/>
          <w:spacing w:val="-1"/>
          <w:sz w:val="24"/>
        </w:rPr>
        <w:t> </w:t>
      </w:r>
      <w:r>
        <w:rPr>
          <w:i/>
          <w:sz w:val="24"/>
        </w:rPr>
        <w:t>al.</w:t>
      </w:r>
      <w:r>
        <w:rPr>
          <w:i/>
          <w:spacing w:val="-1"/>
          <w:sz w:val="24"/>
        </w:rPr>
        <w:t> </w:t>
      </w:r>
      <w:r>
        <w:rPr>
          <w:sz w:val="24"/>
        </w:rPr>
        <w:t>(2010)</w:t>
      </w:r>
      <w:r>
        <w:rPr>
          <w:spacing w:val="-2"/>
          <w:sz w:val="24"/>
        </w:rPr>
        <w:t> </w:t>
      </w:r>
      <w:r>
        <w:rPr>
          <w:sz w:val="24"/>
        </w:rPr>
        <w:t>and</w:t>
      </w:r>
      <w:r>
        <w:rPr>
          <w:spacing w:val="1"/>
          <w:sz w:val="24"/>
        </w:rPr>
        <w:t> </w:t>
      </w:r>
      <w:r>
        <w:rPr>
          <w:sz w:val="24"/>
        </w:rPr>
        <w:t>Liu </w:t>
      </w:r>
      <w:r>
        <w:rPr>
          <w:i/>
          <w:sz w:val="24"/>
        </w:rPr>
        <w:t>et</w:t>
      </w:r>
      <w:r>
        <w:rPr>
          <w:i/>
          <w:spacing w:val="-1"/>
          <w:sz w:val="24"/>
        </w:rPr>
        <w:t> </w:t>
      </w:r>
      <w:r>
        <w:rPr>
          <w:i/>
          <w:sz w:val="24"/>
        </w:rPr>
        <w:t>al. </w:t>
      </w:r>
      <w:r>
        <w:rPr>
          <w:spacing w:val="-2"/>
          <w:sz w:val="24"/>
        </w:rPr>
        <w:t>(2017)</w:t>
      </w:r>
    </w:p>
    <w:p>
      <w:pPr>
        <w:pStyle w:val="BodyText"/>
      </w:pPr>
    </w:p>
    <w:p>
      <w:pPr>
        <w:pStyle w:val="BodyText"/>
      </w:pPr>
    </w:p>
    <w:p>
      <w:pPr>
        <w:pStyle w:val="BodyText"/>
        <w:spacing w:line="480" w:lineRule="auto"/>
        <w:ind w:left="267" w:right="724"/>
        <w:jc w:val="both"/>
      </w:pPr>
      <w:r>
        <w:rPr/>
        <w:t>Secondly, apart from the different rationales adduced for the setting of thresholds of water stress and scarcity by Falkenmark, 1986; Savenije, 1999; Gardner-Outlaw and Engelman 1997) the uncritically</w:t>
      </w:r>
      <w:r>
        <w:rPr>
          <w:spacing w:val="-4"/>
        </w:rPr>
        <w:t> </w:t>
      </w:r>
      <w:r>
        <w:rPr/>
        <w:t>adoption and assimilation</w:t>
      </w:r>
      <w:r>
        <w:rPr>
          <w:spacing w:val="-1"/>
        </w:rPr>
        <w:t> </w:t>
      </w:r>
      <w:r>
        <w:rPr/>
        <w:t>of the value of 1700m</w:t>
      </w:r>
      <w:r>
        <w:rPr>
          <w:vertAlign w:val="superscript"/>
        </w:rPr>
        <w:t>3</w:t>
      </w:r>
      <w:r>
        <w:rPr>
          <w:vertAlign w:val="baseline"/>
        </w:rPr>
        <w:t> and1000m</w:t>
      </w:r>
      <w:r>
        <w:rPr>
          <w:vertAlign w:val="superscript"/>
        </w:rPr>
        <w:t>3</w:t>
      </w:r>
      <w:r>
        <w:rPr>
          <w:vertAlign w:val="baseline"/>
        </w:rPr>
        <w:t> into the mainstream literature has no empirical justification (Damkjaer and Taylor, 2017). Thirdly, since</w:t>
      </w:r>
      <w:r>
        <w:rPr>
          <w:spacing w:val="-4"/>
          <w:vertAlign w:val="baseline"/>
        </w:rPr>
        <w:t> </w:t>
      </w:r>
      <w:r>
        <w:rPr>
          <w:vertAlign w:val="baseline"/>
        </w:rPr>
        <w:t>the</w:t>
      </w:r>
      <w:r>
        <w:rPr>
          <w:spacing w:val="-3"/>
          <w:vertAlign w:val="baseline"/>
        </w:rPr>
        <w:t> </w:t>
      </w:r>
      <w:r>
        <w:rPr>
          <w:vertAlign w:val="baseline"/>
        </w:rPr>
        <w:t>Falkenmark</w:t>
      </w:r>
      <w:r>
        <w:rPr>
          <w:spacing w:val="-3"/>
          <w:vertAlign w:val="baseline"/>
        </w:rPr>
        <w:t> </w:t>
      </w:r>
      <w:r>
        <w:rPr>
          <w:vertAlign w:val="baseline"/>
        </w:rPr>
        <w:t>index</w:t>
      </w:r>
      <w:r>
        <w:rPr>
          <w:spacing w:val="-1"/>
          <w:vertAlign w:val="baseline"/>
        </w:rPr>
        <w:t> </w:t>
      </w:r>
      <w:r>
        <w:rPr>
          <w:vertAlign w:val="baseline"/>
        </w:rPr>
        <w:t>was</w:t>
      </w:r>
      <w:r>
        <w:rPr>
          <w:spacing w:val="-3"/>
          <w:vertAlign w:val="baseline"/>
        </w:rPr>
        <w:t> </w:t>
      </w:r>
      <w:r>
        <w:rPr>
          <w:vertAlign w:val="baseline"/>
        </w:rPr>
        <w:t>not</w:t>
      </w:r>
      <w:r>
        <w:rPr>
          <w:spacing w:val="-3"/>
          <w:vertAlign w:val="baseline"/>
        </w:rPr>
        <w:t> </w:t>
      </w:r>
      <w:r>
        <w:rPr>
          <w:vertAlign w:val="baseline"/>
        </w:rPr>
        <w:t>initially</w:t>
      </w:r>
      <w:r>
        <w:rPr>
          <w:spacing w:val="-10"/>
          <w:vertAlign w:val="baseline"/>
        </w:rPr>
        <w:t> </w:t>
      </w:r>
      <w:r>
        <w:rPr>
          <w:vertAlign w:val="baseline"/>
        </w:rPr>
        <w:t>developed</w:t>
      </w:r>
      <w:r>
        <w:rPr>
          <w:spacing w:val="-3"/>
          <w:vertAlign w:val="baseline"/>
        </w:rPr>
        <w:t> </w:t>
      </w:r>
      <w:r>
        <w:rPr>
          <w:vertAlign w:val="baseline"/>
        </w:rPr>
        <w:t>for</w:t>
      </w:r>
      <w:r>
        <w:rPr>
          <w:spacing w:val="-4"/>
          <w:vertAlign w:val="baseline"/>
        </w:rPr>
        <w:t> </w:t>
      </w:r>
      <w:r>
        <w:rPr>
          <w:vertAlign w:val="baseline"/>
        </w:rPr>
        <w:t>regional</w:t>
      </w:r>
      <w:r>
        <w:rPr>
          <w:spacing w:val="-3"/>
          <w:vertAlign w:val="baseline"/>
        </w:rPr>
        <w:t> </w:t>
      </w:r>
      <w:r>
        <w:rPr>
          <w:vertAlign w:val="baseline"/>
        </w:rPr>
        <w:t>or</w:t>
      </w:r>
      <w:r>
        <w:rPr>
          <w:spacing w:val="-2"/>
          <w:vertAlign w:val="baseline"/>
        </w:rPr>
        <w:t> </w:t>
      </w:r>
      <w:r>
        <w:rPr>
          <w:vertAlign w:val="baseline"/>
        </w:rPr>
        <w:t>global</w:t>
      </w:r>
      <w:r>
        <w:rPr>
          <w:spacing w:val="-3"/>
          <w:vertAlign w:val="baseline"/>
        </w:rPr>
        <w:t> </w:t>
      </w:r>
      <w:r>
        <w:rPr>
          <w:vertAlign w:val="baseline"/>
        </w:rPr>
        <w:t>comparison</w:t>
      </w:r>
      <w:r>
        <w:rPr>
          <w:spacing w:val="-3"/>
          <w:vertAlign w:val="baseline"/>
        </w:rPr>
        <w:t> </w:t>
      </w:r>
      <w:r>
        <w:rPr>
          <w:vertAlign w:val="baseline"/>
        </w:rPr>
        <w:t>of water scarcity (Falkenmark, 1989) it has been argued by Gardner-Outlaw and Engelman 1997) that it would be, inappropriate to propose any</w:t>
      </w:r>
      <w:r>
        <w:rPr>
          <w:spacing w:val="-3"/>
          <w:vertAlign w:val="baseline"/>
        </w:rPr>
        <w:t> </w:t>
      </w:r>
      <w:r>
        <w:rPr>
          <w:vertAlign w:val="baseline"/>
        </w:rPr>
        <w:t>precise levels as absolute thresholds of water</w:t>
      </w:r>
      <w:r>
        <w:rPr>
          <w:spacing w:val="-6"/>
          <w:vertAlign w:val="baseline"/>
        </w:rPr>
        <w:t> </w:t>
      </w:r>
      <w:r>
        <w:rPr>
          <w:vertAlign w:val="baseline"/>
        </w:rPr>
        <w:t>scarcity,</w:t>
      </w:r>
      <w:r>
        <w:rPr>
          <w:spacing w:val="-5"/>
          <w:vertAlign w:val="baseline"/>
        </w:rPr>
        <w:t> </w:t>
      </w:r>
      <w:r>
        <w:rPr>
          <w:vertAlign w:val="baseline"/>
        </w:rPr>
        <w:t>or</w:t>
      </w:r>
      <w:r>
        <w:rPr>
          <w:spacing w:val="-6"/>
          <w:vertAlign w:val="baseline"/>
        </w:rPr>
        <w:t> </w:t>
      </w:r>
      <w:r>
        <w:rPr>
          <w:vertAlign w:val="baseline"/>
        </w:rPr>
        <w:t>insist</w:t>
      </w:r>
      <w:r>
        <w:rPr>
          <w:spacing w:val="-4"/>
          <w:vertAlign w:val="baseline"/>
        </w:rPr>
        <w:t> </w:t>
      </w:r>
      <w:r>
        <w:rPr>
          <w:vertAlign w:val="baseline"/>
        </w:rPr>
        <w:t>that</w:t>
      </w:r>
      <w:r>
        <w:rPr>
          <w:spacing w:val="-4"/>
          <w:vertAlign w:val="baseline"/>
        </w:rPr>
        <w:t> </w:t>
      </w:r>
      <w:r>
        <w:rPr>
          <w:vertAlign w:val="baseline"/>
        </w:rPr>
        <w:t>they</w:t>
      </w:r>
      <w:r>
        <w:rPr>
          <w:spacing w:val="-10"/>
          <w:vertAlign w:val="baseline"/>
        </w:rPr>
        <w:t> </w:t>
      </w:r>
      <w:r>
        <w:rPr>
          <w:vertAlign w:val="baseline"/>
        </w:rPr>
        <w:t>apply</w:t>
      </w:r>
      <w:r>
        <w:rPr>
          <w:spacing w:val="-10"/>
          <w:vertAlign w:val="baseline"/>
        </w:rPr>
        <w:t> </w:t>
      </w:r>
      <w:r>
        <w:rPr>
          <w:vertAlign w:val="baseline"/>
        </w:rPr>
        <w:t>equally</w:t>
      </w:r>
      <w:r>
        <w:rPr>
          <w:spacing w:val="-12"/>
          <w:vertAlign w:val="baseline"/>
        </w:rPr>
        <w:t> </w:t>
      </w:r>
      <w:r>
        <w:rPr>
          <w:vertAlign w:val="baseline"/>
        </w:rPr>
        <w:t>to</w:t>
      </w:r>
      <w:r>
        <w:rPr>
          <w:spacing w:val="-2"/>
          <w:vertAlign w:val="baseline"/>
        </w:rPr>
        <w:t> </w:t>
      </w:r>
      <w:r>
        <w:rPr>
          <w:vertAlign w:val="baseline"/>
        </w:rPr>
        <w:t>all</w:t>
      </w:r>
      <w:r>
        <w:rPr>
          <w:spacing w:val="-4"/>
          <w:vertAlign w:val="baseline"/>
        </w:rPr>
        <w:t> </w:t>
      </w:r>
      <w:r>
        <w:rPr>
          <w:vertAlign w:val="baseline"/>
        </w:rPr>
        <w:t>countries.</w:t>
      </w:r>
      <w:r>
        <w:rPr>
          <w:spacing w:val="-1"/>
          <w:vertAlign w:val="baseline"/>
        </w:rPr>
        <w:t> </w:t>
      </w:r>
      <w:r>
        <w:rPr>
          <w:vertAlign w:val="baseline"/>
        </w:rPr>
        <w:t>Below</w:t>
      </w:r>
      <w:r>
        <w:rPr>
          <w:spacing w:val="-5"/>
          <w:vertAlign w:val="baseline"/>
        </w:rPr>
        <w:t> </w:t>
      </w:r>
      <w:r>
        <w:rPr>
          <w:vertAlign w:val="baseline"/>
        </w:rPr>
        <w:t>is</w:t>
      </w:r>
      <w:r>
        <w:rPr>
          <w:spacing w:val="-4"/>
          <w:vertAlign w:val="baseline"/>
        </w:rPr>
        <w:t> </w:t>
      </w:r>
      <w:r>
        <w:rPr>
          <w:vertAlign w:val="baseline"/>
        </w:rPr>
        <w:t>a</w:t>
      </w:r>
      <w:r>
        <w:rPr>
          <w:spacing w:val="-6"/>
          <w:vertAlign w:val="baseline"/>
        </w:rPr>
        <w:t> </w:t>
      </w:r>
      <w:r>
        <w:rPr>
          <w:vertAlign w:val="baseline"/>
        </w:rPr>
        <w:t>list</w:t>
      </w:r>
      <w:r>
        <w:rPr>
          <w:spacing w:val="-4"/>
          <w:vertAlign w:val="baseline"/>
        </w:rPr>
        <w:t> </w:t>
      </w:r>
      <w:r>
        <w:rPr>
          <w:vertAlign w:val="baseline"/>
        </w:rPr>
        <w:t>of</w:t>
      </w:r>
      <w:r>
        <w:rPr>
          <w:spacing w:val="-6"/>
          <w:vertAlign w:val="baseline"/>
        </w:rPr>
        <w:t> </w:t>
      </w:r>
      <w:r>
        <w:rPr>
          <w:vertAlign w:val="baseline"/>
        </w:rPr>
        <w:t>countries</w:t>
      </w:r>
      <w:r>
        <w:rPr>
          <w:spacing w:val="-5"/>
          <w:vertAlign w:val="baseline"/>
        </w:rPr>
        <w:t> </w:t>
      </w:r>
      <w:r>
        <w:rPr>
          <w:vertAlign w:val="baseline"/>
        </w:rPr>
        <w:t>in sub-Saharan Africa experiencing water stress as shown un Table 2.2.</w:t>
      </w:r>
    </w:p>
    <w:p>
      <w:pPr>
        <w:spacing w:after="0" w:line="480" w:lineRule="auto"/>
        <w:jc w:val="both"/>
        <w:sectPr>
          <w:pgSz w:w="12240" w:h="15840"/>
          <w:pgMar w:header="0" w:footer="1068" w:top="1420" w:bottom="1260" w:left="1720" w:right="680"/>
        </w:sectPr>
      </w:pPr>
    </w:p>
    <w:p>
      <w:pPr>
        <w:pStyle w:val="Heading1"/>
        <w:spacing w:before="68" w:after="4"/>
      </w:pPr>
      <w:r>
        <w:rPr/>
        <w:t>Table</w:t>
      </w:r>
      <w:r>
        <w:rPr>
          <w:spacing w:val="-1"/>
        </w:rPr>
        <w:t> </w:t>
      </w:r>
      <w:r>
        <w:rPr/>
        <w:t>2.2:</w:t>
      </w:r>
      <w:r>
        <w:rPr>
          <w:spacing w:val="-1"/>
        </w:rPr>
        <w:t> </w:t>
      </w:r>
      <w:r>
        <w:rPr/>
        <w:t>List</w:t>
      </w:r>
      <w:r>
        <w:rPr>
          <w:spacing w:val="-2"/>
        </w:rPr>
        <w:t> </w:t>
      </w:r>
      <w:r>
        <w:rPr/>
        <w:t>of</w:t>
      </w:r>
      <w:r>
        <w:rPr>
          <w:spacing w:val="-1"/>
        </w:rPr>
        <w:t> </w:t>
      </w:r>
      <w:r>
        <w:rPr/>
        <w:t>Sub-Sahara</w:t>
      </w:r>
      <w:r>
        <w:rPr>
          <w:spacing w:val="-1"/>
        </w:rPr>
        <w:t> </w:t>
      </w:r>
      <w:r>
        <w:rPr/>
        <w:t>African</w:t>
      </w:r>
      <w:r>
        <w:rPr>
          <w:spacing w:val="-1"/>
        </w:rPr>
        <w:t> </w:t>
      </w:r>
      <w:r>
        <w:rPr/>
        <w:t>Countries</w:t>
      </w:r>
      <w:r>
        <w:rPr>
          <w:spacing w:val="-1"/>
        </w:rPr>
        <w:t> </w:t>
      </w:r>
      <w:r>
        <w:rPr/>
        <w:t>Experiencing</w:t>
      </w:r>
      <w:r>
        <w:rPr>
          <w:spacing w:val="-2"/>
        </w:rPr>
        <w:t> </w:t>
      </w:r>
      <w:r>
        <w:rPr/>
        <w:t>Water</w:t>
      </w:r>
      <w:r>
        <w:rPr>
          <w:spacing w:val="-1"/>
        </w:rPr>
        <w:t> </w:t>
      </w:r>
      <w:r>
        <w:rPr>
          <w:spacing w:val="-2"/>
        </w:rPr>
        <w:t>Stress</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2179"/>
        <w:gridCol w:w="2278"/>
        <w:gridCol w:w="2422"/>
      </w:tblGrid>
      <w:tr>
        <w:trPr>
          <w:trHeight w:val="551" w:hRule="atLeast"/>
        </w:trPr>
        <w:tc>
          <w:tcPr>
            <w:tcW w:w="8851" w:type="dxa"/>
            <w:gridSpan w:val="4"/>
            <w:tcBorders>
              <w:top w:val="single" w:sz="8" w:space="0" w:color="000000"/>
              <w:bottom w:val="single" w:sz="8" w:space="0" w:color="000000"/>
            </w:tcBorders>
          </w:tcPr>
          <w:p>
            <w:pPr>
              <w:pStyle w:val="TableParagraph"/>
              <w:spacing w:line="272" w:lineRule="exact"/>
              <w:ind w:left="2316"/>
              <w:rPr>
                <w:b/>
                <w:sz w:val="24"/>
              </w:rPr>
            </w:pPr>
            <w:r>
              <w:rPr>
                <w:b/>
                <w:sz w:val="24"/>
              </w:rPr>
              <w:t>Sub-Saharan</w:t>
            </w:r>
            <w:r>
              <w:rPr>
                <w:b/>
                <w:spacing w:val="-3"/>
                <w:sz w:val="24"/>
              </w:rPr>
              <w:t> </w:t>
            </w:r>
            <w:r>
              <w:rPr>
                <w:b/>
                <w:sz w:val="24"/>
              </w:rPr>
              <w:t>African</w:t>
            </w:r>
            <w:r>
              <w:rPr>
                <w:b/>
                <w:spacing w:val="-3"/>
                <w:sz w:val="24"/>
              </w:rPr>
              <w:t> </w:t>
            </w:r>
            <w:r>
              <w:rPr>
                <w:b/>
                <w:spacing w:val="-2"/>
                <w:sz w:val="24"/>
              </w:rPr>
              <w:t>Countries</w:t>
            </w:r>
          </w:p>
        </w:tc>
      </w:tr>
      <w:tr>
        <w:trPr>
          <w:trHeight w:val="415" w:hRule="atLeast"/>
        </w:trPr>
        <w:tc>
          <w:tcPr>
            <w:tcW w:w="1972" w:type="dxa"/>
            <w:tcBorders>
              <w:top w:val="single" w:sz="8" w:space="0" w:color="000000"/>
            </w:tcBorders>
          </w:tcPr>
          <w:p>
            <w:pPr>
              <w:pStyle w:val="TableParagraph"/>
              <w:spacing w:line="275" w:lineRule="exact"/>
              <w:ind w:left="115"/>
              <w:rPr>
                <w:b/>
                <w:sz w:val="24"/>
              </w:rPr>
            </w:pPr>
            <w:r>
              <w:rPr>
                <w:b/>
                <w:sz w:val="24"/>
              </w:rPr>
              <w:t>Eastern</w:t>
            </w:r>
            <w:r>
              <w:rPr>
                <w:b/>
                <w:spacing w:val="-3"/>
                <w:sz w:val="24"/>
              </w:rPr>
              <w:t> </w:t>
            </w:r>
            <w:r>
              <w:rPr>
                <w:b/>
                <w:spacing w:val="-2"/>
                <w:sz w:val="24"/>
              </w:rPr>
              <w:t>Africa</w:t>
            </w:r>
          </w:p>
        </w:tc>
        <w:tc>
          <w:tcPr>
            <w:tcW w:w="2179" w:type="dxa"/>
            <w:tcBorders>
              <w:top w:val="single" w:sz="8" w:space="0" w:color="000000"/>
            </w:tcBorders>
          </w:tcPr>
          <w:p>
            <w:pPr>
              <w:pStyle w:val="TableParagraph"/>
              <w:spacing w:line="275" w:lineRule="exact"/>
              <w:ind w:left="344"/>
              <w:rPr>
                <w:b/>
                <w:sz w:val="24"/>
              </w:rPr>
            </w:pPr>
            <w:r>
              <w:rPr>
                <w:b/>
                <w:sz w:val="24"/>
              </w:rPr>
              <w:t>Middle</w:t>
            </w:r>
            <w:r>
              <w:rPr>
                <w:b/>
                <w:spacing w:val="-2"/>
                <w:sz w:val="24"/>
              </w:rPr>
              <w:t> Africa</w:t>
            </w:r>
          </w:p>
        </w:tc>
        <w:tc>
          <w:tcPr>
            <w:tcW w:w="2278" w:type="dxa"/>
            <w:tcBorders>
              <w:top w:val="single" w:sz="8" w:space="0" w:color="000000"/>
            </w:tcBorders>
          </w:tcPr>
          <w:p>
            <w:pPr>
              <w:pStyle w:val="TableParagraph"/>
              <w:spacing w:line="275" w:lineRule="exact"/>
              <w:ind w:left="385"/>
              <w:rPr>
                <w:b/>
                <w:sz w:val="24"/>
              </w:rPr>
            </w:pPr>
            <w:r>
              <w:rPr>
                <w:b/>
                <w:sz w:val="24"/>
              </w:rPr>
              <w:t>Western</w:t>
            </w:r>
            <w:r>
              <w:rPr>
                <w:b/>
                <w:spacing w:val="-6"/>
                <w:sz w:val="24"/>
              </w:rPr>
              <w:t> </w:t>
            </w:r>
            <w:r>
              <w:rPr>
                <w:b/>
                <w:spacing w:val="-2"/>
                <w:sz w:val="24"/>
              </w:rPr>
              <w:t>Africa</w:t>
            </w:r>
          </w:p>
        </w:tc>
        <w:tc>
          <w:tcPr>
            <w:tcW w:w="2422" w:type="dxa"/>
            <w:tcBorders>
              <w:top w:val="single" w:sz="8" w:space="0" w:color="000000"/>
            </w:tcBorders>
          </w:tcPr>
          <w:p>
            <w:pPr>
              <w:pStyle w:val="TableParagraph"/>
              <w:spacing w:line="275" w:lineRule="exact"/>
              <w:ind w:left="313"/>
              <w:rPr>
                <w:b/>
                <w:sz w:val="24"/>
              </w:rPr>
            </w:pPr>
            <w:r>
              <w:rPr>
                <w:b/>
                <w:sz w:val="24"/>
              </w:rPr>
              <w:t>Southern</w:t>
            </w:r>
            <w:r>
              <w:rPr>
                <w:b/>
                <w:spacing w:val="-2"/>
                <w:sz w:val="24"/>
              </w:rPr>
              <w:t> Africa</w:t>
            </w:r>
          </w:p>
        </w:tc>
      </w:tr>
      <w:tr>
        <w:trPr>
          <w:trHeight w:val="551" w:hRule="atLeast"/>
        </w:trPr>
        <w:tc>
          <w:tcPr>
            <w:tcW w:w="1972" w:type="dxa"/>
          </w:tcPr>
          <w:p>
            <w:pPr>
              <w:pStyle w:val="TableParagraph"/>
              <w:spacing w:before="135"/>
              <w:ind w:left="115"/>
              <w:rPr>
                <w:b/>
                <w:sz w:val="24"/>
              </w:rPr>
            </w:pPr>
            <w:r>
              <w:rPr>
                <w:b/>
                <w:spacing w:val="-2"/>
                <w:sz w:val="24"/>
              </w:rPr>
              <w:t>Algeria</w:t>
            </w:r>
          </w:p>
        </w:tc>
        <w:tc>
          <w:tcPr>
            <w:tcW w:w="2179" w:type="dxa"/>
          </w:tcPr>
          <w:p>
            <w:pPr>
              <w:pStyle w:val="TableParagraph"/>
              <w:spacing w:before="130"/>
              <w:ind w:left="344"/>
              <w:rPr>
                <w:sz w:val="24"/>
              </w:rPr>
            </w:pPr>
            <w:r>
              <w:rPr>
                <w:spacing w:val="-2"/>
                <w:sz w:val="24"/>
              </w:rPr>
              <w:t>Angola</w:t>
            </w:r>
          </w:p>
        </w:tc>
        <w:tc>
          <w:tcPr>
            <w:tcW w:w="2278" w:type="dxa"/>
          </w:tcPr>
          <w:p>
            <w:pPr>
              <w:pStyle w:val="TableParagraph"/>
              <w:spacing w:before="130"/>
              <w:ind w:left="385"/>
              <w:rPr>
                <w:sz w:val="24"/>
              </w:rPr>
            </w:pPr>
            <w:r>
              <w:rPr>
                <w:sz w:val="24"/>
              </w:rPr>
              <w:t>Benin</w:t>
            </w:r>
            <w:r>
              <w:rPr>
                <w:spacing w:val="-5"/>
                <w:sz w:val="24"/>
              </w:rPr>
              <w:t> </w:t>
            </w:r>
            <w:r>
              <w:rPr>
                <w:spacing w:val="-2"/>
                <w:sz w:val="24"/>
              </w:rPr>
              <w:t>Republic</w:t>
            </w:r>
          </w:p>
        </w:tc>
        <w:tc>
          <w:tcPr>
            <w:tcW w:w="2422" w:type="dxa"/>
          </w:tcPr>
          <w:p>
            <w:pPr>
              <w:pStyle w:val="TableParagraph"/>
              <w:spacing w:before="130"/>
              <w:ind w:left="313"/>
              <w:rPr>
                <w:sz w:val="24"/>
              </w:rPr>
            </w:pPr>
            <w:r>
              <w:rPr>
                <w:spacing w:val="-2"/>
                <w:sz w:val="24"/>
              </w:rPr>
              <w:t>Botswana</w:t>
            </w:r>
          </w:p>
        </w:tc>
      </w:tr>
      <w:tr>
        <w:trPr>
          <w:trHeight w:val="550" w:hRule="atLeast"/>
        </w:trPr>
        <w:tc>
          <w:tcPr>
            <w:tcW w:w="1972" w:type="dxa"/>
          </w:tcPr>
          <w:p>
            <w:pPr>
              <w:pStyle w:val="TableParagraph"/>
              <w:spacing w:before="135"/>
              <w:ind w:left="115"/>
              <w:rPr>
                <w:b/>
                <w:sz w:val="24"/>
              </w:rPr>
            </w:pPr>
            <w:r>
              <w:rPr>
                <w:b/>
                <w:spacing w:val="-2"/>
                <w:sz w:val="24"/>
              </w:rPr>
              <w:t>Egypt</w:t>
            </w:r>
          </w:p>
        </w:tc>
        <w:tc>
          <w:tcPr>
            <w:tcW w:w="2179" w:type="dxa"/>
          </w:tcPr>
          <w:p>
            <w:pPr>
              <w:pStyle w:val="TableParagraph"/>
              <w:spacing w:before="130"/>
              <w:ind w:left="344"/>
              <w:rPr>
                <w:sz w:val="24"/>
              </w:rPr>
            </w:pPr>
            <w:r>
              <w:rPr>
                <w:spacing w:val="-2"/>
                <w:sz w:val="24"/>
              </w:rPr>
              <w:t>Cameroon</w:t>
            </w:r>
          </w:p>
        </w:tc>
        <w:tc>
          <w:tcPr>
            <w:tcW w:w="2278" w:type="dxa"/>
          </w:tcPr>
          <w:p>
            <w:pPr>
              <w:pStyle w:val="TableParagraph"/>
              <w:spacing w:before="130"/>
              <w:ind w:left="385"/>
              <w:rPr>
                <w:sz w:val="24"/>
              </w:rPr>
            </w:pPr>
            <w:r>
              <w:rPr>
                <w:sz w:val="24"/>
              </w:rPr>
              <w:t>Burkina</w:t>
            </w:r>
            <w:r>
              <w:rPr>
                <w:spacing w:val="-2"/>
                <w:sz w:val="24"/>
              </w:rPr>
              <w:t> </w:t>
            </w:r>
            <w:r>
              <w:rPr>
                <w:spacing w:val="-4"/>
                <w:sz w:val="24"/>
              </w:rPr>
              <w:t>Faso</w:t>
            </w:r>
          </w:p>
        </w:tc>
        <w:tc>
          <w:tcPr>
            <w:tcW w:w="2422" w:type="dxa"/>
          </w:tcPr>
          <w:p>
            <w:pPr>
              <w:pStyle w:val="TableParagraph"/>
              <w:spacing w:before="130"/>
              <w:ind w:left="313"/>
              <w:rPr>
                <w:sz w:val="24"/>
              </w:rPr>
            </w:pPr>
            <w:r>
              <w:rPr>
                <w:spacing w:val="-2"/>
                <w:sz w:val="24"/>
              </w:rPr>
              <w:t>Lesotho</w:t>
            </w:r>
          </w:p>
        </w:tc>
      </w:tr>
      <w:tr>
        <w:trPr>
          <w:trHeight w:val="550" w:hRule="atLeast"/>
        </w:trPr>
        <w:tc>
          <w:tcPr>
            <w:tcW w:w="1972" w:type="dxa"/>
          </w:tcPr>
          <w:p>
            <w:pPr>
              <w:pStyle w:val="TableParagraph"/>
              <w:spacing w:before="134"/>
              <w:ind w:left="115"/>
              <w:rPr>
                <w:b/>
                <w:sz w:val="24"/>
              </w:rPr>
            </w:pPr>
            <w:r>
              <w:rPr>
                <w:b/>
                <w:spacing w:val="-4"/>
                <w:sz w:val="24"/>
              </w:rPr>
              <w:t>Libya</w:t>
            </w:r>
          </w:p>
        </w:tc>
        <w:tc>
          <w:tcPr>
            <w:tcW w:w="2179" w:type="dxa"/>
          </w:tcPr>
          <w:p>
            <w:pPr>
              <w:pStyle w:val="TableParagraph"/>
              <w:spacing w:before="129"/>
              <w:ind w:left="344"/>
              <w:rPr>
                <w:sz w:val="24"/>
              </w:rPr>
            </w:pPr>
            <w:r>
              <w:rPr>
                <w:spacing w:val="-4"/>
                <w:sz w:val="24"/>
              </w:rPr>
              <w:t>Gabon</w:t>
            </w:r>
          </w:p>
        </w:tc>
        <w:tc>
          <w:tcPr>
            <w:tcW w:w="2278" w:type="dxa"/>
          </w:tcPr>
          <w:p>
            <w:pPr>
              <w:pStyle w:val="TableParagraph"/>
              <w:spacing w:before="129"/>
              <w:ind w:left="385"/>
              <w:rPr>
                <w:sz w:val="24"/>
              </w:rPr>
            </w:pPr>
            <w:r>
              <w:rPr>
                <w:spacing w:val="-2"/>
                <w:sz w:val="24"/>
              </w:rPr>
              <w:t>Gambia</w:t>
            </w:r>
          </w:p>
        </w:tc>
        <w:tc>
          <w:tcPr>
            <w:tcW w:w="2422" w:type="dxa"/>
          </w:tcPr>
          <w:p>
            <w:pPr>
              <w:pStyle w:val="TableParagraph"/>
              <w:spacing w:before="129"/>
              <w:ind w:left="313"/>
              <w:rPr>
                <w:sz w:val="24"/>
              </w:rPr>
            </w:pPr>
            <w:r>
              <w:rPr>
                <w:spacing w:val="-2"/>
                <w:sz w:val="24"/>
              </w:rPr>
              <w:t>Namibia</w:t>
            </w:r>
          </w:p>
        </w:tc>
      </w:tr>
      <w:tr>
        <w:trPr>
          <w:trHeight w:val="552" w:hRule="atLeast"/>
        </w:trPr>
        <w:tc>
          <w:tcPr>
            <w:tcW w:w="1972" w:type="dxa"/>
          </w:tcPr>
          <w:p>
            <w:pPr>
              <w:pStyle w:val="TableParagraph"/>
              <w:spacing w:before="135"/>
              <w:ind w:left="115"/>
              <w:rPr>
                <w:b/>
                <w:sz w:val="24"/>
              </w:rPr>
            </w:pPr>
            <w:r>
              <w:rPr>
                <w:b/>
                <w:spacing w:val="-2"/>
                <w:sz w:val="24"/>
              </w:rPr>
              <w:t>Sudan</w:t>
            </w:r>
          </w:p>
        </w:tc>
        <w:tc>
          <w:tcPr>
            <w:tcW w:w="2179" w:type="dxa"/>
          </w:tcPr>
          <w:p>
            <w:pPr>
              <w:pStyle w:val="TableParagraph"/>
              <w:rPr>
                <w:sz w:val="24"/>
              </w:rPr>
            </w:pPr>
          </w:p>
        </w:tc>
        <w:tc>
          <w:tcPr>
            <w:tcW w:w="2278" w:type="dxa"/>
          </w:tcPr>
          <w:p>
            <w:pPr>
              <w:pStyle w:val="TableParagraph"/>
              <w:spacing w:before="130"/>
              <w:ind w:left="385"/>
              <w:rPr>
                <w:sz w:val="24"/>
              </w:rPr>
            </w:pPr>
            <w:r>
              <w:rPr>
                <w:spacing w:val="-2"/>
                <w:sz w:val="24"/>
              </w:rPr>
              <w:t>Liberia</w:t>
            </w:r>
          </w:p>
        </w:tc>
        <w:tc>
          <w:tcPr>
            <w:tcW w:w="2422" w:type="dxa"/>
          </w:tcPr>
          <w:p>
            <w:pPr>
              <w:pStyle w:val="TableParagraph"/>
              <w:spacing w:before="130"/>
              <w:ind w:left="313"/>
              <w:rPr>
                <w:sz w:val="24"/>
              </w:rPr>
            </w:pPr>
            <w:r>
              <w:rPr>
                <w:sz w:val="24"/>
              </w:rPr>
              <w:t>South</w:t>
            </w:r>
            <w:r>
              <w:rPr>
                <w:spacing w:val="-2"/>
                <w:sz w:val="24"/>
              </w:rPr>
              <w:t> Africa</w:t>
            </w:r>
          </w:p>
        </w:tc>
      </w:tr>
      <w:tr>
        <w:trPr>
          <w:trHeight w:val="552" w:hRule="atLeast"/>
        </w:trPr>
        <w:tc>
          <w:tcPr>
            <w:tcW w:w="1972" w:type="dxa"/>
          </w:tcPr>
          <w:p>
            <w:pPr>
              <w:pStyle w:val="TableParagraph"/>
              <w:spacing w:before="135"/>
              <w:ind w:left="115"/>
              <w:rPr>
                <w:b/>
                <w:sz w:val="24"/>
              </w:rPr>
            </w:pPr>
            <w:r>
              <w:rPr>
                <w:b/>
                <w:spacing w:val="-2"/>
                <w:sz w:val="24"/>
              </w:rPr>
              <w:t>Uganda</w:t>
            </w:r>
          </w:p>
        </w:tc>
        <w:tc>
          <w:tcPr>
            <w:tcW w:w="2179" w:type="dxa"/>
          </w:tcPr>
          <w:p>
            <w:pPr>
              <w:pStyle w:val="TableParagraph"/>
              <w:rPr>
                <w:sz w:val="24"/>
              </w:rPr>
            </w:pPr>
          </w:p>
        </w:tc>
        <w:tc>
          <w:tcPr>
            <w:tcW w:w="2278" w:type="dxa"/>
          </w:tcPr>
          <w:p>
            <w:pPr>
              <w:pStyle w:val="TableParagraph"/>
              <w:spacing w:before="131"/>
              <w:ind w:left="385"/>
              <w:rPr>
                <w:sz w:val="24"/>
              </w:rPr>
            </w:pPr>
            <w:r>
              <w:rPr>
                <w:spacing w:val="-4"/>
                <w:sz w:val="24"/>
              </w:rPr>
              <w:t>Mali</w:t>
            </w:r>
          </w:p>
        </w:tc>
        <w:tc>
          <w:tcPr>
            <w:tcW w:w="2422" w:type="dxa"/>
          </w:tcPr>
          <w:p>
            <w:pPr>
              <w:pStyle w:val="TableParagraph"/>
              <w:rPr>
                <w:sz w:val="24"/>
              </w:rPr>
            </w:pPr>
          </w:p>
        </w:tc>
      </w:tr>
      <w:tr>
        <w:trPr>
          <w:trHeight w:val="552" w:hRule="atLeast"/>
        </w:trPr>
        <w:tc>
          <w:tcPr>
            <w:tcW w:w="1972" w:type="dxa"/>
          </w:tcPr>
          <w:p>
            <w:pPr>
              <w:pStyle w:val="TableParagraph"/>
              <w:spacing w:before="135"/>
              <w:ind w:left="115"/>
              <w:rPr>
                <w:b/>
                <w:sz w:val="24"/>
              </w:rPr>
            </w:pPr>
            <w:r>
              <w:rPr>
                <w:b/>
                <w:spacing w:val="-2"/>
                <w:sz w:val="24"/>
              </w:rPr>
              <w:t>Zambia</w:t>
            </w:r>
          </w:p>
        </w:tc>
        <w:tc>
          <w:tcPr>
            <w:tcW w:w="2179" w:type="dxa"/>
          </w:tcPr>
          <w:p>
            <w:pPr>
              <w:pStyle w:val="TableParagraph"/>
              <w:rPr>
                <w:sz w:val="24"/>
              </w:rPr>
            </w:pPr>
          </w:p>
        </w:tc>
        <w:tc>
          <w:tcPr>
            <w:tcW w:w="2278" w:type="dxa"/>
          </w:tcPr>
          <w:p>
            <w:pPr>
              <w:pStyle w:val="TableParagraph"/>
              <w:spacing w:before="130"/>
              <w:ind w:left="385"/>
              <w:rPr>
                <w:sz w:val="24"/>
              </w:rPr>
            </w:pPr>
            <w:r>
              <w:rPr>
                <w:spacing w:val="-2"/>
                <w:sz w:val="24"/>
              </w:rPr>
              <w:t>Nigeria</w:t>
            </w:r>
          </w:p>
        </w:tc>
        <w:tc>
          <w:tcPr>
            <w:tcW w:w="2422" w:type="dxa"/>
          </w:tcPr>
          <w:p>
            <w:pPr>
              <w:pStyle w:val="TableParagraph"/>
              <w:rPr>
                <w:sz w:val="24"/>
              </w:rPr>
            </w:pPr>
          </w:p>
        </w:tc>
      </w:tr>
      <w:tr>
        <w:trPr>
          <w:trHeight w:val="552" w:hRule="atLeast"/>
        </w:trPr>
        <w:tc>
          <w:tcPr>
            <w:tcW w:w="1972" w:type="dxa"/>
          </w:tcPr>
          <w:p>
            <w:pPr>
              <w:pStyle w:val="TableParagraph"/>
              <w:spacing w:before="135"/>
              <w:ind w:left="115"/>
              <w:rPr>
                <w:b/>
                <w:sz w:val="24"/>
              </w:rPr>
            </w:pPr>
            <w:r>
              <w:rPr>
                <w:b/>
                <w:spacing w:val="-2"/>
                <w:sz w:val="24"/>
              </w:rPr>
              <w:t>Kenya</w:t>
            </w:r>
          </w:p>
        </w:tc>
        <w:tc>
          <w:tcPr>
            <w:tcW w:w="2179" w:type="dxa"/>
          </w:tcPr>
          <w:p>
            <w:pPr>
              <w:pStyle w:val="TableParagraph"/>
              <w:rPr>
                <w:sz w:val="24"/>
              </w:rPr>
            </w:pPr>
          </w:p>
        </w:tc>
        <w:tc>
          <w:tcPr>
            <w:tcW w:w="2278" w:type="dxa"/>
          </w:tcPr>
          <w:p>
            <w:pPr>
              <w:pStyle w:val="TableParagraph"/>
              <w:spacing w:before="130"/>
              <w:ind w:left="385"/>
              <w:rPr>
                <w:sz w:val="24"/>
              </w:rPr>
            </w:pPr>
            <w:r>
              <w:rPr>
                <w:spacing w:val="-2"/>
                <w:sz w:val="24"/>
              </w:rPr>
              <w:t>Senegal</w:t>
            </w:r>
          </w:p>
        </w:tc>
        <w:tc>
          <w:tcPr>
            <w:tcW w:w="2422" w:type="dxa"/>
          </w:tcPr>
          <w:p>
            <w:pPr>
              <w:pStyle w:val="TableParagraph"/>
              <w:rPr>
                <w:sz w:val="24"/>
              </w:rPr>
            </w:pPr>
          </w:p>
        </w:tc>
      </w:tr>
      <w:tr>
        <w:trPr>
          <w:trHeight w:val="551" w:hRule="atLeast"/>
        </w:trPr>
        <w:tc>
          <w:tcPr>
            <w:tcW w:w="1972" w:type="dxa"/>
          </w:tcPr>
          <w:p>
            <w:pPr>
              <w:pStyle w:val="TableParagraph"/>
              <w:spacing w:before="135"/>
              <w:ind w:left="115"/>
              <w:rPr>
                <w:b/>
                <w:sz w:val="24"/>
              </w:rPr>
            </w:pPr>
            <w:r>
              <w:rPr>
                <w:b/>
                <w:spacing w:val="-2"/>
                <w:sz w:val="24"/>
              </w:rPr>
              <w:t>Somali</w:t>
            </w:r>
          </w:p>
        </w:tc>
        <w:tc>
          <w:tcPr>
            <w:tcW w:w="2179" w:type="dxa"/>
          </w:tcPr>
          <w:p>
            <w:pPr>
              <w:pStyle w:val="TableParagraph"/>
              <w:rPr>
                <w:sz w:val="24"/>
              </w:rPr>
            </w:pPr>
          </w:p>
        </w:tc>
        <w:tc>
          <w:tcPr>
            <w:tcW w:w="2278" w:type="dxa"/>
          </w:tcPr>
          <w:p>
            <w:pPr>
              <w:pStyle w:val="TableParagraph"/>
              <w:spacing w:before="130"/>
              <w:ind w:left="385"/>
              <w:rPr>
                <w:sz w:val="24"/>
              </w:rPr>
            </w:pPr>
            <w:r>
              <w:rPr>
                <w:spacing w:val="-4"/>
                <w:sz w:val="24"/>
              </w:rPr>
              <w:t>Ghana</w:t>
            </w:r>
          </w:p>
        </w:tc>
        <w:tc>
          <w:tcPr>
            <w:tcW w:w="2422" w:type="dxa"/>
          </w:tcPr>
          <w:p>
            <w:pPr>
              <w:pStyle w:val="TableParagraph"/>
              <w:rPr>
                <w:sz w:val="24"/>
              </w:rPr>
            </w:pPr>
          </w:p>
        </w:tc>
      </w:tr>
      <w:tr>
        <w:trPr>
          <w:trHeight w:val="692" w:hRule="atLeast"/>
        </w:trPr>
        <w:tc>
          <w:tcPr>
            <w:tcW w:w="1972" w:type="dxa"/>
            <w:tcBorders>
              <w:bottom w:val="single" w:sz="8" w:space="0" w:color="000000"/>
            </w:tcBorders>
          </w:tcPr>
          <w:p>
            <w:pPr>
              <w:pStyle w:val="TableParagraph"/>
              <w:rPr>
                <w:sz w:val="24"/>
              </w:rPr>
            </w:pPr>
          </w:p>
        </w:tc>
        <w:tc>
          <w:tcPr>
            <w:tcW w:w="2179" w:type="dxa"/>
            <w:tcBorders>
              <w:bottom w:val="single" w:sz="8" w:space="0" w:color="000000"/>
            </w:tcBorders>
          </w:tcPr>
          <w:p>
            <w:pPr>
              <w:pStyle w:val="TableParagraph"/>
              <w:rPr>
                <w:sz w:val="24"/>
              </w:rPr>
            </w:pPr>
          </w:p>
        </w:tc>
        <w:tc>
          <w:tcPr>
            <w:tcW w:w="2278" w:type="dxa"/>
            <w:tcBorders>
              <w:bottom w:val="single" w:sz="8" w:space="0" w:color="000000"/>
            </w:tcBorders>
          </w:tcPr>
          <w:p>
            <w:pPr>
              <w:pStyle w:val="TableParagraph"/>
              <w:spacing w:before="130"/>
              <w:ind w:left="385"/>
              <w:rPr>
                <w:sz w:val="24"/>
              </w:rPr>
            </w:pPr>
            <w:r>
              <w:rPr>
                <w:sz w:val="24"/>
              </w:rPr>
              <w:t>Guinea</w:t>
            </w:r>
            <w:r>
              <w:rPr>
                <w:spacing w:val="-2"/>
                <w:sz w:val="24"/>
              </w:rPr>
              <w:t> Bissau</w:t>
            </w:r>
          </w:p>
        </w:tc>
        <w:tc>
          <w:tcPr>
            <w:tcW w:w="2422" w:type="dxa"/>
            <w:tcBorders>
              <w:bottom w:val="single" w:sz="8" w:space="0" w:color="000000"/>
            </w:tcBorders>
          </w:tcPr>
          <w:p>
            <w:pPr>
              <w:pStyle w:val="TableParagraph"/>
              <w:rPr>
                <w:sz w:val="24"/>
              </w:rPr>
            </w:pPr>
          </w:p>
        </w:tc>
      </w:tr>
    </w:tbl>
    <w:p>
      <w:pPr>
        <w:pStyle w:val="BodyText"/>
        <w:ind w:left="267"/>
      </w:pPr>
      <w:r>
        <w:rPr/>
        <w:t>Source:</w:t>
      </w:r>
      <w:r>
        <w:rPr>
          <w:spacing w:val="-2"/>
        </w:rPr>
        <w:t> </w:t>
      </w:r>
      <w:r>
        <w:rPr/>
        <w:t>UN</w:t>
      </w:r>
      <w:r>
        <w:rPr>
          <w:spacing w:val="-1"/>
        </w:rPr>
        <w:t> </w:t>
      </w:r>
      <w:r>
        <w:rPr>
          <w:spacing w:val="-2"/>
        </w:rPr>
        <w:t>(2015)</w:t>
      </w:r>
    </w:p>
    <w:p>
      <w:pPr>
        <w:pStyle w:val="BodyText"/>
      </w:pPr>
    </w:p>
    <w:p>
      <w:pPr>
        <w:pStyle w:val="BodyText"/>
        <w:spacing w:before="4"/>
      </w:pPr>
    </w:p>
    <w:p>
      <w:pPr>
        <w:pStyle w:val="Heading1"/>
        <w:numPr>
          <w:ilvl w:val="3"/>
          <w:numId w:val="6"/>
        </w:numPr>
        <w:tabs>
          <w:tab w:pos="1046" w:val="left" w:leader="none"/>
        </w:tabs>
        <w:spacing w:line="240" w:lineRule="auto" w:before="0" w:after="0"/>
        <w:ind w:left="1046" w:right="0" w:hanging="779"/>
        <w:jc w:val="left"/>
      </w:pPr>
      <w:r>
        <w:rPr/>
        <w:t>Withdrawal-to-availability</w:t>
      </w:r>
      <w:r>
        <w:rPr>
          <w:spacing w:val="-3"/>
        </w:rPr>
        <w:t> </w:t>
      </w:r>
      <w:r>
        <w:rPr/>
        <w:t>ratio</w:t>
      </w:r>
      <w:r>
        <w:rPr>
          <w:spacing w:val="-3"/>
        </w:rPr>
        <w:t> </w:t>
      </w:r>
      <w:r>
        <w:rPr>
          <w:spacing w:val="-2"/>
        </w:rPr>
        <w:t>(WTA)</w:t>
      </w:r>
    </w:p>
    <w:p>
      <w:pPr>
        <w:pStyle w:val="BodyText"/>
        <w:spacing w:before="14"/>
        <w:rPr>
          <w:b/>
        </w:rPr>
      </w:pPr>
    </w:p>
    <w:p>
      <w:pPr>
        <w:pStyle w:val="BodyText"/>
        <w:spacing w:line="480" w:lineRule="auto"/>
        <w:ind w:left="267" w:right="726"/>
        <w:jc w:val="both"/>
      </w:pPr>
      <w:r>
        <w:rPr/>
        <w:t>The Withdrawal-to-Availability Ratio (WTA) is otherwise known as the “criticality ratio”. The</w:t>
      </w:r>
      <w:r>
        <w:rPr>
          <w:spacing w:val="-6"/>
        </w:rPr>
        <w:t> </w:t>
      </w:r>
      <w:r>
        <w:rPr/>
        <w:t>WTA</w:t>
      </w:r>
      <w:r>
        <w:rPr>
          <w:spacing w:val="-7"/>
        </w:rPr>
        <w:t> </w:t>
      </w:r>
      <w:r>
        <w:rPr/>
        <w:t>defined</w:t>
      </w:r>
      <w:r>
        <w:rPr>
          <w:spacing w:val="-6"/>
        </w:rPr>
        <w:t> </w:t>
      </w:r>
      <w:r>
        <w:rPr/>
        <w:t>water</w:t>
      </w:r>
      <w:r>
        <w:rPr>
          <w:spacing w:val="-3"/>
        </w:rPr>
        <w:t> </w:t>
      </w:r>
      <w:r>
        <w:rPr/>
        <w:t>scarcity</w:t>
      </w:r>
      <w:r>
        <w:rPr>
          <w:spacing w:val="-10"/>
        </w:rPr>
        <w:t> </w:t>
      </w:r>
      <w:r>
        <w:rPr/>
        <w:t>in</w:t>
      </w:r>
      <w:r>
        <w:rPr>
          <w:spacing w:val="-5"/>
        </w:rPr>
        <w:t> </w:t>
      </w:r>
      <w:r>
        <w:rPr/>
        <w:t>terms</w:t>
      </w:r>
      <w:r>
        <w:rPr>
          <w:spacing w:val="-5"/>
        </w:rPr>
        <w:t> </w:t>
      </w:r>
      <w:r>
        <w:rPr/>
        <w:t>of</w:t>
      </w:r>
      <w:r>
        <w:rPr>
          <w:spacing w:val="-6"/>
        </w:rPr>
        <w:t> </w:t>
      </w:r>
      <w:r>
        <w:rPr/>
        <w:t>the</w:t>
      </w:r>
      <w:r>
        <w:rPr>
          <w:spacing w:val="-6"/>
        </w:rPr>
        <w:t> </w:t>
      </w:r>
      <w:r>
        <w:rPr/>
        <w:t>ratio</w:t>
      </w:r>
      <w:r>
        <w:rPr>
          <w:spacing w:val="-6"/>
        </w:rPr>
        <w:t> </w:t>
      </w:r>
      <w:r>
        <w:rPr/>
        <w:t>of</w:t>
      </w:r>
      <w:r>
        <w:rPr>
          <w:spacing w:val="-6"/>
        </w:rPr>
        <w:t> </w:t>
      </w:r>
      <w:r>
        <w:rPr/>
        <w:t>the</w:t>
      </w:r>
      <w:r>
        <w:rPr>
          <w:spacing w:val="-6"/>
        </w:rPr>
        <w:t> </w:t>
      </w:r>
      <w:r>
        <w:rPr/>
        <w:t>total</w:t>
      </w:r>
      <w:r>
        <w:rPr>
          <w:spacing w:val="-5"/>
        </w:rPr>
        <w:t> </w:t>
      </w:r>
      <w:r>
        <w:rPr/>
        <w:t>annual</w:t>
      </w:r>
      <w:r>
        <w:rPr>
          <w:spacing w:val="-5"/>
        </w:rPr>
        <w:t> </w:t>
      </w:r>
      <w:r>
        <w:rPr/>
        <w:t>withdrawals</w:t>
      </w:r>
      <w:r>
        <w:rPr>
          <w:spacing w:val="-5"/>
        </w:rPr>
        <w:t> </w:t>
      </w:r>
      <w:r>
        <w:rPr/>
        <w:t>(across all sectors of domestic, industrial and agricultural) relative to the available renewable fresh water resources (Alcamo </w:t>
      </w:r>
      <w:r>
        <w:rPr>
          <w:i/>
        </w:rPr>
        <w:t>et al., </w:t>
      </w:r>
      <w:r>
        <w:rPr/>
        <w:t>2003). Based on the WTA, a country is “water stress” if its annual</w:t>
      </w:r>
      <w:r>
        <w:rPr>
          <w:spacing w:val="-12"/>
        </w:rPr>
        <w:t> </w:t>
      </w:r>
      <w:r>
        <w:rPr/>
        <w:t>withdrawals</w:t>
      </w:r>
      <w:r>
        <w:rPr>
          <w:spacing w:val="-11"/>
        </w:rPr>
        <w:t> </w:t>
      </w:r>
      <w:r>
        <w:rPr/>
        <w:t>are</w:t>
      </w:r>
      <w:r>
        <w:rPr>
          <w:spacing w:val="-13"/>
        </w:rPr>
        <w:t> </w:t>
      </w:r>
      <w:r>
        <w:rPr/>
        <w:t>between</w:t>
      </w:r>
      <w:r>
        <w:rPr>
          <w:spacing w:val="-12"/>
        </w:rPr>
        <w:t> </w:t>
      </w:r>
      <w:r>
        <w:rPr/>
        <w:t>20%</w:t>
      </w:r>
      <w:r>
        <w:rPr>
          <w:spacing w:val="-13"/>
        </w:rPr>
        <w:t> </w:t>
      </w:r>
      <w:r>
        <w:rPr/>
        <w:t>and</w:t>
      </w:r>
      <w:r>
        <w:rPr>
          <w:spacing w:val="-12"/>
        </w:rPr>
        <w:t> </w:t>
      </w:r>
      <w:r>
        <w:rPr/>
        <w:t>40%</w:t>
      </w:r>
      <w:r>
        <w:rPr>
          <w:spacing w:val="-13"/>
        </w:rPr>
        <w:t> </w:t>
      </w:r>
      <w:r>
        <w:rPr/>
        <w:t>of</w:t>
      </w:r>
      <w:r>
        <w:rPr>
          <w:spacing w:val="-13"/>
        </w:rPr>
        <w:t> </w:t>
      </w:r>
      <w:r>
        <w:rPr/>
        <w:t>the</w:t>
      </w:r>
      <w:r>
        <w:rPr>
          <w:spacing w:val="-13"/>
        </w:rPr>
        <w:t> </w:t>
      </w:r>
      <w:r>
        <w:rPr/>
        <w:t>available</w:t>
      </w:r>
      <w:r>
        <w:rPr>
          <w:spacing w:val="-10"/>
        </w:rPr>
        <w:t> </w:t>
      </w:r>
      <w:r>
        <w:rPr/>
        <w:t>water</w:t>
      </w:r>
      <w:r>
        <w:rPr>
          <w:spacing w:val="-13"/>
        </w:rPr>
        <w:t> </w:t>
      </w:r>
      <w:r>
        <w:rPr/>
        <w:t>resources</w:t>
      </w:r>
      <w:r>
        <w:rPr>
          <w:spacing w:val="-12"/>
        </w:rPr>
        <w:t> </w:t>
      </w:r>
      <w:r>
        <w:rPr/>
        <w:t>and</w:t>
      </w:r>
      <w:r>
        <w:rPr>
          <w:spacing w:val="-10"/>
        </w:rPr>
        <w:t> </w:t>
      </w:r>
      <w:r>
        <w:rPr/>
        <w:t>“severely water</w:t>
      </w:r>
      <w:r>
        <w:rPr>
          <w:spacing w:val="-7"/>
        </w:rPr>
        <w:t> </w:t>
      </w:r>
      <w:r>
        <w:rPr/>
        <w:t>stressed”</w:t>
      </w:r>
      <w:r>
        <w:rPr>
          <w:spacing w:val="-7"/>
        </w:rPr>
        <w:t> </w:t>
      </w:r>
      <w:r>
        <w:rPr/>
        <w:t>if</w:t>
      </w:r>
      <w:r>
        <w:rPr>
          <w:spacing w:val="-6"/>
        </w:rPr>
        <w:t> </w:t>
      </w:r>
      <w:r>
        <w:rPr/>
        <w:t>such</w:t>
      </w:r>
      <w:r>
        <w:rPr>
          <w:spacing w:val="-6"/>
        </w:rPr>
        <w:t> </w:t>
      </w:r>
      <w:r>
        <w:rPr/>
        <w:t>ratio</w:t>
      </w:r>
      <w:r>
        <w:rPr>
          <w:spacing w:val="-6"/>
        </w:rPr>
        <w:t> </w:t>
      </w:r>
      <w:r>
        <w:rPr/>
        <w:t>surpasses</w:t>
      </w:r>
      <w:r>
        <w:rPr>
          <w:spacing w:val="-6"/>
        </w:rPr>
        <w:t> </w:t>
      </w:r>
      <w:r>
        <w:rPr/>
        <w:t>40%</w:t>
      </w:r>
      <w:r>
        <w:rPr>
          <w:spacing w:val="-7"/>
        </w:rPr>
        <w:t> </w:t>
      </w:r>
      <w:r>
        <w:rPr/>
        <w:t>(Raskin</w:t>
      </w:r>
      <w:r>
        <w:rPr>
          <w:spacing w:val="-4"/>
        </w:rPr>
        <w:t> </w:t>
      </w:r>
      <w:r>
        <w:rPr>
          <w:i/>
        </w:rPr>
        <w:t>et</w:t>
      </w:r>
      <w:r>
        <w:rPr>
          <w:i/>
          <w:spacing w:val="-5"/>
        </w:rPr>
        <w:t> </w:t>
      </w:r>
      <w:r>
        <w:rPr>
          <w:i/>
        </w:rPr>
        <w:t>al.</w:t>
      </w:r>
      <w:r>
        <w:rPr/>
        <w:t>,</w:t>
      </w:r>
      <w:r>
        <w:rPr>
          <w:spacing w:val="-6"/>
        </w:rPr>
        <w:t> </w:t>
      </w:r>
      <w:r>
        <w:rPr/>
        <w:t>1996;</w:t>
      </w:r>
      <w:r>
        <w:rPr>
          <w:spacing w:val="-8"/>
        </w:rPr>
        <w:t> </w:t>
      </w:r>
      <w:r>
        <w:rPr/>
        <w:t>Alcamo</w:t>
      </w:r>
      <w:r>
        <w:rPr>
          <w:spacing w:val="-5"/>
        </w:rPr>
        <w:t> </w:t>
      </w:r>
      <w:r>
        <w:rPr>
          <w:i/>
        </w:rPr>
        <w:t>et</w:t>
      </w:r>
      <w:r>
        <w:rPr>
          <w:i/>
          <w:spacing w:val="-8"/>
        </w:rPr>
        <w:t> </w:t>
      </w:r>
      <w:r>
        <w:rPr>
          <w:i/>
        </w:rPr>
        <w:t>al.,</w:t>
      </w:r>
      <w:r>
        <w:rPr>
          <w:i/>
          <w:spacing w:val="-6"/>
        </w:rPr>
        <w:t> </w:t>
      </w:r>
      <w:r>
        <w:rPr/>
        <w:t>2003).</w:t>
      </w:r>
      <w:r>
        <w:rPr>
          <w:spacing w:val="-7"/>
        </w:rPr>
        <w:t> </w:t>
      </w:r>
      <w:r>
        <w:rPr/>
        <w:t>Based on this criticality ratio, the proportion of people suffering from water stress is apparent in Figure 2.7 with most stressed countries falling between the low and middle latitude of the northern hemisphere (Liu </w:t>
      </w:r>
      <w:r>
        <w:rPr>
          <w:i/>
        </w:rPr>
        <w:t>et al.</w:t>
      </w:r>
      <w:r>
        <w:rPr/>
        <w:t>, 2017).</w:t>
      </w:r>
    </w:p>
    <w:p>
      <w:pPr>
        <w:spacing w:after="0" w:line="480" w:lineRule="auto"/>
        <w:jc w:val="both"/>
        <w:sectPr>
          <w:pgSz w:w="12240" w:h="15840"/>
          <w:pgMar w:header="0" w:footer="1068" w:top="1340" w:bottom="1260" w:left="1720" w:right="680"/>
        </w:sectPr>
      </w:pPr>
    </w:p>
    <w:p>
      <w:pPr>
        <w:pStyle w:val="BodyText"/>
        <w:ind w:left="280"/>
        <w:rPr>
          <w:sz w:val="20"/>
        </w:rPr>
      </w:pPr>
      <w:r>
        <w:rPr>
          <w:sz w:val="20"/>
        </w:rPr>
        <mc:AlternateContent>
          <mc:Choice Requires="wps">
            <w:drawing>
              <wp:inline distT="0" distB="0" distL="0" distR="0">
                <wp:extent cx="5471160" cy="3572510"/>
                <wp:effectExtent l="0" t="0" r="0" b="8889"/>
                <wp:docPr id="31" name="Group 31"/>
                <wp:cNvGraphicFramePr>
                  <a:graphicFrameLocks/>
                </wp:cNvGraphicFramePr>
                <a:graphic>
                  <a:graphicData uri="http://schemas.microsoft.com/office/word/2010/wordprocessingGroup">
                    <wpg:wgp>
                      <wpg:cNvPr id="31" name="Group 31"/>
                      <wpg:cNvGrpSpPr/>
                      <wpg:grpSpPr>
                        <a:xfrm>
                          <a:off x="0" y="0"/>
                          <a:ext cx="5471160" cy="3572510"/>
                          <a:chExt cx="5471160" cy="3572510"/>
                        </a:xfrm>
                      </wpg:grpSpPr>
                      <pic:pic>
                        <pic:nvPicPr>
                          <pic:cNvPr id="32" name="Image 32"/>
                          <pic:cNvPicPr/>
                        </pic:nvPicPr>
                        <pic:blipFill>
                          <a:blip r:embed="rId18" cstate="print"/>
                          <a:stretch>
                            <a:fillRect/>
                          </a:stretch>
                        </pic:blipFill>
                        <pic:spPr>
                          <a:xfrm>
                            <a:off x="47244" y="105185"/>
                            <a:ext cx="5063214" cy="2740122"/>
                          </a:xfrm>
                          <a:prstGeom prst="rect">
                            <a:avLst/>
                          </a:prstGeom>
                        </pic:spPr>
                      </pic:pic>
                      <wps:wsp>
                        <wps:cNvPr id="33" name="Graphic 33"/>
                        <wps:cNvSpPr/>
                        <wps:spPr>
                          <a:xfrm>
                            <a:off x="42671" y="4572"/>
                            <a:ext cx="5424170" cy="2845435"/>
                          </a:xfrm>
                          <a:custGeom>
                            <a:avLst/>
                            <a:gdLst/>
                            <a:ahLst/>
                            <a:cxnLst/>
                            <a:rect l="l" t="t" r="r" b="b"/>
                            <a:pathLst>
                              <a:path w="5424170" h="2845435">
                                <a:moveTo>
                                  <a:pt x="0" y="2845308"/>
                                </a:moveTo>
                                <a:lnTo>
                                  <a:pt x="5423916" y="2845308"/>
                                </a:lnTo>
                                <a:lnTo>
                                  <a:pt x="5423916" y="0"/>
                                </a:lnTo>
                                <a:lnTo>
                                  <a:pt x="0" y="0"/>
                                </a:lnTo>
                                <a:lnTo>
                                  <a:pt x="0" y="2845308"/>
                                </a:lnTo>
                                <a:close/>
                              </a:path>
                            </a:pathLst>
                          </a:custGeom>
                          <a:ln w="9144">
                            <a:solidFill>
                              <a:srgbClr val="000000"/>
                            </a:solidFill>
                            <a:prstDash val="solid"/>
                          </a:ln>
                        </wps:spPr>
                        <wps:bodyPr wrap="square" lIns="0" tIns="0" rIns="0" bIns="0" rtlCol="0">
                          <a:prstTxWarp prst="textNoShape">
                            <a:avLst/>
                          </a:prstTxWarp>
                          <a:noAutofit/>
                        </wps:bodyPr>
                      </wps:wsp>
                      <pic:pic>
                        <pic:nvPicPr>
                          <pic:cNvPr id="34" name="Image 34"/>
                          <pic:cNvPicPr/>
                        </pic:nvPicPr>
                        <pic:blipFill>
                          <a:blip r:embed="rId19" cstate="print"/>
                          <a:stretch>
                            <a:fillRect/>
                          </a:stretch>
                        </pic:blipFill>
                        <pic:spPr>
                          <a:xfrm>
                            <a:off x="9144" y="2886402"/>
                            <a:ext cx="5052086" cy="441252"/>
                          </a:xfrm>
                          <a:prstGeom prst="rect">
                            <a:avLst/>
                          </a:prstGeom>
                        </pic:spPr>
                      </pic:pic>
                      <wps:wsp>
                        <wps:cNvPr id="35" name="Graphic 35"/>
                        <wps:cNvSpPr/>
                        <wps:spPr>
                          <a:xfrm>
                            <a:off x="4572" y="2881883"/>
                            <a:ext cx="5434965" cy="685800"/>
                          </a:xfrm>
                          <a:custGeom>
                            <a:avLst/>
                            <a:gdLst/>
                            <a:ahLst/>
                            <a:cxnLst/>
                            <a:rect l="l" t="t" r="r" b="b"/>
                            <a:pathLst>
                              <a:path w="5434965" h="685800">
                                <a:moveTo>
                                  <a:pt x="0" y="685800"/>
                                </a:moveTo>
                                <a:lnTo>
                                  <a:pt x="5434584" y="685800"/>
                                </a:lnTo>
                                <a:lnTo>
                                  <a:pt x="5434584" y="0"/>
                                </a:lnTo>
                                <a:lnTo>
                                  <a:pt x="0" y="0"/>
                                </a:lnTo>
                                <a:lnTo>
                                  <a:pt x="0" y="6858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0.8pt;height:281.3pt;mso-position-horizontal-relative:char;mso-position-vertical-relative:line" id="docshapegroup31" coordorigin="0,0" coordsize="8616,5626">
                <v:shape style="position:absolute;left:74;top:165;width:7974;height:4316" type="#_x0000_t75" id="docshape32" stroked="false">
                  <v:imagedata r:id="rId18" o:title=""/>
                </v:shape>
                <v:rect style="position:absolute;left:67;top:7;width:8542;height:4481" id="docshape33" filled="false" stroked="true" strokeweight=".72pt" strokecolor="#000000">
                  <v:stroke dashstyle="solid"/>
                </v:rect>
                <v:shape style="position:absolute;left:14;top:4545;width:7957;height:695" type="#_x0000_t75" id="docshape34" stroked="false">
                  <v:imagedata r:id="rId19" o:title=""/>
                </v:shape>
                <v:rect style="position:absolute;left:7;top:4538;width:8559;height:1080" id="docshape35" filled="false" stroked="true" strokeweight=".72pt" strokecolor="#000000">
                  <v:stroke dashstyle="solid"/>
                </v:rect>
              </v:group>
            </w:pict>
          </mc:Fallback>
        </mc:AlternateContent>
      </w:r>
      <w:r>
        <w:rPr>
          <w:sz w:val="20"/>
        </w:rPr>
      </w:r>
    </w:p>
    <w:p>
      <w:pPr>
        <w:pStyle w:val="Heading1"/>
        <w:spacing w:line="271" w:lineRule="exact"/>
        <w:ind w:left="9" w:right="476"/>
        <w:jc w:val="center"/>
      </w:pPr>
      <w:r>
        <w:rPr/>
        <w:t>Figure</w:t>
      </w:r>
      <w:r>
        <w:rPr>
          <w:spacing w:val="-2"/>
        </w:rPr>
        <w:t> </w:t>
      </w:r>
      <w:r>
        <w:rPr/>
        <w:t>2.7:</w:t>
      </w:r>
      <w:r>
        <w:rPr>
          <w:spacing w:val="-1"/>
        </w:rPr>
        <w:t> </w:t>
      </w:r>
      <w:r>
        <w:rPr/>
        <w:t>Withdrawal</w:t>
      </w:r>
      <w:r>
        <w:rPr>
          <w:spacing w:val="-3"/>
        </w:rPr>
        <w:t> </w:t>
      </w:r>
      <w:r>
        <w:rPr/>
        <w:t>to</w:t>
      </w:r>
      <w:r>
        <w:rPr>
          <w:spacing w:val="-1"/>
        </w:rPr>
        <w:t> </w:t>
      </w:r>
      <w:r>
        <w:rPr/>
        <w:t>Availability</w:t>
      </w:r>
      <w:r>
        <w:rPr>
          <w:spacing w:val="-1"/>
        </w:rPr>
        <w:t> </w:t>
      </w:r>
      <w:r>
        <w:rPr/>
        <w:t>Ratio</w:t>
      </w:r>
      <w:r>
        <w:rPr>
          <w:spacing w:val="-2"/>
        </w:rPr>
        <w:t> </w:t>
      </w:r>
      <w:r>
        <w:rPr/>
        <w:t>for</w:t>
      </w:r>
      <w:r>
        <w:rPr>
          <w:spacing w:val="-1"/>
        </w:rPr>
        <w:t> </w:t>
      </w:r>
      <w:r>
        <w:rPr/>
        <w:t>year</w:t>
      </w:r>
      <w:r>
        <w:rPr>
          <w:spacing w:val="-2"/>
        </w:rPr>
        <w:t> </w:t>
      </w:r>
      <w:r>
        <w:rPr>
          <w:spacing w:val="-4"/>
        </w:rPr>
        <w:t>2000</w:t>
      </w:r>
    </w:p>
    <w:p>
      <w:pPr>
        <w:spacing w:line="274" w:lineRule="exact" w:before="0"/>
        <w:ind w:left="9" w:right="470" w:firstLine="0"/>
        <w:jc w:val="center"/>
        <w:rPr>
          <w:sz w:val="24"/>
        </w:rPr>
      </w:pPr>
      <w:r>
        <w:rPr>
          <w:sz w:val="24"/>
        </w:rPr>
        <w:t>Source:</w:t>
      </w:r>
      <w:r>
        <w:rPr>
          <w:spacing w:val="-1"/>
          <w:sz w:val="24"/>
        </w:rPr>
        <w:t> </w:t>
      </w:r>
      <w:r>
        <w:rPr>
          <w:sz w:val="24"/>
        </w:rPr>
        <w:t>Liu </w:t>
      </w:r>
      <w:r>
        <w:rPr>
          <w:i/>
          <w:sz w:val="24"/>
        </w:rPr>
        <w:t>et</w:t>
      </w:r>
      <w:r>
        <w:rPr>
          <w:i/>
          <w:spacing w:val="-2"/>
          <w:sz w:val="24"/>
        </w:rPr>
        <w:t> </w:t>
      </w:r>
      <w:r>
        <w:rPr>
          <w:i/>
          <w:sz w:val="24"/>
        </w:rPr>
        <w:t>al.</w:t>
      </w:r>
      <w:r>
        <w:rPr>
          <w:i/>
          <w:spacing w:val="-2"/>
          <w:sz w:val="24"/>
        </w:rPr>
        <w:t> </w:t>
      </w:r>
      <w:r>
        <w:rPr>
          <w:spacing w:val="-2"/>
          <w:sz w:val="24"/>
        </w:rPr>
        <w:t>(2017)</w:t>
      </w:r>
    </w:p>
    <w:p>
      <w:pPr>
        <w:pStyle w:val="BodyText"/>
      </w:pPr>
    </w:p>
    <w:p>
      <w:pPr>
        <w:pStyle w:val="BodyText"/>
      </w:pPr>
    </w:p>
    <w:p>
      <w:pPr>
        <w:pStyle w:val="BodyText"/>
        <w:spacing w:line="480" w:lineRule="auto"/>
        <w:ind w:left="267" w:right="726"/>
        <w:jc w:val="both"/>
      </w:pPr>
      <w:r>
        <w:rPr/>
        <w:t>It is worthy</w:t>
      </w:r>
      <w:r>
        <w:rPr>
          <w:spacing w:val="-8"/>
        </w:rPr>
        <w:t> </w:t>
      </w:r>
      <w:r>
        <w:rPr/>
        <w:t>of</w:t>
      </w:r>
      <w:r>
        <w:rPr>
          <w:spacing w:val="-1"/>
        </w:rPr>
        <w:t> </w:t>
      </w:r>
      <w:r>
        <w:rPr/>
        <w:t>note</w:t>
      </w:r>
      <w:r>
        <w:rPr>
          <w:spacing w:val="-1"/>
        </w:rPr>
        <w:t> </w:t>
      </w:r>
      <w:r>
        <w:rPr/>
        <w:t>to mention that in</w:t>
      </w:r>
      <w:r>
        <w:rPr>
          <w:spacing w:val="-2"/>
        </w:rPr>
        <w:t> </w:t>
      </w:r>
      <w:r>
        <w:rPr/>
        <w:t>this scarcity</w:t>
      </w:r>
      <w:r>
        <w:rPr>
          <w:spacing w:val="-3"/>
        </w:rPr>
        <w:t> </w:t>
      </w:r>
      <w:r>
        <w:rPr/>
        <w:t>metric,</w:t>
      </w:r>
      <w:r>
        <w:rPr>
          <w:spacing w:val="-1"/>
        </w:rPr>
        <w:t> </w:t>
      </w:r>
      <w:r>
        <w:rPr/>
        <w:t>water</w:t>
      </w:r>
      <w:r>
        <w:rPr>
          <w:spacing w:val="-2"/>
        </w:rPr>
        <w:t> </w:t>
      </w:r>
      <w:r>
        <w:rPr/>
        <w:t>use can be quantified using either water consumption (measures the amount of water extracted from different water sources and evaporated to the atmosphere) or water withdrawals (measures the amount of water extracted from different water sources of which part returns to the system by return flow</w:t>
      </w:r>
      <w:r>
        <w:rPr>
          <w:spacing w:val="-5"/>
        </w:rPr>
        <w:t> </w:t>
      </w:r>
      <w:r>
        <w:rPr/>
        <w:t>or</w:t>
      </w:r>
      <w:r>
        <w:rPr>
          <w:spacing w:val="-5"/>
        </w:rPr>
        <w:t> </w:t>
      </w:r>
      <w:r>
        <w:rPr/>
        <w:t>leakage),</w:t>
      </w:r>
      <w:r>
        <w:rPr>
          <w:spacing w:val="-5"/>
        </w:rPr>
        <w:t> </w:t>
      </w:r>
      <w:r>
        <w:rPr/>
        <w:t>though</w:t>
      </w:r>
      <w:r>
        <w:rPr>
          <w:spacing w:val="-1"/>
        </w:rPr>
        <w:t> </w:t>
      </w:r>
      <w:r>
        <w:rPr/>
        <w:t>majority</w:t>
      </w:r>
      <w:r>
        <w:rPr>
          <w:spacing w:val="-9"/>
        </w:rPr>
        <w:t> </w:t>
      </w:r>
      <w:r>
        <w:rPr/>
        <w:t>of</w:t>
      </w:r>
      <w:r>
        <w:rPr>
          <w:spacing w:val="-2"/>
        </w:rPr>
        <w:t> </w:t>
      </w:r>
      <w:r>
        <w:rPr/>
        <w:t>existing</w:t>
      </w:r>
      <w:r>
        <w:rPr>
          <w:spacing w:val="-6"/>
        </w:rPr>
        <w:t> </w:t>
      </w:r>
      <w:r>
        <w:rPr/>
        <w:t>water</w:t>
      </w:r>
      <w:r>
        <w:rPr>
          <w:spacing w:val="-5"/>
        </w:rPr>
        <w:t> </w:t>
      </w:r>
      <w:r>
        <w:rPr/>
        <w:t>scarcity</w:t>
      </w:r>
      <w:r>
        <w:rPr>
          <w:spacing w:val="-9"/>
        </w:rPr>
        <w:t> </w:t>
      </w:r>
      <w:r>
        <w:rPr/>
        <w:t>studies</w:t>
      </w:r>
      <w:r>
        <w:rPr>
          <w:spacing w:val="-4"/>
        </w:rPr>
        <w:t> </w:t>
      </w:r>
      <w:r>
        <w:rPr/>
        <w:t>have</w:t>
      </w:r>
      <w:r>
        <w:rPr>
          <w:spacing w:val="-5"/>
        </w:rPr>
        <w:t> </w:t>
      </w:r>
      <w:r>
        <w:rPr/>
        <w:t>employed</w:t>
      </w:r>
      <w:r>
        <w:rPr>
          <w:spacing w:val="-4"/>
        </w:rPr>
        <w:t> </w:t>
      </w:r>
      <w:r>
        <w:rPr/>
        <w:t>the</w:t>
      </w:r>
      <w:r>
        <w:rPr>
          <w:spacing w:val="-2"/>
        </w:rPr>
        <w:t> </w:t>
      </w:r>
      <w:r>
        <w:rPr/>
        <w:t>latter to indicate water use (Oki and Kanae, 2006; Wada </w:t>
      </w:r>
      <w:r>
        <w:rPr>
          <w:i/>
        </w:rPr>
        <w:t>et al.</w:t>
      </w:r>
      <w:r>
        <w:rPr/>
        <w:t>, 2011).</w:t>
      </w:r>
      <w:r>
        <w:rPr>
          <w:spacing w:val="40"/>
        </w:rPr>
        <w:t> </w:t>
      </w:r>
      <w:r>
        <w:rPr/>
        <w:t>This water scarcity</w:t>
      </w:r>
      <w:r>
        <w:rPr>
          <w:spacing w:val="-1"/>
        </w:rPr>
        <w:t> </w:t>
      </w:r>
      <w:r>
        <w:rPr/>
        <w:t>metric has also been criticized for this lack of consistency. For instance, Munia </w:t>
      </w:r>
      <w:r>
        <w:rPr>
          <w:i/>
        </w:rPr>
        <w:t>et al. </w:t>
      </w:r>
      <w:r>
        <w:rPr/>
        <w:t>(2016) employed consumption and withdrawal as minimum and maximum levels of scarcity and noted</w:t>
      </w:r>
      <w:r>
        <w:rPr>
          <w:spacing w:val="-9"/>
        </w:rPr>
        <w:t> </w:t>
      </w:r>
      <w:r>
        <w:rPr/>
        <w:t>that</w:t>
      </w:r>
      <w:r>
        <w:rPr>
          <w:spacing w:val="-8"/>
        </w:rPr>
        <w:t> </w:t>
      </w:r>
      <w:r>
        <w:rPr/>
        <w:t>the</w:t>
      </w:r>
      <w:r>
        <w:rPr>
          <w:spacing w:val="-9"/>
        </w:rPr>
        <w:t> </w:t>
      </w:r>
      <w:r>
        <w:rPr/>
        <w:t>ratio</w:t>
      </w:r>
      <w:r>
        <w:rPr>
          <w:spacing w:val="-8"/>
        </w:rPr>
        <w:t> </w:t>
      </w:r>
      <w:r>
        <w:rPr/>
        <w:t>of</w:t>
      </w:r>
      <w:r>
        <w:rPr>
          <w:spacing w:val="-9"/>
        </w:rPr>
        <w:t> </w:t>
      </w:r>
      <w:r>
        <w:rPr/>
        <w:t>consumption</w:t>
      </w:r>
      <w:r>
        <w:rPr>
          <w:spacing w:val="-8"/>
        </w:rPr>
        <w:t> </w:t>
      </w:r>
      <w:r>
        <w:rPr/>
        <w:t>to</w:t>
      </w:r>
      <w:r>
        <w:rPr>
          <w:spacing w:val="-8"/>
        </w:rPr>
        <w:t> </w:t>
      </w:r>
      <w:r>
        <w:rPr/>
        <w:t>average</w:t>
      </w:r>
      <w:r>
        <w:rPr>
          <w:spacing w:val="-9"/>
        </w:rPr>
        <w:t> </w:t>
      </w:r>
      <w:r>
        <w:rPr/>
        <w:t>available</w:t>
      </w:r>
      <w:r>
        <w:rPr>
          <w:spacing w:val="-9"/>
        </w:rPr>
        <w:t> </w:t>
      </w:r>
      <w:r>
        <w:rPr/>
        <w:t>renewable</w:t>
      </w:r>
      <w:r>
        <w:rPr>
          <w:spacing w:val="-9"/>
        </w:rPr>
        <w:t> </w:t>
      </w:r>
      <w:r>
        <w:rPr/>
        <w:t>water</w:t>
      </w:r>
      <w:r>
        <w:rPr>
          <w:spacing w:val="-9"/>
        </w:rPr>
        <w:t> </w:t>
      </w:r>
      <w:r>
        <w:rPr/>
        <w:t>resources</w:t>
      </w:r>
      <w:r>
        <w:rPr>
          <w:spacing w:val="-8"/>
        </w:rPr>
        <w:t> </w:t>
      </w:r>
      <w:r>
        <w:rPr/>
        <w:t>produced an unrealistic low level of water scarcity.</w:t>
      </w:r>
    </w:p>
    <w:p>
      <w:pPr>
        <w:spacing w:after="0" w:line="480" w:lineRule="auto"/>
        <w:jc w:val="both"/>
        <w:sectPr>
          <w:pgSz w:w="12240" w:h="15840"/>
          <w:pgMar w:header="0" w:footer="1068" w:top="1420" w:bottom="1260" w:left="1720" w:right="680"/>
        </w:sectPr>
      </w:pPr>
    </w:p>
    <w:p>
      <w:pPr>
        <w:pStyle w:val="BodyText"/>
        <w:spacing w:line="480" w:lineRule="auto" w:before="63"/>
        <w:ind w:left="267" w:right="728"/>
        <w:jc w:val="both"/>
      </w:pPr>
      <w:r>
        <w:rPr/>
        <w:t>Secondly, as the actual proportion of the return flow to water bodies varies across regions depending</w:t>
      </w:r>
      <w:r>
        <w:rPr>
          <w:spacing w:val="-5"/>
        </w:rPr>
        <w:t> </w:t>
      </w:r>
      <w:r>
        <w:rPr/>
        <w:t>on</w:t>
      </w:r>
      <w:r>
        <w:rPr>
          <w:spacing w:val="-2"/>
        </w:rPr>
        <w:t> </w:t>
      </w:r>
      <w:r>
        <w:rPr/>
        <w:t>natural</w:t>
      </w:r>
      <w:r>
        <w:rPr>
          <w:spacing w:val="-2"/>
        </w:rPr>
        <w:t> </w:t>
      </w:r>
      <w:r>
        <w:rPr/>
        <w:t>and socio-economic</w:t>
      </w:r>
      <w:r>
        <w:rPr>
          <w:spacing w:val="-3"/>
        </w:rPr>
        <w:t> </w:t>
      </w:r>
      <w:r>
        <w:rPr/>
        <w:t>and</w:t>
      </w:r>
      <w:r>
        <w:rPr>
          <w:spacing w:val="-2"/>
        </w:rPr>
        <w:t> </w:t>
      </w:r>
      <w:r>
        <w:rPr/>
        <w:t>technological</w:t>
      </w:r>
      <w:r>
        <w:rPr>
          <w:spacing w:val="-2"/>
        </w:rPr>
        <w:t> </w:t>
      </w:r>
      <w:r>
        <w:rPr/>
        <w:t>conditions,</w:t>
      </w:r>
      <w:r>
        <w:rPr>
          <w:spacing w:val="-2"/>
        </w:rPr>
        <w:t> </w:t>
      </w:r>
      <w:r>
        <w:rPr/>
        <w:t>using</w:t>
      </w:r>
      <w:r>
        <w:rPr>
          <w:spacing w:val="-4"/>
        </w:rPr>
        <w:t> </w:t>
      </w:r>
      <w:r>
        <w:rPr/>
        <w:t>40%</w:t>
      </w:r>
      <w:r>
        <w:rPr>
          <w:spacing w:val="-3"/>
        </w:rPr>
        <w:t> </w:t>
      </w:r>
      <w:r>
        <w:rPr/>
        <w:t>as</w:t>
      </w:r>
      <w:r>
        <w:rPr>
          <w:spacing w:val="-2"/>
        </w:rPr>
        <w:t> </w:t>
      </w:r>
      <w:r>
        <w:rPr/>
        <w:t>water scarcity threshold may not be consistent in reflecting the status of water scarcity across regions.</w:t>
      </w:r>
      <w:r>
        <w:rPr>
          <w:spacing w:val="-8"/>
        </w:rPr>
        <w:t> </w:t>
      </w:r>
      <w:r>
        <w:rPr/>
        <w:t>Thirdly,</w:t>
      </w:r>
      <w:r>
        <w:rPr>
          <w:spacing w:val="-8"/>
        </w:rPr>
        <w:t> </w:t>
      </w:r>
      <w:r>
        <w:rPr/>
        <w:t>this</w:t>
      </w:r>
      <w:r>
        <w:rPr>
          <w:spacing w:val="-8"/>
        </w:rPr>
        <w:t> </w:t>
      </w:r>
      <w:r>
        <w:rPr/>
        <w:t>metric</w:t>
      </w:r>
      <w:r>
        <w:rPr>
          <w:spacing w:val="-9"/>
        </w:rPr>
        <w:t> </w:t>
      </w:r>
      <w:r>
        <w:rPr/>
        <w:t>also</w:t>
      </w:r>
      <w:r>
        <w:rPr>
          <w:spacing w:val="-8"/>
        </w:rPr>
        <w:t> </w:t>
      </w:r>
      <w:r>
        <w:rPr/>
        <w:t>suffers</w:t>
      </w:r>
      <w:r>
        <w:rPr>
          <w:spacing w:val="-9"/>
        </w:rPr>
        <w:t> </w:t>
      </w:r>
      <w:r>
        <w:rPr/>
        <w:t>from</w:t>
      </w:r>
      <w:r>
        <w:rPr>
          <w:spacing w:val="-9"/>
        </w:rPr>
        <w:t> </w:t>
      </w:r>
      <w:r>
        <w:rPr/>
        <w:t>the</w:t>
      </w:r>
      <w:r>
        <w:rPr>
          <w:spacing w:val="-9"/>
        </w:rPr>
        <w:t> </w:t>
      </w:r>
      <w:r>
        <w:rPr/>
        <w:t>uncritical</w:t>
      </w:r>
      <w:r>
        <w:rPr>
          <w:spacing w:val="-8"/>
        </w:rPr>
        <w:t> </w:t>
      </w:r>
      <w:r>
        <w:rPr/>
        <w:t>adoption</w:t>
      </w:r>
      <w:r>
        <w:rPr>
          <w:spacing w:val="-8"/>
        </w:rPr>
        <w:t> </w:t>
      </w:r>
      <w:r>
        <w:rPr/>
        <w:t>of</w:t>
      </w:r>
      <w:r>
        <w:rPr>
          <w:spacing w:val="-9"/>
        </w:rPr>
        <w:t> </w:t>
      </w:r>
      <w:r>
        <w:rPr/>
        <w:t>its</w:t>
      </w:r>
      <w:r>
        <w:rPr>
          <w:spacing w:val="-8"/>
        </w:rPr>
        <w:t> </w:t>
      </w:r>
      <w:r>
        <w:rPr/>
        <w:t>thresholds</w:t>
      </w:r>
      <w:r>
        <w:rPr>
          <w:spacing w:val="-8"/>
        </w:rPr>
        <w:t> </w:t>
      </w:r>
      <w:r>
        <w:rPr/>
        <w:t>as</w:t>
      </w:r>
      <w:r>
        <w:rPr>
          <w:spacing w:val="-8"/>
        </w:rPr>
        <w:t> </w:t>
      </w:r>
      <w:r>
        <w:rPr/>
        <w:t>they are</w:t>
      </w:r>
      <w:r>
        <w:rPr>
          <w:spacing w:val="-1"/>
        </w:rPr>
        <w:t> </w:t>
      </w:r>
      <w:r>
        <w:rPr/>
        <w:t>tagged artificial and not evidence bases (Liu </w:t>
      </w:r>
      <w:r>
        <w:rPr>
          <w:i/>
        </w:rPr>
        <w:t>et al.</w:t>
      </w:r>
      <w:r>
        <w:rPr/>
        <w:t>, 2017). Finally, Yang</w:t>
      </w:r>
      <w:r>
        <w:rPr>
          <w:spacing w:val="-1"/>
        </w:rPr>
        <w:t> </w:t>
      </w:r>
      <w:r>
        <w:rPr/>
        <w:t>(2008) and Liu </w:t>
      </w:r>
      <w:r>
        <w:rPr>
          <w:i/>
        </w:rPr>
        <w:t>et al. </w:t>
      </w:r>
      <w:r>
        <w:rPr/>
        <w:t>(2017) noted that the withdrawal data in WTA do not take into cognizance how much of it is consumptively uses (evapotranspiration) and how much could be available for recycling in cases where water can be used for multiple purposes.</w:t>
      </w:r>
    </w:p>
    <w:p>
      <w:pPr>
        <w:pStyle w:val="BodyText"/>
        <w:spacing w:before="8"/>
      </w:pPr>
    </w:p>
    <w:p>
      <w:pPr>
        <w:pStyle w:val="Heading1"/>
        <w:numPr>
          <w:ilvl w:val="2"/>
          <w:numId w:val="6"/>
        </w:numPr>
        <w:tabs>
          <w:tab w:pos="986" w:val="left" w:leader="none"/>
        </w:tabs>
        <w:spacing w:line="240" w:lineRule="auto" w:before="0" w:after="0"/>
        <w:ind w:left="986" w:right="0" w:hanging="719"/>
        <w:jc w:val="both"/>
      </w:pPr>
      <w:r>
        <w:rPr/>
        <w:t>Classical/holistic</w:t>
      </w:r>
      <w:r>
        <w:rPr>
          <w:spacing w:val="-6"/>
        </w:rPr>
        <w:t> </w:t>
      </w:r>
      <w:r>
        <w:rPr/>
        <w:t>water</w:t>
      </w:r>
      <w:r>
        <w:rPr>
          <w:spacing w:val="-2"/>
        </w:rPr>
        <w:t> </w:t>
      </w:r>
      <w:r>
        <w:rPr/>
        <w:t>scarcity </w:t>
      </w:r>
      <w:r>
        <w:rPr>
          <w:spacing w:val="-2"/>
        </w:rPr>
        <w:t>metrics</w:t>
      </w:r>
    </w:p>
    <w:p>
      <w:pPr>
        <w:pStyle w:val="BodyText"/>
        <w:spacing w:before="15"/>
        <w:rPr>
          <w:b/>
        </w:rPr>
      </w:pPr>
    </w:p>
    <w:p>
      <w:pPr>
        <w:pStyle w:val="BodyText"/>
        <w:spacing w:line="480" w:lineRule="auto"/>
        <w:ind w:left="267" w:right="728"/>
        <w:jc w:val="both"/>
      </w:pPr>
      <w:r>
        <w:rPr/>
        <w:t>The inability of the conventional water scarcity metrics (WSI and WTA) to account for societal adaptive capacity to cope with stress (Feitelson and Chenoweth, 2002) as well as environmental sustainability (Sullivan, 2002; Sullivan and Jemmali, 2014) associated with fresh water use explicitly paved way for the development of classical water scarcity assessments. These classical indicators (social water stress index, physical and economic water scarcity indicators and water poverty index) are discussed next.</w:t>
      </w:r>
    </w:p>
    <w:p>
      <w:pPr>
        <w:pStyle w:val="Heading1"/>
        <w:numPr>
          <w:ilvl w:val="3"/>
          <w:numId w:val="6"/>
        </w:numPr>
        <w:tabs>
          <w:tab w:pos="986" w:val="left" w:leader="none"/>
        </w:tabs>
        <w:spacing w:line="240" w:lineRule="auto" w:before="8" w:after="0"/>
        <w:ind w:left="986" w:right="0" w:hanging="719"/>
        <w:jc w:val="both"/>
      </w:pPr>
      <w:r>
        <w:rPr/>
        <w:t>Social</w:t>
      </w:r>
      <w:r>
        <w:rPr>
          <w:spacing w:val="-3"/>
        </w:rPr>
        <w:t> </w:t>
      </w:r>
      <w:r>
        <w:rPr/>
        <w:t>water</w:t>
      </w:r>
      <w:r>
        <w:rPr>
          <w:spacing w:val="-1"/>
        </w:rPr>
        <w:t> </w:t>
      </w:r>
      <w:r>
        <w:rPr/>
        <w:t>stress</w:t>
      </w:r>
      <w:r>
        <w:rPr>
          <w:spacing w:val="-1"/>
        </w:rPr>
        <w:t> </w:t>
      </w:r>
      <w:r>
        <w:rPr/>
        <w:t>index </w:t>
      </w:r>
      <w:r>
        <w:rPr>
          <w:spacing w:val="-2"/>
        </w:rPr>
        <w:t>(SWSI)</w:t>
      </w:r>
    </w:p>
    <w:p>
      <w:pPr>
        <w:pStyle w:val="BodyText"/>
        <w:spacing w:before="14"/>
        <w:rPr>
          <w:b/>
        </w:rPr>
      </w:pPr>
    </w:p>
    <w:p>
      <w:pPr>
        <w:pStyle w:val="BodyText"/>
        <w:spacing w:line="480" w:lineRule="auto"/>
        <w:ind w:left="267" w:right="727"/>
        <w:jc w:val="both"/>
      </w:pPr>
      <w:r>
        <w:rPr/>
        <w:t>As elaborately discussed, the Social Water Stress Index is deeply rooted in the concept of adaptive capacity index (Turton and Ohlsson, 1999; Ohlsson, 2000). This index surmised that the capacity of a country to adapt to water scarcity depends largely on factors such as technological, economical, access to education, political participation, and distributive equity. To derive the SWSI, the number of people in a country that share 10</w:t>
      </w:r>
      <w:r>
        <w:rPr>
          <w:vertAlign w:val="superscript"/>
        </w:rPr>
        <w:t>6</w:t>
      </w:r>
      <w:r>
        <w:rPr>
          <w:vertAlign w:val="baseline"/>
        </w:rPr>
        <w:t>m</w:t>
      </w:r>
      <w:r>
        <w:rPr>
          <w:vertAlign w:val="superscript"/>
        </w:rPr>
        <w:t>3</w:t>
      </w:r>
      <w:r>
        <w:rPr>
          <w:vertAlign w:val="baseline"/>
        </w:rPr>
        <w:t> of annual renewable</w:t>
      </w:r>
      <w:r>
        <w:rPr>
          <w:spacing w:val="13"/>
          <w:vertAlign w:val="baseline"/>
        </w:rPr>
        <w:t> </w:t>
      </w:r>
      <w:r>
        <w:rPr>
          <w:vertAlign w:val="baseline"/>
        </w:rPr>
        <w:t>water</w:t>
      </w:r>
      <w:r>
        <w:rPr>
          <w:spacing w:val="16"/>
          <w:vertAlign w:val="baseline"/>
        </w:rPr>
        <w:t> </w:t>
      </w:r>
      <w:r>
        <w:rPr>
          <w:vertAlign w:val="baseline"/>
        </w:rPr>
        <w:t>(inverted</w:t>
      </w:r>
      <w:r>
        <w:rPr>
          <w:spacing w:val="13"/>
          <w:vertAlign w:val="baseline"/>
        </w:rPr>
        <w:t> </w:t>
      </w:r>
      <w:r>
        <w:rPr>
          <w:vertAlign w:val="baseline"/>
        </w:rPr>
        <w:t>Falkenmark</w:t>
      </w:r>
      <w:r>
        <w:rPr>
          <w:spacing w:val="17"/>
          <w:vertAlign w:val="baseline"/>
        </w:rPr>
        <w:t> </w:t>
      </w:r>
      <w:r>
        <w:rPr>
          <w:vertAlign w:val="baseline"/>
        </w:rPr>
        <w:t>WSI)</w:t>
      </w:r>
      <w:r>
        <w:rPr>
          <w:spacing w:val="14"/>
          <w:vertAlign w:val="baseline"/>
        </w:rPr>
        <w:t> </w:t>
      </w:r>
      <w:r>
        <w:rPr>
          <w:vertAlign w:val="baseline"/>
        </w:rPr>
        <w:t>is</w:t>
      </w:r>
      <w:r>
        <w:rPr>
          <w:spacing w:val="16"/>
          <w:vertAlign w:val="baseline"/>
        </w:rPr>
        <w:t> </w:t>
      </w:r>
      <w:r>
        <w:rPr>
          <w:vertAlign w:val="baseline"/>
        </w:rPr>
        <w:t>divided</w:t>
      </w:r>
      <w:r>
        <w:rPr>
          <w:spacing w:val="12"/>
          <w:vertAlign w:val="baseline"/>
        </w:rPr>
        <w:t> </w:t>
      </w:r>
      <w:r>
        <w:rPr>
          <w:vertAlign w:val="baseline"/>
        </w:rPr>
        <w:t>by</w:t>
      </w:r>
      <w:r>
        <w:rPr>
          <w:spacing w:val="9"/>
          <w:vertAlign w:val="baseline"/>
        </w:rPr>
        <w:t> </w:t>
      </w:r>
      <w:r>
        <w:rPr>
          <w:vertAlign w:val="baseline"/>
        </w:rPr>
        <w:t>the</w:t>
      </w:r>
      <w:r>
        <w:rPr>
          <w:spacing w:val="14"/>
          <w:vertAlign w:val="baseline"/>
        </w:rPr>
        <w:t> </w:t>
      </w:r>
      <w:r>
        <w:rPr>
          <w:vertAlign w:val="baseline"/>
        </w:rPr>
        <w:t>Human</w:t>
      </w:r>
      <w:r>
        <w:rPr>
          <w:spacing w:val="16"/>
          <w:vertAlign w:val="baseline"/>
        </w:rPr>
        <w:t> </w:t>
      </w:r>
      <w:r>
        <w:rPr>
          <w:vertAlign w:val="baseline"/>
        </w:rPr>
        <w:t>Development</w:t>
      </w:r>
      <w:r>
        <w:rPr>
          <w:spacing w:val="17"/>
          <w:vertAlign w:val="baseline"/>
        </w:rPr>
        <w:t> </w:t>
      </w:r>
      <w:r>
        <w:rPr>
          <w:spacing w:val="-2"/>
          <w:vertAlign w:val="baseline"/>
        </w:rPr>
        <w:t>Index</w:t>
      </w:r>
    </w:p>
    <w:p>
      <w:pPr>
        <w:spacing w:after="0" w:line="480" w:lineRule="auto"/>
        <w:jc w:val="both"/>
        <w:sectPr>
          <w:pgSz w:w="12240" w:h="15840"/>
          <w:pgMar w:header="0" w:footer="1068" w:top="1340" w:bottom="1260" w:left="1720" w:right="680"/>
        </w:sectPr>
      </w:pPr>
    </w:p>
    <w:p>
      <w:pPr>
        <w:pStyle w:val="BodyText"/>
        <w:spacing w:line="480" w:lineRule="auto" w:before="63"/>
        <w:ind w:left="267" w:right="701"/>
      </w:pPr>
      <w:r>
        <w:rPr/>
        <w:t>(as</w:t>
      </w:r>
      <w:r>
        <w:rPr>
          <w:spacing w:val="-3"/>
        </w:rPr>
        <w:t> </w:t>
      </w:r>
      <w:r>
        <w:rPr/>
        <w:t>seen</w:t>
      </w:r>
      <w:r>
        <w:rPr>
          <w:spacing w:val="-3"/>
        </w:rPr>
        <w:t> </w:t>
      </w:r>
      <w:r>
        <w:rPr/>
        <w:t>in</w:t>
      </w:r>
      <w:r>
        <w:rPr>
          <w:spacing w:val="-3"/>
        </w:rPr>
        <w:t> </w:t>
      </w:r>
      <w:r>
        <w:rPr/>
        <w:t>equation</w:t>
      </w:r>
      <w:r>
        <w:rPr>
          <w:spacing w:val="-3"/>
        </w:rPr>
        <w:t> </w:t>
      </w:r>
      <w:r>
        <w:rPr/>
        <w:t>2.1).</w:t>
      </w:r>
      <w:r>
        <w:rPr>
          <w:spacing w:val="40"/>
        </w:rPr>
        <w:t> </w:t>
      </w:r>
      <w:r>
        <w:rPr/>
        <w:t>The</w:t>
      </w:r>
      <w:r>
        <w:rPr>
          <w:spacing w:val="-5"/>
        </w:rPr>
        <w:t> </w:t>
      </w:r>
      <w:r>
        <w:rPr/>
        <w:t>result</w:t>
      </w:r>
      <w:r>
        <w:rPr>
          <w:spacing w:val="-3"/>
        </w:rPr>
        <w:t> </w:t>
      </w:r>
      <w:r>
        <w:rPr/>
        <w:t>is</w:t>
      </w:r>
      <w:r>
        <w:rPr>
          <w:spacing w:val="-3"/>
        </w:rPr>
        <w:t> </w:t>
      </w:r>
      <w:r>
        <w:rPr/>
        <w:t>then</w:t>
      </w:r>
      <w:r>
        <w:rPr>
          <w:spacing w:val="-3"/>
        </w:rPr>
        <w:t> </w:t>
      </w:r>
      <w:r>
        <w:rPr/>
        <w:t>divided</w:t>
      </w:r>
      <w:r>
        <w:rPr>
          <w:spacing w:val="-3"/>
        </w:rPr>
        <w:t> </w:t>
      </w:r>
      <w:r>
        <w:rPr/>
        <w:t>by</w:t>
      </w:r>
      <w:r>
        <w:rPr>
          <w:spacing w:val="-8"/>
        </w:rPr>
        <w:t> </w:t>
      </w:r>
      <w:r>
        <w:rPr/>
        <w:t>a</w:t>
      </w:r>
      <w:r>
        <w:rPr>
          <w:spacing w:val="-4"/>
        </w:rPr>
        <w:t> </w:t>
      </w:r>
      <w:r>
        <w:rPr/>
        <w:t>scalar,</w:t>
      </w:r>
      <w:r>
        <w:rPr>
          <w:spacing w:val="-3"/>
        </w:rPr>
        <w:t> </w:t>
      </w:r>
      <w:r>
        <w:rPr/>
        <w:t>which</w:t>
      </w:r>
      <w:r>
        <w:rPr>
          <w:spacing w:val="-3"/>
        </w:rPr>
        <w:t> </w:t>
      </w:r>
      <w:r>
        <w:rPr/>
        <w:t>according</w:t>
      </w:r>
      <w:r>
        <w:rPr>
          <w:spacing w:val="-6"/>
        </w:rPr>
        <w:t> </w:t>
      </w:r>
      <w:r>
        <w:rPr/>
        <w:t>to</w:t>
      </w:r>
      <w:r>
        <w:rPr>
          <w:spacing w:val="-3"/>
        </w:rPr>
        <w:t> </w:t>
      </w:r>
      <w:r>
        <w:rPr/>
        <w:t>Olhsson (2000) sets at a value of 2.</w:t>
      </w:r>
    </w:p>
    <w:p>
      <w:pPr>
        <w:pStyle w:val="BodyText"/>
        <w:spacing w:before="8"/>
        <w:ind w:left="620"/>
        <w:rPr>
          <w:rFonts w:ascii="Cambria Math" w:hAnsi="Cambria Math" w:eastAsia="Cambria Math"/>
        </w:rPr>
      </w:pPr>
      <w:r>
        <w:rPr>
          <w:rFonts w:ascii="Cambria Math" w:hAnsi="Cambria Math" w:eastAsia="Cambria Math"/>
        </w:rPr>
        <w:t>𝑇ℎ𝑒</w:t>
      </w:r>
      <w:r>
        <w:rPr>
          <w:rFonts w:ascii="Cambria Math" w:hAnsi="Cambria Math" w:eastAsia="Cambria Math"/>
          <w:spacing w:val="4"/>
        </w:rPr>
        <w:t> </w:t>
      </w:r>
      <w:r>
        <w:rPr>
          <w:rFonts w:ascii="Cambria Math" w:hAnsi="Cambria Math" w:eastAsia="Cambria Math"/>
        </w:rPr>
        <w:t>𝑆𝑊𝑆𝐼</w:t>
      </w:r>
      <w:r>
        <w:rPr>
          <w:rFonts w:ascii="Cambria Math" w:hAnsi="Cambria Math" w:eastAsia="Cambria Math"/>
          <w:spacing w:val="7"/>
        </w:rPr>
        <w:t> </w:t>
      </w:r>
      <w:r>
        <w:rPr>
          <w:rFonts w:ascii="Cambria Math" w:hAnsi="Cambria Math" w:eastAsia="Cambria Math"/>
        </w:rPr>
        <w:t>𝑜𝑓</w:t>
      </w:r>
      <w:r>
        <w:rPr>
          <w:rFonts w:ascii="Cambria Math" w:hAnsi="Cambria Math" w:eastAsia="Cambria Math"/>
          <w:spacing w:val="6"/>
        </w:rPr>
        <w:t> </w:t>
      </w:r>
      <w:r>
        <w:rPr>
          <w:rFonts w:ascii="Cambria Math" w:hAnsi="Cambria Math" w:eastAsia="Cambria Math"/>
        </w:rPr>
        <w:t>𝑎</w:t>
      </w:r>
      <w:r>
        <w:rPr>
          <w:rFonts w:ascii="Cambria Math" w:hAnsi="Cambria Math" w:eastAsia="Cambria Math"/>
          <w:spacing w:val="6"/>
        </w:rPr>
        <w:t> </w:t>
      </w:r>
      <w:r>
        <w:rPr>
          <w:rFonts w:ascii="Cambria Math" w:hAnsi="Cambria Math" w:eastAsia="Cambria Math"/>
          <w:spacing w:val="-2"/>
        </w:rPr>
        <w:t>𝐶𝑜𝑢𝑛𝑡𝑟𝑦</w:t>
      </w:r>
    </w:p>
    <w:p>
      <w:pPr>
        <w:pStyle w:val="BodyText"/>
        <w:spacing w:before="8"/>
        <w:rPr>
          <w:rFonts w:ascii="Cambria Math"/>
          <w:sz w:val="16"/>
        </w:rPr>
      </w:pPr>
    </w:p>
    <w:p>
      <w:pPr>
        <w:spacing w:after="0"/>
        <w:rPr>
          <w:rFonts w:ascii="Cambria Math"/>
          <w:sz w:val="16"/>
        </w:rPr>
        <w:sectPr>
          <w:pgSz w:w="12240" w:h="15840"/>
          <w:pgMar w:header="0" w:footer="1068" w:top="1340" w:bottom="1260" w:left="1720" w:right="680"/>
        </w:sectPr>
      </w:pPr>
    </w:p>
    <w:p>
      <w:pPr>
        <w:pStyle w:val="BodyText"/>
        <w:spacing w:line="232" w:lineRule="exact" w:before="59"/>
        <w:ind w:left="2313"/>
        <w:jc w:val="center"/>
        <w:rPr>
          <w:rFonts w:ascii="Cambria Math"/>
        </w:rPr>
      </w:pPr>
      <w:r>
        <w:rPr>
          <w:rFonts w:ascii="Cambria Math"/>
        </w:rPr>
        <w:t>Inverted</w:t>
      </w:r>
      <w:r>
        <w:rPr>
          <w:rFonts w:ascii="Cambria Math"/>
          <w:spacing w:val="-2"/>
        </w:rPr>
        <w:t> </w:t>
      </w:r>
      <w:r>
        <w:rPr>
          <w:rFonts w:ascii="Cambria Math"/>
        </w:rPr>
        <w:t>Falkenmark</w:t>
      </w:r>
      <w:r>
        <w:rPr>
          <w:rFonts w:ascii="Cambria Math"/>
          <w:spacing w:val="-4"/>
        </w:rPr>
        <w:t> </w:t>
      </w:r>
      <w:r>
        <w:rPr>
          <w:rFonts w:ascii="Cambria Math"/>
          <w:spacing w:val="-5"/>
        </w:rPr>
        <w:t>WSI</w:t>
      </w:r>
    </w:p>
    <w:p>
      <w:pPr>
        <w:spacing w:line="172" w:lineRule="exact" w:before="0"/>
        <w:ind w:left="0" w:right="943" w:firstLine="0"/>
        <w:jc w:val="center"/>
        <w:rPr>
          <w:rFonts w:ascii="Cambria Math"/>
          <w:sz w:val="24"/>
        </w:rPr>
      </w:pPr>
      <w:r>
        <w:rPr/>
        <mc:AlternateContent>
          <mc:Choice Requires="wps">
            <w:drawing>
              <wp:anchor distT="0" distB="0" distL="0" distR="0" allowOverlap="1" layoutInCell="1" locked="0" behindDoc="0" simplePos="0" relativeHeight="15733248">
                <wp:simplePos x="0" y="0"/>
                <wp:positionH relativeFrom="page">
                  <wp:posOffset>2556382</wp:posOffset>
                </wp:positionH>
                <wp:positionV relativeFrom="paragraph">
                  <wp:posOffset>64557</wp:posOffset>
                </wp:positionV>
                <wp:extent cx="1871980" cy="1079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871980" cy="10795"/>
                        </a:xfrm>
                        <a:custGeom>
                          <a:avLst/>
                          <a:gdLst/>
                          <a:ahLst/>
                          <a:cxnLst/>
                          <a:rect l="l" t="t" r="r" b="b"/>
                          <a:pathLst>
                            <a:path w="1871980" h="10795">
                              <a:moveTo>
                                <a:pt x="1871725" y="0"/>
                              </a:moveTo>
                              <a:lnTo>
                                <a:pt x="0" y="0"/>
                              </a:lnTo>
                              <a:lnTo>
                                <a:pt x="0" y="10668"/>
                              </a:lnTo>
                              <a:lnTo>
                                <a:pt x="1871725" y="10668"/>
                              </a:lnTo>
                              <a:lnTo>
                                <a:pt x="1871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1.289993pt;margin-top:5.083245pt;width:147.38pt;height:.84pt;mso-position-horizontal-relative:page;mso-position-vertical-relative:paragraph;z-index:15733248" id="docshape36" filled="true" fillcolor="#000000" stroked="false">
                <v:fill type="solid"/>
                <w10:wrap type="none"/>
              </v:rect>
            </w:pict>
          </mc:Fallback>
        </mc:AlternateContent>
      </w:r>
      <w:r>
        <w:rPr>
          <w:rFonts w:ascii="Cambria Math"/>
          <w:spacing w:val="-10"/>
          <w:sz w:val="24"/>
        </w:rPr>
        <w:t>=</w:t>
      </w:r>
    </w:p>
    <w:p>
      <w:pPr>
        <w:spacing w:line="221" w:lineRule="exact" w:before="0"/>
        <w:ind w:left="2305" w:right="0" w:firstLine="0"/>
        <w:jc w:val="center"/>
        <w:rPr>
          <w:rFonts w:ascii="Cambria Math" w:eastAsia="Cambria Math"/>
          <w:sz w:val="24"/>
        </w:rPr>
      </w:pPr>
      <w:r>
        <w:rPr>
          <w:rFonts w:ascii="Cambria Math" w:eastAsia="Cambria Math"/>
          <w:sz w:val="24"/>
        </w:rPr>
        <w:t>𝐻𝑢𝑚𝑎𝑛 𝐷𝑒𝑣𝑒𝑙𝑜𝑝𝑚𝑒𝑛𝑡 </w:t>
      </w:r>
      <w:r>
        <w:rPr>
          <w:rFonts w:ascii="Cambria Math" w:eastAsia="Cambria Math"/>
          <w:spacing w:val="-4"/>
          <w:sz w:val="24"/>
        </w:rPr>
        <w:t>𝐼𝑛𝑑𝑒𝑥</w:t>
      </w:r>
    </w:p>
    <w:p>
      <w:pPr>
        <w:spacing w:line="232" w:lineRule="exact" w:before="59"/>
        <w:ind w:left="704" w:right="0" w:firstLine="0"/>
        <w:jc w:val="left"/>
        <w:rPr>
          <w:rFonts w:ascii="Cambria Math"/>
          <w:sz w:val="24"/>
        </w:rPr>
      </w:pPr>
      <w:r>
        <w:rPr/>
        <w:br w:type="column"/>
      </w:r>
      <w:r>
        <w:rPr>
          <w:rFonts w:ascii="Cambria Math"/>
          <w:spacing w:val="-10"/>
          <w:sz w:val="24"/>
        </w:rPr>
        <w:t>1</w:t>
      </w:r>
    </w:p>
    <w:p>
      <w:pPr>
        <w:spacing w:line="172" w:lineRule="exact" w:before="0"/>
        <w:ind w:left="166" w:right="0" w:firstLine="0"/>
        <w:jc w:val="left"/>
        <w:rPr>
          <w:rFonts w:ascii="Cambria Math" w:eastAsia="Cambria Math"/>
          <w:sz w:val="24"/>
        </w:rPr>
      </w:pPr>
      <w:r>
        <w:rPr/>
        <mc:AlternateContent>
          <mc:Choice Requires="wps">
            <w:drawing>
              <wp:anchor distT="0" distB="0" distL="0" distR="0" allowOverlap="1" layoutInCell="1" locked="0" behindDoc="0" simplePos="0" relativeHeight="15733760">
                <wp:simplePos x="0" y="0"/>
                <wp:positionH relativeFrom="page">
                  <wp:posOffset>4716145</wp:posOffset>
                </wp:positionH>
                <wp:positionV relativeFrom="paragraph">
                  <wp:posOffset>64557</wp:posOffset>
                </wp:positionV>
                <wp:extent cx="445134" cy="1079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45134" cy="10795"/>
                        </a:xfrm>
                        <a:custGeom>
                          <a:avLst/>
                          <a:gdLst/>
                          <a:ahLst/>
                          <a:cxnLst/>
                          <a:rect l="l" t="t" r="r" b="b"/>
                          <a:pathLst>
                            <a:path w="445134" h="10795">
                              <a:moveTo>
                                <a:pt x="445008" y="0"/>
                              </a:moveTo>
                              <a:lnTo>
                                <a:pt x="0" y="0"/>
                              </a:lnTo>
                              <a:lnTo>
                                <a:pt x="0" y="10668"/>
                              </a:lnTo>
                              <a:lnTo>
                                <a:pt x="445008" y="10668"/>
                              </a:lnTo>
                              <a:lnTo>
                                <a:pt x="445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1.350006pt;margin-top:5.083245pt;width:35.04pt;height:.84pt;mso-position-horizontal-relative:page;mso-position-vertical-relative:paragraph;z-index:15733760" id="docshape37" filled="true" fillcolor="#000000" stroked="false">
                <v:fill type="solid"/>
                <w10:wrap type="none"/>
              </v:rect>
            </w:pict>
          </mc:Fallback>
        </mc:AlternateContent>
      </w:r>
      <w:r>
        <w:rPr>
          <w:rFonts w:ascii="Cambria Math" w:eastAsia="Cambria Math"/>
          <w:spacing w:val="-10"/>
          <w:sz w:val="24"/>
        </w:rPr>
        <w:t>𝑋</w:t>
      </w:r>
    </w:p>
    <w:p>
      <w:pPr>
        <w:spacing w:line="221" w:lineRule="exact" w:before="0"/>
        <w:ind w:left="420" w:right="0" w:firstLine="0"/>
        <w:jc w:val="left"/>
        <w:rPr>
          <w:rFonts w:ascii="Cambria Math" w:eastAsia="Cambria Math"/>
          <w:sz w:val="24"/>
        </w:rPr>
      </w:pPr>
      <w:r>
        <w:rPr>
          <w:rFonts w:ascii="Cambria Math" w:eastAsia="Cambria Math"/>
          <w:spacing w:val="-2"/>
          <w:sz w:val="24"/>
        </w:rPr>
        <w:t>𝑆𝑐𝑎𝑙𝑎𝑟</w:t>
      </w:r>
    </w:p>
    <w:p>
      <w:pPr>
        <w:pStyle w:val="BodyText"/>
        <w:spacing w:before="231"/>
        <w:ind w:left="508"/>
        <w:jc w:val="center"/>
        <w:rPr>
          <w:rFonts w:ascii="Cambria Math"/>
        </w:rPr>
      </w:pPr>
      <w:r>
        <w:rPr/>
        <w:br w:type="column"/>
      </w:r>
      <w:r>
        <w:rPr>
          <w:rFonts w:ascii="Cambria Math"/>
          <w:spacing w:val="-2"/>
          <w:position w:val="1"/>
        </w:rPr>
        <w:t>(</w:t>
      </w:r>
      <w:r>
        <w:rPr>
          <w:rFonts w:ascii="Cambria Math"/>
          <w:spacing w:val="-2"/>
        </w:rPr>
        <w:t>2.1</w:t>
      </w:r>
      <w:r>
        <w:rPr>
          <w:rFonts w:ascii="Cambria Math"/>
          <w:spacing w:val="-2"/>
          <w:position w:val="1"/>
        </w:rPr>
        <w:t>)</w:t>
      </w:r>
    </w:p>
    <w:p>
      <w:pPr>
        <w:spacing w:after="0"/>
        <w:jc w:val="center"/>
        <w:rPr>
          <w:rFonts w:ascii="Cambria Math"/>
        </w:rPr>
        <w:sectPr>
          <w:type w:val="continuous"/>
          <w:pgSz w:w="12240" w:h="15840"/>
          <w:pgMar w:header="0" w:footer="1068" w:top="1340" w:bottom="1260" w:left="1720" w:right="680"/>
          <w:cols w:num="3" w:equalWidth="0">
            <w:col w:w="5247" w:space="40"/>
            <w:col w:w="1118" w:space="39"/>
            <w:col w:w="3396"/>
          </w:cols>
        </w:sectPr>
      </w:pPr>
    </w:p>
    <w:p>
      <w:pPr>
        <w:pStyle w:val="BodyText"/>
        <w:rPr>
          <w:rFonts w:ascii="Cambria Math"/>
        </w:rPr>
      </w:pPr>
    </w:p>
    <w:p>
      <w:pPr>
        <w:pStyle w:val="BodyText"/>
        <w:spacing w:before="261"/>
        <w:rPr>
          <w:rFonts w:ascii="Cambria Math"/>
        </w:rPr>
      </w:pPr>
    </w:p>
    <w:p>
      <w:pPr>
        <w:pStyle w:val="BodyText"/>
        <w:spacing w:line="480" w:lineRule="auto"/>
        <w:ind w:left="267" w:right="725"/>
        <w:jc w:val="both"/>
      </w:pPr>
      <w:r>
        <w:rPr/>
        <w:t>The</w:t>
      </w:r>
      <w:r>
        <w:rPr>
          <w:spacing w:val="-15"/>
        </w:rPr>
        <w:t> </w:t>
      </w:r>
      <w:r>
        <w:rPr/>
        <w:t>SWSI</w:t>
      </w:r>
      <w:r>
        <w:rPr>
          <w:spacing w:val="-15"/>
        </w:rPr>
        <w:t> </w:t>
      </w:r>
      <w:r>
        <w:rPr/>
        <w:t>therefore</w:t>
      </w:r>
      <w:r>
        <w:rPr>
          <w:spacing w:val="-11"/>
        </w:rPr>
        <w:t> </w:t>
      </w:r>
      <w:r>
        <w:rPr/>
        <w:t>allows</w:t>
      </w:r>
      <w:r>
        <w:rPr>
          <w:spacing w:val="-12"/>
        </w:rPr>
        <w:t> </w:t>
      </w:r>
      <w:r>
        <w:rPr/>
        <w:t>for</w:t>
      </w:r>
      <w:r>
        <w:rPr>
          <w:spacing w:val="-14"/>
        </w:rPr>
        <w:t> </w:t>
      </w:r>
      <w:r>
        <w:rPr/>
        <w:t>a</w:t>
      </w:r>
      <w:r>
        <w:rPr>
          <w:spacing w:val="-11"/>
        </w:rPr>
        <w:t> </w:t>
      </w:r>
      <w:r>
        <w:rPr/>
        <w:t>comparison</w:t>
      </w:r>
      <w:r>
        <w:rPr>
          <w:spacing w:val="-11"/>
        </w:rPr>
        <w:t> </w:t>
      </w:r>
      <w:r>
        <w:rPr/>
        <w:t>between</w:t>
      </w:r>
      <w:r>
        <w:rPr>
          <w:spacing w:val="-12"/>
        </w:rPr>
        <w:t> </w:t>
      </w:r>
      <w:r>
        <w:rPr/>
        <w:t>the</w:t>
      </w:r>
      <w:r>
        <w:rPr>
          <w:spacing w:val="-13"/>
        </w:rPr>
        <w:t> </w:t>
      </w:r>
      <w:r>
        <w:rPr/>
        <w:t>original</w:t>
      </w:r>
      <w:r>
        <w:rPr>
          <w:spacing w:val="-12"/>
        </w:rPr>
        <w:t> </w:t>
      </w:r>
      <w:r>
        <w:rPr/>
        <w:t>WSI</w:t>
      </w:r>
      <w:r>
        <w:rPr>
          <w:spacing w:val="-15"/>
        </w:rPr>
        <w:t> </w:t>
      </w:r>
      <w:r>
        <w:rPr/>
        <w:t>(inverted</w:t>
      </w:r>
      <w:r>
        <w:rPr>
          <w:spacing w:val="-12"/>
        </w:rPr>
        <w:t> </w:t>
      </w:r>
      <w:r>
        <w:rPr/>
        <w:t>Falkenmark index) and SWSI</w:t>
      </w:r>
      <w:r>
        <w:rPr>
          <w:spacing w:val="-5"/>
        </w:rPr>
        <w:t> </w:t>
      </w:r>
      <w:r>
        <w:rPr/>
        <w:t>after adaptive capacity</w:t>
      </w:r>
      <w:r>
        <w:rPr>
          <w:spacing w:val="-4"/>
        </w:rPr>
        <w:t> </w:t>
      </w:r>
      <w:r>
        <w:rPr/>
        <w:t>(which is proxied by</w:t>
      </w:r>
      <w:r>
        <w:rPr>
          <w:spacing w:val="-7"/>
        </w:rPr>
        <w:t> </w:t>
      </w:r>
      <w:r>
        <w:rPr/>
        <w:t>HDI) has been accounted for. While the HDI has been a widely acknowledged indicator of adaptive capacity (Olhsson, 2000;</w:t>
      </w:r>
      <w:r>
        <w:rPr>
          <w:spacing w:val="-10"/>
        </w:rPr>
        <w:t> </w:t>
      </w:r>
      <w:r>
        <w:rPr/>
        <w:t>Damkjaer</w:t>
      </w:r>
      <w:r>
        <w:rPr>
          <w:spacing w:val="-9"/>
        </w:rPr>
        <w:t> </w:t>
      </w:r>
      <w:r>
        <w:rPr/>
        <w:t>and</w:t>
      </w:r>
      <w:r>
        <w:rPr>
          <w:spacing w:val="-9"/>
        </w:rPr>
        <w:t> </w:t>
      </w:r>
      <w:r>
        <w:rPr/>
        <w:t>Taylor,</w:t>
      </w:r>
      <w:r>
        <w:rPr>
          <w:spacing w:val="-11"/>
        </w:rPr>
        <w:t> </w:t>
      </w:r>
      <w:r>
        <w:rPr/>
        <w:t>2017),</w:t>
      </w:r>
      <w:r>
        <w:rPr>
          <w:spacing w:val="-11"/>
        </w:rPr>
        <w:t> </w:t>
      </w:r>
      <w:r>
        <w:rPr/>
        <w:t>it</w:t>
      </w:r>
      <w:r>
        <w:rPr>
          <w:spacing w:val="-10"/>
        </w:rPr>
        <w:t> </w:t>
      </w:r>
      <w:r>
        <w:rPr/>
        <w:t>has</w:t>
      </w:r>
      <w:r>
        <w:rPr>
          <w:spacing w:val="-10"/>
        </w:rPr>
        <w:t> </w:t>
      </w:r>
      <w:r>
        <w:rPr/>
        <w:t>however</w:t>
      </w:r>
      <w:r>
        <w:rPr>
          <w:spacing w:val="-7"/>
        </w:rPr>
        <w:t> </w:t>
      </w:r>
      <w:r>
        <w:rPr/>
        <w:t>been</w:t>
      </w:r>
      <w:r>
        <w:rPr>
          <w:spacing w:val="-8"/>
        </w:rPr>
        <w:t> </w:t>
      </w:r>
      <w:r>
        <w:rPr/>
        <w:t>criticized</w:t>
      </w:r>
      <w:r>
        <w:rPr>
          <w:spacing w:val="-11"/>
        </w:rPr>
        <w:t> </w:t>
      </w:r>
      <w:r>
        <w:rPr/>
        <w:t>as</w:t>
      </w:r>
      <w:r>
        <w:rPr>
          <w:spacing w:val="-8"/>
        </w:rPr>
        <w:t> </w:t>
      </w:r>
      <w:r>
        <w:rPr/>
        <w:t>being</w:t>
      </w:r>
      <w:r>
        <w:rPr>
          <w:spacing w:val="-9"/>
        </w:rPr>
        <w:t> </w:t>
      </w:r>
      <w:r>
        <w:rPr/>
        <w:t>an</w:t>
      </w:r>
      <w:r>
        <w:rPr>
          <w:spacing w:val="-11"/>
        </w:rPr>
        <w:t> </w:t>
      </w:r>
      <w:r>
        <w:rPr/>
        <w:t>oversimplified indicator due to its narrow selection of variables (Kovacevic, 2010) and for being highly correlated with major economic indices (such as GDP) especially in low-income countries (Ogwang, 1994). As such the risk and misrepresentation in using this low-quality data may further aggravate the conditions of water scarcity which is already in a precarious situation in low-income countries.</w:t>
      </w:r>
    </w:p>
    <w:p>
      <w:pPr>
        <w:pStyle w:val="Heading1"/>
        <w:numPr>
          <w:ilvl w:val="3"/>
          <w:numId w:val="6"/>
        </w:numPr>
        <w:tabs>
          <w:tab w:pos="1046" w:val="left" w:leader="none"/>
        </w:tabs>
        <w:spacing w:line="240" w:lineRule="auto" w:before="6" w:after="0"/>
        <w:ind w:left="1046" w:right="0" w:hanging="779"/>
        <w:jc w:val="both"/>
      </w:pPr>
      <w:r>
        <w:rPr/>
        <w:t>Physical</w:t>
      </w:r>
      <w:r>
        <w:rPr>
          <w:spacing w:val="-4"/>
        </w:rPr>
        <w:t> </w:t>
      </w:r>
      <w:r>
        <w:rPr/>
        <w:t>and</w:t>
      </w:r>
      <w:r>
        <w:rPr>
          <w:spacing w:val="-1"/>
        </w:rPr>
        <w:t> </w:t>
      </w:r>
      <w:r>
        <w:rPr/>
        <w:t>economic</w:t>
      </w:r>
      <w:r>
        <w:rPr>
          <w:spacing w:val="-1"/>
        </w:rPr>
        <w:t> </w:t>
      </w:r>
      <w:r>
        <w:rPr/>
        <w:t>water</w:t>
      </w:r>
      <w:r>
        <w:rPr>
          <w:spacing w:val="-2"/>
        </w:rPr>
        <w:t> scarcity</w:t>
      </w:r>
    </w:p>
    <w:p>
      <w:pPr>
        <w:pStyle w:val="BodyText"/>
        <w:spacing w:before="17"/>
        <w:rPr>
          <w:b/>
        </w:rPr>
      </w:pPr>
    </w:p>
    <w:p>
      <w:pPr>
        <w:pStyle w:val="BodyText"/>
        <w:spacing w:line="480" w:lineRule="auto"/>
        <w:ind w:left="267" w:right="727"/>
        <w:jc w:val="both"/>
      </w:pPr>
      <w:r>
        <w:rPr/>
        <w:t>This indicator was developed by the International Water Management Institute (IWMI) for assessing water scarcity noted the significance of adaptive capacity as a measure for distinguishing between physically and economically water scarce nations (Seckler </w:t>
      </w:r>
      <w:r>
        <w:rPr>
          <w:i/>
        </w:rPr>
        <w:t>et al.</w:t>
      </w:r>
      <w:r>
        <w:rPr/>
        <w:t>, 1998a; Rijsberman, 2006; Molden </w:t>
      </w:r>
      <w:r>
        <w:rPr>
          <w:i/>
        </w:rPr>
        <w:t>et al., </w:t>
      </w:r>
      <w:r>
        <w:rPr/>
        <w:t>2007). The highlight of this approach is that it considers the potential of a country to develop its water infrastructure and to improve its irrigation water use efficiency.</w:t>
      </w:r>
    </w:p>
    <w:p>
      <w:pPr>
        <w:pStyle w:val="BodyText"/>
        <w:spacing w:line="480" w:lineRule="auto" w:before="1"/>
        <w:ind w:left="267" w:right="732"/>
        <w:jc w:val="both"/>
      </w:pPr>
      <w:r>
        <w:rPr/>
        <w:t>Physical</w:t>
      </w:r>
      <w:r>
        <w:rPr>
          <w:spacing w:val="-5"/>
        </w:rPr>
        <w:t> </w:t>
      </w:r>
      <w:r>
        <w:rPr/>
        <w:t>water</w:t>
      </w:r>
      <w:r>
        <w:rPr>
          <w:spacing w:val="-7"/>
        </w:rPr>
        <w:t> </w:t>
      </w:r>
      <w:r>
        <w:rPr/>
        <w:t>scarcity</w:t>
      </w:r>
      <w:r>
        <w:rPr>
          <w:spacing w:val="-11"/>
        </w:rPr>
        <w:t> </w:t>
      </w:r>
      <w:r>
        <w:rPr/>
        <w:t>occurs</w:t>
      </w:r>
      <w:r>
        <w:rPr>
          <w:spacing w:val="-6"/>
        </w:rPr>
        <w:t> </w:t>
      </w:r>
      <w:r>
        <w:rPr/>
        <w:t>when</w:t>
      </w:r>
      <w:r>
        <w:rPr>
          <w:spacing w:val="-6"/>
        </w:rPr>
        <w:t> </w:t>
      </w:r>
      <w:r>
        <w:rPr/>
        <w:t>more</w:t>
      </w:r>
      <w:r>
        <w:rPr>
          <w:spacing w:val="-7"/>
        </w:rPr>
        <w:t> </w:t>
      </w:r>
      <w:r>
        <w:rPr/>
        <w:t>than</w:t>
      </w:r>
      <w:r>
        <w:rPr>
          <w:spacing w:val="-6"/>
        </w:rPr>
        <w:t> </w:t>
      </w:r>
      <w:r>
        <w:rPr/>
        <w:t>75%</w:t>
      </w:r>
      <w:r>
        <w:rPr>
          <w:spacing w:val="-7"/>
        </w:rPr>
        <w:t> </w:t>
      </w:r>
      <w:r>
        <w:rPr/>
        <w:t>of</w:t>
      </w:r>
      <w:r>
        <w:rPr>
          <w:spacing w:val="-7"/>
        </w:rPr>
        <w:t> </w:t>
      </w:r>
      <w:r>
        <w:rPr/>
        <w:t>a</w:t>
      </w:r>
      <w:r>
        <w:rPr>
          <w:spacing w:val="-7"/>
        </w:rPr>
        <w:t> </w:t>
      </w:r>
      <w:r>
        <w:rPr/>
        <w:t>country’s</w:t>
      </w:r>
      <w:r>
        <w:rPr>
          <w:spacing w:val="-6"/>
        </w:rPr>
        <w:t> </w:t>
      </w:r>
      <w:r>
        <w:rPr/>
        <w:t>fresh</w:t>
      </w:r>
      <w:r>
        <w:rPr>
          <w:spacing w:val="-6"/>
        </w:rPr>
        <w:t> </w:t>
      </w:r>
      <w:r>
        <w:rPr/>
        <w:t>water</w:t>
      </w:r>
      <w:r>
        <w:rPr>
          <w:spacing w:val="-7"/>
        </w:rPr>
        <w:t> </w:t>
      </w:r>
      <w:r>
        <w:rPr/>
        <w:t>availability</w:t>
      </w:r>
      <w:r>
        <w:rPr>
          <w:spacing w:val="-12"/>
        </w:rPr>
        <w:t> </w:t>
      </w:r>
      <w:r>
        <w:rPr/>
        <w:t>is withdrawn</w:t>
      </w:r>
      <w:r>
        <w:rPr>
          <w:spacing w:val="24"/>
        </w:rPr>
        <w:t> </w:t>
      </w:r>
      <w:r>
        <w:rPr/>
        <w:t>for</w:t>
      </w:r>
      <w:r>
        <w:rPr>
          <w:spacing w:val="24"/>
        </w:rPr>
        <w:t> </w:t>
      </w:r>
      <w:r>
        <w:rPr/>
        <w:t>domestic,</w:t>
      </w:r>
      <w:r>
        <w:rPr>
          <w:spacing w:val="27"/>
        </w:rPr>
        <w:t> </w:t>
      </w:r>
      <w:r>
        <w:rPr/>
        <w:t>industrial</w:t>
      </w:r>
      <w:r>
        <w:rPr>
          <w:spacing w:val="25"/>
        </w:rPr>
        <w:t> </w:t>
      </w:r>
      <w:r>
        <w:rPr/>
        <w:t>and</w:t>
      </w:r>
      <w:r>
        <w:rPr>
          <w:spacing w:val="25"/>
        </w:rPr>
        <w:t> </w:t>
      </w:r>
      <w:r>
        <w:rPr/>
        <w:t>agricultural</w:t>
      </w:r>
      <w:r>
        <w:rPr>
          <w:spacing w:val="25"/>
        </w:rPr>
        <w:t> </w:t>
      </w:r>
      <w:r>
        <w:rPr/>
        <w:t>(DIA)</w:t>
      </w:r>
      <w:r>
        <w:rPr>
          <w:spacing w:val="24"/>
        </w:rPr>
        <w:t> </w:t>
      </w:r>
      <w:r>
        <w:rPr/>
        <w:t>purposes</w:t>
      </w:r>
      <w:r>
        <w:rPr>
          <w:spacing w:val="25"/>
        </w:rPr>
        <w:t> </w:t>
      </w:r>
      <w:r>
        <w:rPr/>
        <w:t>(Brown</w:t>
      </w:r>
      <w:r>
        <w:rPr>
          <w:spacing w:val="24"/>
        </w:rPr>
        <w:t> </w:t>
      </w:r>
      <w:r>
        <w:rPr/>
        <w:t>and</w:t>
      </w:r>
      <w:r>
        <w:rPr>
          <w:spacing w:val="26"/>
        </w:rPr>
        <w:t> </w:t>
      </w:r>
      <w:r>
        <w:rPr>
          <w:spacing w:val="-2"/>
        </w:rPr>
        <w:t>Mattock,</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right="730"/>
        <w:jc w:val="both"/>
      </w:pPr>
      <w:r>
        <w:rPr/>
        <w:t>2011) and such country</w:t>
      </w:r>
      <w:r>
        <w:rPr>
          <w:spacing w:val="-1"/>
        </w:rPr>
        <w:t> </w:t>
      </w:r>
      <w:r>
        <w:rPr/>
        <w:t>is unable to meet its future water demand even after accounting for its</w:t>
      </w:r>
      <w:r>
        <w:rPr>
          <w:spacing w:val="-9"/>
        </w:rPr>
        <w:t> </w:t>
      </w:r>
      <w:r>
        <w:rPr/>
        <w:t>natural</w:t>
      </w:r>
      <w:r>
        <w:rPr>
          <w:spacing w:val="-9"/>
        </w:rPr>
        <w:t> </w:t>
      </w:r>
      <w:r>
        <w:rPr/>
        <w:t>adaptive</w:t>
      </w:r>
      <w:r>
        <w:rPr>
          <w:spacing w:val="-10"/>
        </w:rPr>
        <w:t> </w:t>
      </w:r>
      <w:r>
        <w:rPr/>
        <w:t>capacity.</w:t>
      </w:r>
      <w:r>
        <w:rPr>
          <w:spacing w:val="-9"/>
        </w:rPr>
        <w:t> </w:t>
      </w:r>
      <w:r>
        <w:rPr/>
        <w:t>Economic</w:t>
      </w:r>
      <w:r>
        <w:rPr>
          <w:spacing w:val="-10"/>
        </w:rPr>
        <w:t> </w:t>
      </w:r>
      <w:r>
        <w:rPr/>
        <w:t>water</w:t>
      </w:r>
      <w:r>
        <w:rPr>
          <w:spacing w:val="-10"/>
        </w:rPr>
        <w:t> </w:t>
      </w:r>
      <w:r>
        <w:rPr/>
        <w:t>scarcity</w:t>
      </w:r>
      <w:r>
        <w:rPr>
          <w:spacing w:val="-13"/>
        </w:rPr>
        <w:t> </w:t>
      </w:r>
      <w:r>
        <w:rPr/>
        <w:t>occurs</w:t>
      </w:r>
      <w:r>
        <w:rPr>
          <w:spacing w:val="-10"/>
        </w:rPr>
        <w:t> </w:t>
      </w:r>
      <w:r>
        <w:rPr/>
        <w:t>when</w:t>
      </w:r>
      <w:r>
        <w:rPr>
          <w:spacing w:val="-9"/>
        </w:rPr>
        <w:t> </w:t>
      </w:r>
      <w:r>
        <w:rPr/>
        <w:t>a</w:t>
      </w:r>
      <w:r>
        <w:rPr>
          <w:spacing w:val="-10"/>
        </w:rPr>
        <w:t> </w:t>
      </w:r>
      <w:r>
        <w:rPr/>
        <w:t>country</w:t>
      </w:r>
      <w:r>
        <w:rPr>
          <w:spacing w:val="-7"/>
        </w:rPr>
        <w:t> </w:t>
      </w:r>
      <w:r>
        <w:rPr/>
        <w:t>has</w:t>
      </w:r>
      <w:r>
        <w:rPr>
          <w:spacing w:val="-9"/>
        </w:rPr>
        <w:t> </w:t>
      </w:r>
      <w:r>
        <w:rPr/>
        <w:t>a</w:t>
      </w:r>
      <w:r>
        <w:rPr>
          <w:spacing w:val="-10"/>
        </w:rPr>
        <w:t> </w:t>
      </w:r>
      <w:r>
        <w:rPr/>
        <w:t>sufficient renewable water resources (that is water withdrawals are less than 25% of river flows) but there</w:t>
      </w:r>
      <w:r>
        <w:rPr>
          <w:spacing w:val="-4"/>
        </w:rPr>
        <w:t> </w:t>
      </w:r>
      <w:r>
        <w:rPr/>
        <w:t>is</w:t>
      </w:r>
      <w:r>
        <w:rPr>
          <w:spacing w:val="-3"/>
        </w:rPr>
        <w:t> </w:t>
      </w:r>
      <w:r>
        <w:rPr/>
        <w:t>a</w:t>
      </w:r>
      <w:r>
        <w:rPr>
          <w:spacing w:val="-4"/>
        </w:rPr>
        <w:t> </w:t>
      </w:r>
      <w:r>
        <w:rPr/>
        <w:t>significant</w:t>
      </w:r>
      <w:r>
        <w:rPr>
          <w:spacing w:val="-2"/>
        </w:rPr>
        <w:t> </w:t>
      </w:r>
      <w:r>
        <w:rPr/>
        <w:t>water</w:t>
      </w:r>
      <w:r>
        <w:rPr>
          <w:spacing w:val="-3"/>
        </w:rPr>
        <w:t> </w:t>
      </w:r>
      <w:r>
        <w:rPr/>
        <w:t>investments</w:t>
      </w:r>
      <w:r>
        <w:rPr>
          <w:spacing w:val="-3"/>
        </w:rPr>
        <w:t> </w:t>
      </w:r>
      <w:r>
        <w:rPr/>
        <w:t>and</w:t>
      </w:r>
      <w:r>
        <w:rPr>
          <w:spacing w:val="-3"/>
        </w:rPr>
        <w:t> </w:t>
      </w:r>
      <w:r>
        <w:rPr/>
        <w:t>infrastructure</w:t>
      </w:r>
      <w:r>
        <w:rPr>
          <w:spacing w:val="-5"/>
        </w:rPr>
        <w:t> </w:t>
      </w:r>
      <w:r>
        <w:rPr/>
        <w:t>to</w:t>
      </w:r>
      <w:r>
        <w:rPr>
          <w:spacing w:val="-3"/>
        </w:rPr>
        <w:t> </w:t>
      </w:r>
      <w:r>
        <w:rPr/>
        <w:t>be</w:t>
      </w:r>
      <w:r>
        <w:rPr>
          <w:spacing w:val="-3"/>
        </w:rPr>
        <w:t> </w:t>
      </w:r>
      <w:r>
        <w:rPr/>
        <w:t>made</w:t>
      </w:r>
      <w:r>
        <w:rPr>
          <w:spacing w:val="-4"/>
        </w:rPr>
        <w:t> </w:t>
      </w:r>
      <w:r>
        <w:rPr/>
        <w:t>in</w:t>
      </w:r>
      <w:r>
        <w:rPr>
          <w:spacing w:val="-3"/>
        </w:rPr>
        <w:t> </w:t>
      </w:r>
      <w:r>
        <w:rPr/>
        <w:t>order</w:t>
      </w:r>
      <w:r>
        <w:rPr>
          <w:spacing w:val="-3"/>
        </w:rPr>
        <w:t> </w:t>
      </w:r>
      <w:r>
        <w:rPr/>
        <w:t>to</w:t>
      </w:r>
      <w:r>
        <w:rPr>
          <w:spacing w:val="-3"/>
        </w:rPr>
        <w:t> </w:t>
      </w:r>
      <w:r>
        <w:rPr/>
        <w:t>make</w:t>
      </w:r>
      <w:r>
        <w:rPr>
          <w:spacing w:val="-4"/>
        </w:rPr>
        <w:t> </w:t>
      </w:r>
      <w:r>
        <w:rPr/>
        <w:t>water resources available for consumption.</w:t>
      </w:r>
    </w:p>
    <w:p>
      <w:pPr>
        <w:pStyle w:val="BodyText"/>
      </w:pPr>
    </w:p>
    <w:p>
      <w:pPr>
        <w:pStyle w:val="BodyText"/>
        <w:spacing w:line="480" w:lineRule="auto"/>
        <w:ind w:left="267" w:right="722"/>
        <w:jc w:val="both"/>
      </w:pPr>
      <w:r>
        <w:rPr/>
        <w:t>The application of this indicator at a global scale is shown in figure 2.8. One striking observation based on this metric is the dichotomy between the African continent and other developed economies. The former is suffering from economic scarcity while the latter are either approaching or constrained by physical water scarcity.</w:t>
      </w:r>
    </w:p>
    <w:p>
      <w:pPr>
        <w:pStyle w:val="BodyText"/>
        <w:spacing w:before="1"/>
        <w:ind w:left="327"/>
        <w:jc w:val="both"/>
      </w:pPr>
      <w:r>
        <w:rPr/>
        <w:t>The</w:t>
      </w:r>
      <w:r>
        <w:rPr>
          <w:spacing w:val="-3"/>
        </w:rPr>
        <w:t> </w:t>
      </w:r>
      <w:r>
        <w:rPr/>
        <w:t>major</w:t>
      </w:r>
      <w:r>
        <w:rPr>
          <w:spacing w:val="-2"/>
        </w:rPr>
        <w:t> </w:t>
      </w:r>
      <w:r>
        <w:rPr/>
        <w:t>shortcomings</w:t>
      </w:r>
      <w:r>
        <w:rPr>
          <w:spacing w:val="1"/>
        </w:rPr>
        <w:t> </w:t>
      </w:r>
      <w:r>
        <w:rPr/>
        <w:t>of</w:t>
      </w:r>
      <w:r>
        <w:rPr>
          <w:spacing w:val="-1"/>
        </w:rPr>
        <w:t> </w:t>
      </w:r>
      <w:r>
        <w:rPr/>
        <w:t>this</w:t>
      </w:r>
      <w:r>
        <w:rPr>
          <w:spacing w:val="-1"/>
        </w:rPr>
        <w:t> </w:t>
      </w:r>
      <w:r>
        <w:rPr/>
        <w:t>approach</w:t>
      </w:r>
      <w:r>
        <w:rPr>
          <w:spacing w:val="1"/>
        </w:rPr>
        <w:t> </w:t>
      </w:r>
      <w:r>
        <w:rPr>
          <w:spacing w:val="-4"/>
        </w:rPr>
        <w:t>are:</w:t>
      </w:r>
    </w:p>
    <w:p>
      <w:pPr>
        <w:pStyle w:val="BodyText"/>
        <w:spacing w:before="2"/>
      </w:pPr>
    </w:p>
    <w:p>
      <w:pPr>
        <w:pStyle w:val="ListParagraph"/>
        <w:numPr>
          <w:ilvl w:val="4"/>
          <w:numId w:val="6"/>
        </w:numPr>
        <w:tabs>
          <w:tab w:pos="987" w:val="left" w:leader="none"/>
        </w:tabs>
        <w:spacing w:line="470" w:lineRule="auto" w:before="0" w:after="0"/>
        <w:ind w:left="987" w:right="733" w:hanging="360"/>
        <w:jc w:val="both"/>
        <w:rPr>
          <w:sz w:val="24"/>
        </w:rPr>
      </w:pPr>
      <w:r>
        <w:rPr>
          <w:sz w:val="24"/>
        </w:rPr>
        <w:t>Aside its complexity and being time consuming to compute, the indicator is not widely used to assess global water scarcity. As such it is less attractive for presentation to public and policy audience (Rijsberman, 2006).</w:t>
      </w:r>
    </w:p>
    <w:p>
      <w:pPr>
        <w:pStyle w:val="ListParagraph"/>
        <w:numPr>
          <w:ilvl w:val="4"/>
          <w:numId w:val="6"/>
        </w:numPr>
        <w:tabs>
          <w:tab w:pos="987" w:val="left" w:leader="none"/>
        </w:tabs>
        <w:spacing w:line="463" w:lineRule="auto" w:before="15" w:after="0"/>
        <w:ind w:left="987" w:right="731" w:hanging="360"/>
        <w:jc w:val="both"/>
        <w:rPr>
          <w:sz w:val="24"/>
        </w:rPr>
      </w:pPr>
      <w:r>
        <w:rPr>
          <w:sz w:val="24"/>
        </w:rPr>
        <w:t>The</w:t>
      </w:r>
      <w:r>
        <w:rPr>
          <w:spacing w:val="-15"/>
          <w:sz w:val="24"/>
        </w:rPr>
        <w:t> </w:t>
      </w:r>
      <w:r>
        <w:rPr>
          <w:sz w:val="24"/>
        </w:rPr>
        <w:t>assessment</w:t>
      </w:r>
      <w:r>
        <w:rPr>
          <w:spacing w:val="-15"/>
          <w:sz w:val="24"/>
        </w:rPr>
        <w:t> </w:t>
      </w:r>
      <w:r>
        <w:rPr>
          <w:sz w:val="24"/>
        </w:rPr>
        <w:t>of</w:t>
      </w:r>
      <w:r>
        <w:rPr>
          <w:spacing w:val="-15"/>
          <w:sz w:val="24"/>
        </w:rPr>
        <w:t> </w:t>
      </w:r>
      <w:r>
        <w:rPr>
          <w:sz w:val="24"/>
        </w:rPr>
        <w:t>adaptive</w:t>
      </w:r>
      <w:r>
        <w:rPr>
          <w:spacing w:val="-15"/>
          <w:sz w:val="24"/>
        </w:rPr>
        <w:t> </w:t>
      </w:r>
      <w:r>
        <w:rPr>
          <w:sz w:val="24"/>
        </w:rPr>
        <w:t>capacity</w:t>
      </w:r>
      <w:r>
        <w:rPr>
          <w:spacing w:val="-15"/>
          <w:sz w:val="24"/>
        </w:rPr>
        <w:t> </w:t>
      </w:r>
      <w:r>
        <w:rPr>
          <w:sz w:val="24"/>
        </w:rPr>
        <w:t>on</w:t>
      </w:r>
      <w:r>
        <w:rPr>
          <w:spacing w:val="-15"/>
          <w:sz w:val="24"/>
        </w:rPr>
        <w:t> </w:t>
      </w:r>
      <w:r>
        <w:rPr>
          <w:sz w:val="24"/>
        </w:rPr>
        <w:t>the</w:t>
      </w:r>
      <w:r>
        <w:rPr>
          <w:spacing w:val="-15"/>
          <w:sz w:val="24"/>
        </w:rPr>
        <w:t> </w:t>
      </w:r>
      <w:r>
        <w:rPr>
          <w:sz w:val="24"/>
        </w:rPr>
        <w:t>basis</w:t>
      </w:r>
      <w:r>
        <w:rPr>
          <w:spacing w:val="-15"/>
          <w:sz w:val="24"/>
        </w:rPr>
        <w:t> </w:t>
      </w:r>
      <w:r>
        <w:rPr>
          <w:sz w:val="24"/>
        </w:rPr>
        <w:t>of</w:t>
      </w:r>
      <w:r>
        <w:rPr>
          <w:spacing w:val="-15"/>
          <w:sz w:val="24"/>
        </w:rPr>
        <w:t> </w:t>
      </w:r>
      <w:r>
        <w:rPr>
          <w:sz w:val="24"/>
        </w:rPr>
        <w:t>infrastructure</w:t>
      </w:r>
      <w:r>
        <w:rPr>
          <w:spacing w:val="-15"/>
          <w:sz w:val="24"/>
        </w:rPr>
        <w:t> </w:t>
      </w:r>
      <w:r>
        <w:rPr>
          <w:sz w:val="24"/>
        </w:rPr>
        <w:t>have</w:t>
      </w:r>
      <w:r>
        <w:rPr>
          <w:spacing w:val="-15"/>
          <w:sz w:val="24"/>
        </w:rPr>
        <w:t> </w:t>
      </w:r>
      <w:r>
        <w:rPr>
          <w:sz w:val="24"/>
        </w:rPr>
        <w:t>been</w:t>
      </w:r>
      <w:r>
        <w:rPr>
          <w:spacing w:val="-15"/>
          <w:sz w:val="24"/>
        </w:rPr>
        <w:t> </w:t>
      </w:r>
      <w:r>
        <w:rPr>
          <w:sz w:val="24"/>
        </w:rPr>
        <w:t>criticized due to its complexity and opaque nature (Damkjaer and Taylor, 2017)</w:t>
      </w:r>
    </w:p>
    <w:p>
      <w:pPr>
        <w:pStyle w:val="ListParagraph"/>
        <w:numPr>
          <w:ilvl w:val="4"/>
          <w:numId w:val="6"/>
        </w:numPr>
        <w:tabs>
          <w:tab w:pos="987" w:val="left" w:leader="none"/>
        </w:tabs>
        <w:spacing w:line="475" w:lineRule="auto" w:before="21" w:after="0"/>
        <w:ind w:left="987" w:right="726" w:hanging="360"/>
        <w:jc w:val="both"/>
        <w:rPr>
          <w:sz w:val="24"/>
        </w:rPr>
      </w:pPr>
      <w:r>
        <w:rPr>
          <w:sz w:val="24"/>
        </w:rPr>
        <w:t>While the distinction between physical and economic water supply is intuitively appealing, both measures have been criticized for its reliance on subjective expert judgment, with most of the experts having access to sensitive remote sensing information (Seckler </w:t>
      </w:r>
      <w:r>
        <w:rPr>
          <w:i/>
          <w:sz w:val="24"/>
        </w:rPr>
        <w:t>et al.</w:t>
      </w:r>
      <w:r>
        <w:rPr>
          <w:sz w:val="24"/>
        </w:rPr>
        <w:t>, 1998b).</w:t>
      </w:r>
    </w:p>
    <w:p>
      <w:pPr>
        <w:spacing w:after="0" w:line="475" w:lineRule="auto"/>
        <w:jc w:val="both"/>
        <w:rPr>
          <w:sz w:val="24"/>
        </w:rPr>
        <w:sectPr>
          <w:pgSz w:w="12240" w:h="15840"/>
          <w:pgMar w:header="0" w:footer="1068" w:top="1340" w:bottom="1260" w:left="1720" w:right="680"/>
        </w:sectPr>
      </w:pPr>
    </w:p>
    <w:p>
      <w:pPr>
        <w:pStyle w:val="BodyText"/>
        <w:ind w:left="280"/>
        <w:rPr>
          <w:sz w:val="20"/>
        </w:rPr>
      </w:pPr>
      <w:r>
        <w:rPr>
          <w:sz w:val="20"/>
        </w:rPr>
        <mc:AlternateContent>
          <mc:Choice Requires="wps">
            <w:drawing>
              <wp:inline distT="0" distB="0" distL="0" distR="0">
                <wp:extent cx="5554980" cy="3107690"/>
                <wp:effectExtent l="0" t="0" r="0" b="6985"/>
                <wp:docPr id="38" name="Group 38"/>
                <wp:cNvGraphicFramePr>
                  <a:graphicFrameLocks/>
                </wp:cNvGraphicFramePr>
                <a:graphic>
                  <a:graphicData uri="http://schemas.microsoft.com/office/word/2010/wordprocessingGroup">
                    <wpg:wgp>
                      <wpg:cNvPr id="38" name="Group 38"/>
                      <wpg:cNvGrpSpPr/>
                      <wpg:grpSpPr>
                        <a:xfrm>
                          <a:off x="0" y="0"/>
                          <a:ext cx="5554980" cy="3107690"/>
                          <a:chExt cx="5554980" cy="3107690"/>
                        </a:xfrm>
                      </wpg:grpSpPr>
                      <pic:pic>
                        <pic:nvPicPr>
                          <pic:cNvPr id="39" name="Image 39"/>
                          <pic:cNvPicPr/>
                        </pic:nvPicPr>
                        <pic:blipFill>
                          <a:blip r:embed="rId20" cstate="print"/>
                          <a:stretch>
                            <a:fillRect/>
                          </a:stretch>
                        </pic:blipFill>
                        <pic:spPr>
                          <a:xfrm>
                            <a:off x="9144" y="9168"/>
                            <a:ext cx="5522809" cy="2459978"/>
                          </a:xfrm>
                          <a:prstGeom prst="rect">
                            <a:avLst/>
                          </a:prstGeom>
                        </pic:spPr>
                      </pic:pic>
                      <wps:wsp>
                        <wps:cNvPr id="40" name="Graphic 40"/>
                        <wps:cNvSpPr/>
                        <wps:spPr>
                          <a:xfrm>
                            <a:off x="4572" y="4572"/>
                            <a:ext cx="5546090" cy="2493645"/>
                          </a:xfrm>
                          <a:custGeom>
                            <a:avLst/>
                            <a:gdLst/>
                            <a:ahLst/>
                            <a:cxnLst/>
                            <a:rect l="l" t="t" r="r" b="b"/>
                            <a:pathLst>
                              <a:path w="5546090" h="2493645">
                                <a:moveTo>
                                  <a:pt x="0" y="2493263"/>
                                </a:moveTo>
                                <a:lnTo>
                                  <a:pt x="5545836" y="2493263"/>
                                </a:lnTo>
                                <a:lnTo>
                                  <a:pt x="5545836" y="0"/>
                                </a:lnTo>
                                <a:lnTo>
                                  <a:pt x="0" y="0"/>
                                </a:lnTo>
                                <a:lnTo>
                                  <a:pt x="0" y="2493263"/>
                                </a:lnTo>
                                <a:close/>
                              </a:path>
                            </a:pathLst>
                          </a:custGeom>
                          <a:ln w="9144">
                            <a:solidFill>
                              <a:srgbClr val="000000"/>
                            </a:solidFill>
                            <a:prstDash val="solid"/>
                          </a:ln>
                        </wps:spPr>
                        <wps:bodyPr wrap="square" lIns="0" tIns="0" rIns="0" bIns="0" rtlCol="0">
                          <a:prstTxWarp prst="textNoShape">
                            <a:avLst/>
                          </a:prstTxWarp>
                          <a:noAutofit/>
                        </wps:bodyPr>
                      </wps:wsp>
                      <pic:pic>
                        <pic:nvPicPr>
                          <pic:cNvPr id="41" name="Image 41"/>
                          <pic:cNvPicPr/>
                        </pic:nvPicPr>
                        <pic:blipFill>
                          <a:blip r:embed="rId21" cstate="print"/>
                          <a:stretch>
                            <a:fillRect/>
                          </a:stretch>
                        </pic:blipFill>
                        <pic:spPr>
                          <a:xfrm>
                            <a:off x="108375" y="2523752"/>
                            <a:ext cx="5408097" cy="471416"/>
                          </a:xfrm>
                          <a:prstGeom prst="rect">
                            <a:avLst/>
                          </a:prstGeom>
                        </pic:spPr>
                      </pic:pic>
                      <wps:wsp>
                        <wps:cNvPr id="42" name="Graphic 42"/>
                        <wps:cNvSpPr/>
                        <wps:spPr>
                          <a:xfrm>
                            <a:off x="4572" y="2519172"/>
                            <a:ext cx="5541645" cy="584200"/>
                          </a:xfrm>
                          <a:custGeom>
                            <a:avLst/>
                            <a:gdLst/>
                            <a:ahLst/>
                            <a:cxnLst/>
                            <a:rect l="l" t="t" r="r" b="b"/>
                            <a:pathLst>
                              <a:path w="5541645" h="584200">
                                <a:moveTo>
                                  <a:pt x="0" y="583692"/>
                                </a:moveTo>
                                <a:lnTo>
                                  <a:pt x="5541264" y="583692"/>
                                </a:lnTo>
                                <a:lnTo>
                                  <a:pt x="5541264" y="0"/>
                                </a:lnTo>
                                <a:lnTo>
                                  <a:pt x="0" y="0"/>
                                </a:lnTo>
                                <a:lnTo>
                                  <a:pt x="0" y="583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7.4pt;height:244.7pt;mso-position-horizontal-relative:char;mso-position-vertical-relative:line" id="docshapegroup38" coordorigin="0,0" coordsize="8748,4894">
                <v:shape style="position:absolute;left:14;top:14;width:8698;height:3874" type="#_x0000_t75" id="docshape39" stroked="false">
                  <v:imagedata r:id="rId20" o:title=""/>
                </v:shape>
                <v:rect style="position:absolute;left:7;top:7;width:8734;height:3927" id="docshape40" filled="false" stroked="true" strokeweight=".72pt" strokecolor="#000000">
                  <v:stroke dashstyle="solid"/>
                </v:rect>
                <v:shape style="position:absolute;left:170;top:3974;width:8517;height:743" type="#_x0000_t75" id="docshape41" stroked="false">
                  <v:imagedata r:id="rId21" o:title=""/>
                </v:shape>
                <v:rect style="position:absolute;left:7;top:3967;width:8727;height:920" id="docshape42" filled="false" stroked="true" strokeweight=".72pt" strokecolor="#000000">
                  <v:stroke dashstyle="solid"/>
                </v:rect>
              </v:group>
            </w:pict>
          </mc:Fallback>
        </mc:AlternateContent>
      </w:r>
      <w:r>
        <w:rPr>
          <w:sz w:val="20"/>
        </w:rPr>
      </w:r>
    </w:p>
    <w:p>
      <w:pPr>
        <w:pStyle w:val="Heading1"/>
        <w:spacing w:line="257" w:lineRule="exact"/>
        <w:ind w:left="9" w:right="471"/>
        <w:jc w:val="center"/>
      </w:pPr>
      <w:r>
        <w:rPr/>
        <w:t>Figure</w:t>
      </w:r>
      <w:r>
        <w:rPr>
          <w:spacing w:val="-3"/>
        </w:rPr>
        <w:t> </w:t>
      </w:r>
      <w:r>
        <w:rPr/>
        <w:t>2.8: Physical</w:t>
      </w:r>
      <w:r>
        <w:rPr>
          <w:spacing w:val="-2"/>
        </w:rPr>
        <w:t> </w:t>
      </w:r>
      <w:r>
        <w:rPr/>
        <w:t>and</w:t>
      </w:r>
      <w:r>
        <w:rPr>
          <w:spacing w:val="-1"/>
        </w:rPr>
        <w:t> </w:t>
      </w:r>
      <w:r>
        <w:rPr/>
        <w:t>Economic</w:t>
      </w:r>
      <w:r>
        <w:rPr>
          <w:spacing w:val="-1"/>
        </w:rPr>
        <w:t> </w:t>
      </w:r>
      <w:r>
        <w:rPr/>
        <w:t>Water</w:t>
      </w:r>
      <w:r>
        <w:rPr>
          <w:spacing w:val="-2"/>
        </w:rPr>
        <w:t> </w:t>
      </w:r>
      <w:r>
        <w:rPr/>
        <w:t>Scarcity</w:t>
      </w:r>
      <w:r>
        <w:rPr>
          <w:spacing w:val="-1"/>
        </w:rPr>
        <w:t> </w:t>
      </w:r>
      <w:r>
        <w:rPr>
          <w:spacing w:val="-2"/>
        </w:rPr>
        <w:t>(1995)</w:t>
      </w:r>
    </w:p>
    <w:p>
      <w:pPr>
        <w:spacing w:line="274" w:lineRule="exact" w:before="0"/>
        <w:ind w:left="9" w:right="470" w:firstLine="0"/>
        <w:jc w:val="center"/>
        <w:rPr>
          <w:sz w:val="24"/>
        </w:rPr>
      </w:pPr>
      <w:r>
        <w:rPr>
          <w:sz w:val="24"/>
        </w:rPr>
        <w:t>Source:</w:t>
      </w:r>
      <w:r>
        <w:rPr>
          <w:spacing w:val="-1"/>
          <w:sz w:val="24"/>
        </w:rPr>
        <w:t> </w:t>
      </w:r>
      <w:r>
        <w:rPr>
          <w:sz w:val="24"/>
        </w:rPr>
        <w:t>Liu </w:t>
      </w:r>
      <w:r>
        <w:rPr>
          <w:i/>
          <w:sz w:val="24"/>
        </w:rPr>
        <w:t>et</w:t>
      </w:r>
      <w:r>
        <w:rPr>
          <w:i/>
          <w:spacing w:val="-2"/>
          <w:sz w:val="24"/>
        </w:rPr>
        <w:t> </w:t>
      </w:r>
      <w:r>
        <w:rPr>
          <w:i/>
          <w:sz w:val="24"/>
        </w:rPr>
        <w:t>al.</w:t>
      </w:r>
      <w:r>
        <w:rPr>
          <w:i/>
          <w:spacing w:val="-2"/>
          <w:sz w:val="24"/>
        </w:rPr>
        <w:t> </w:t>
      </w:r>
      <w:r>
        <w:rPr>
          <w:spacing w:val="-2"/>
          <w:sz w:val="24"/>
        </w:rPr>
        <w:t>(2017)</w:t>
      </w:r>
    </w:p>
    <w:p>
      <w:pPr>
        <w:pStyle w:val="BodyText"/>
      </w:pPr>
    </w:p>
    <w:p>
      <w:pPr>
        <w:pStyle w:val="BodyText"/>
        <w:spacing w:before="28"/>
      </w:pPr>
    </w:p>
    <w:p>
      <w:pPr>
        <w:pStyle w:val="Heading1"/>
        <w:numPr>
          <w:ilvl w:val="3"/>
          <w:numId w:val="6"/>
        </w:numPr>
        <w:tabs>
          <w:tab w:pos="986" w:val="left" w:leader="none"/>
        </w:tabs>
        <w:spacing w:line="240" w:lineRule="auto" w:before="1" w:after="0"/>
        <w:ind w:left="986" w:right="0" w:hanging="719"/>
        <w:jc w:val="left"/>
      </w:pPr>
      <w:r>
        <w:rPr/>
        <w:t>Water</w:t>
      </w:r>
      <w:r>
        <w:rPr>
          <w:spacing w:val="-4"/>
        </w:rPr>
        <w:t> </w:t>
      </w:r>
      <w:r>
        <w:rPr/>
        <w:t>poverty</w:t>
      </w:r>
      <w:r>
        <w:rPr>
          <w:spacing w:val="-1"/>
        </w:rPr>
        <w:t> </w:t>
      </w:r>
      <w:r>
        <w:rPr>
          <w:spacing w:val="-4"/>
        </w:rPr>
        <w:t>index</w:t>
      </w:r>
    </w:p>
    <w:p>
      <w:pPr>
        <w:pStyle w:val="BodyText"/>
        <w:spacing w:before="14"/>
        <w:rPr>
          <w:b/>
        </w:rPr>
      </w:pPr>
    </w:p>
    <w:p>
      <w:pPr>
        <w:pStyle w:val="BodyText"/>
        <w:spacing w:line="480" w:lineRule="auto"/>
        <w:ind w:left="267" w:right="726"/>
        <w:jc w:val="both"/>
      </w:pPr>
      <w:r>
        <w:rPr/>
        <w:t>The complexity of water scarcity and the importance of moving away from the one- dimensional indices to a more robust scarcity metric led to the emergence of the water poverty index (Swatuk, 2002; Sullivan </w:t>
      </w:r>
      <w:r>
        <w:rPr>
          <w:i/>
        </w:rPr>
        <w:t>et al.</w:t>
      </w:r>
      <w:r>
        <w:rPr/>
        <w:t>, 2003; Salameh and Jaber, 2000; Garriga and Foguet,</w:t>
      </w:r>
      <w:r>
        <w:rPr>
          <w:spacing w:val="-4"/>
        </w:rPr>
        <w:t> </w:t>
      </w:r>
      <w:r>
        <w:rPr/>
        <w:t>2010;</w:t>
      </w:r>
      <w:r>
        <w:rPr>
          <w:spacing w:val="-4"/>
        </w:rPr>
        <w:t> </w:t>
      </w:r>
      <w:r>
        <w:rPr/>
        <w:t>Sullivan</w:t>
      </w:r>
      <w:r>
        <w:rPr>
          <w:spacing w:val="-5"/>
        </w:rPr>
        <w:t> </w:t>
      </w:r>
      <w:r>
        <w:rPr/>
        <w:t>and</w:t>
      </w:r>
      <w:r>
        <w:rPr>
          <w:spacing w:val="-5"/>
        </w:rPr>
        <w:t> </w:t>
      </w:r>
      <w:r>
        <w:rPr/>
        <w:t>Jemmali,</w:t>
      </w:r>
      <w:r>
        <w:rPr>
          <w:spacing w:val="-5"/>
        </w:rPr>
        <w:t> </w:t>
      </w:r>
      <w:r>
        <w:rPr/>
        <w:t>2014;</w:t>
      </w:r>
      <w:r>
        <w:rPr>
          <w:spacing w:val="-4"/>
        </w:rPr>
        <w:t> </w:t>
      </w:r>
      <w:r>
        <w:rPr/>
        <w:t>Anju</w:t>
      </w:r>
      <w:r>
        <w:rPr>
          <w:spacing w:val="-4"/>
        </w:rPr>
        <w:t> </w:t>
      </w:r>
      <w:r>
        <w:rPr>
          <w:i/>
        </w:rPr>
        <w:t>et</w:t>
      </w:r>
      <w:r>
        <w:rPr>
          <w:i/>
          <w:spacing w:val="-4"/>
        </w:rPr>
        <w:t> </w:t>
      </w:r>
      <w:r>
        <w:rPr>
          <w:i/>
        </w:rPr>
        <w:t>al.</w:t>
      </w:r>
      <w:r>
        <w:rPr/>
        <w:t>,</w:t>
      </w:r>
      <w:r>
        <w:rPr>
          <w:spacing w:val="-5"/>
        </w:rPr>
        <w:t> </w:t>
      </w:r>
      <w:r>
        <w:rPr/>
        <w:t>2017)</w:t>
      </w:r>
      <w:r>
        <w:rPr>
          <w:spacing w:val="-6"/>
        </w:rPr>
        <w:t> </w:t>
      </w:r>
      <w:r>
        <w:rPr/>
        <w:t>for</w:t>
      </w:r>
      <w:r>
        <w:rPr>
          <w:spacing w:val="-6"/>
        </w:rPr>
        <w:t> </w:t>
      </w:r>
      <w:r>
        <w:rPr/>
        <w:t>effectively</w:t>
      </w:r>
      <w:r>
        <w:rPr>
          <w:spacing w:val="-10"/>
        </w:rPr>
        <w:t> </w:t>
      </w:r>
      <w:r>
        <w:rPr/>
        <w:t>assessing</w:t>
      </w:r>
      <w:r>
        <w:rPr>
          <w:spacing w:val="-7"/>
        </w:rPr>
        <w:t> </w:t>
      </w:r>
      <w:r>
        <w:rPr/>
        <w:t>water </w:t>
      </w:r>
      <w:r>
        <w:rPr>
          <w:spacing w:val="-2"/>
        </w:rPr>
        <w:t>stress.</w:t>
      </w:r>
    </w:p>
    <w:p>
      <w:pPr>
        <w:pStyle w:val="BodyText"/>
      </w:pPr>
    </w:p>
    <w:p>
      <w:pPr>
        <w:pStyle w:val="BodyText"/>
        <w:spacing w:line="480" w:lineRule="auto" w:before="1"/>
        <w:ind w:left="267" w:right="728"/>
        <w:jc w:val="both"/>
      </w:pPr>
      <w:r>
        <w:rPr/>
        <w:t>The water poverty index is an interdisciplinary tool developed by Sullivan (2002) for understanding the complexities associated with water issues by</w:t>
      </w:r>
      <w:r>
        <w:rPr>
          <w:spacing w:val="-1"/>
        </w:rPr>
        <w:t> </w:t>
      </w:r>
      <w:r>
        <w:rPr/>
        <w:t>integrating physical, social, economic and environmental aspects and linking water stress to the related poverty in the respective</w:t>
      </w:r>
      <w:r>
        <w:rPr>
          <w:spacing w:val="-10"/>
        </w:rPr>
        <w:t> </w:t>
      </w:r>
      <w:r>
        <w:rPr/>
        <w:t>region</w:t>
      </w:r>
      <w:r>
        <w:rPr>
          <w:spacing w:val="-9"/>
        </w:rPr>
        <w:t> </w:t>
      </w:r>
      <w:r>
        <w:rPr/>
        <w:t>(Sullivan</w:t>
      </w:r>
      <w:r>
        <w:rPr>
          <w:spacing w:val="-7"/>
        </w:rPr>
        <w:t> </w:t>
      </w:r>
      <w:r>
        <w:rPr>
          <w:i/>
        </w:rPr>
        <w:t>et</w:t>
      </w:r>
      <w:r>
        <w:rPr>
          <w:i/>
          <w:spacing w:val="-9"/>
        </w:rPr>
        <w:t> </w:t>
      </w:r>
      <w:r>
        <w:rPr>
          <w:i/>
        </w:rPr>
        <w:t>al.</w:t>
      </w:r>
      <w:r>
        <w:rPr/>
        <w:t>,</w:t>
      </w:r>
      <w:r>
        <w:rPr>
          <w:spacing w:val="-9"/>
        </w:rPr>
        <w:t> </w:t>
      </w:r>
      <w:r>
        <w:rPr/>
        <w:t>2003;</w:t>
      </w:r>
      <w:r>
        <w:rPr>
          <w:spacing w:val="-9"/>
        </w:rPr>
        <w:t> </w:t>
      </w:r>
      <w:r>
        <w:rPr/>
        <w:t>Heidecke,</w:t>
      </w:r>
      <w:r>
        <w:rPr>
          <w:spacing w:val="-9"/>
        </w:rPr>
        <w:t> </w:t>
      </w:r>
      <w:r>
        <w:rPr/>
        <w:t>2006;</w:t>
      </w:r>
      <w:r>
        <w:rPr>
          <w:spacing w:val="-9"/>
        </w:rPr>
        <w:t> </w:t>
      </w:r>
      <w:r>
        <w:rPr/>
        <w:t>Huang</w:t>
      </w:r>
      <w:r>
        <w:rPr>
          <w:spacing w:val="-11"/>
        </w:rPr>
        <w:t> </w:t>
      </w:r>
      <w:r>
        <w:rPr>
          <w:i/>
        </w:rPr>
        <w:t>et</w:t>
      </w:r>
      <w:r>
        <w:rPr>
          <w:i/>
          <w:spacing w:val="-9"/>
        </w:rPr>
        <w:t> </w:t>
      </w:r>
      <w:r>
        <w:rPr>
          <w:i/>
        </w:rPr>
        <w:t>al.,</w:t>
      </w:r>
      <w:r>
        <w:rPr>
          <w:i/>
          <w:spacing w:val="-9"/>
        </w:rPr>
        <w:t> </w:t>
      </w:r>
      <w:r>
        <w:rPr/>
        <w:t>2017).</w:t>
      </w:r>
      <w:r>
        <w:rPr>
          <w:spacing w:val="-7"/>
        </w:rPr>
        <w:t> </w:t>
      </w:r>
      <w:r>
        <w:rPr/>
        <w:t>In</w:t>
      </w:r>
      <w:r>
        <w:rPr>
          <w:spacing w:val="-9"/>
        </w:rPr>
        <w:t> </w:t>
      </w:r>
      <w:r>
        <w:rPr/>
        <w:t>other</w:t>
      </w:r>
      <w:r>
        <w:rPr>
          <w:spacing w:val="-10"/>
        </w:rPr>
        <w:t> </w:t>
      </w:r>
      <w:r>
        <w:rPr/>
        <w:t>words, it arises due to the perceived need to examine the links between poverty and water availability.</w:t>
      </w:r>
      <w:r>
        <w:rPr>
          <w:spacing w:val="44"/>
        </w:rPr>
        <w:t> </w:t>
      </w:r>
      <w:r>
        <w:rPr/>
        <w:t>For</w:t>
      </w:r>
      <w:r>
        <w:rPr>
          <w:spacing w:val="43"/>
        </w:rPr>
        <w:t> </w:t>
      </w:r>
      <w:r>
        <w:rPr/>
        <w:t>instance,</w:t>
      </w:r>
      <w:r>
        <w:rPr>
          <w:spacing w:val="44"/>
        </w:rPr>
        <w:t> </w:t>
      </w:r>
      <w:r>
        <w:rPr/>
        <w:t>while</w:t>
      </w:r>
      <w:r>
        <w:rPr>
          <w:spacing w:val="43"/>
        </w:rPr>
        <w:t> </w:t>
      </w:r>
      <w:r>
        <w:rPr/>
        <w:t>there</w:t>
      </w:r>
      <w:r>
        <w:rPr>
          <w:spacing w:val="43"/>
        </w:rPr>
        <w:t> </w:t>
      </w:r>
      <w:r>
        <w:rPr/>
        <w:t>is</w:t>
      </w:r>
      <w:r>
        <w:rPr>
          <w:spacing w:val="45"/>
        </w:rPr>
        <w:t> </w:t>
      </w:r>
      <w:r>
        <w:rPr/>
        <w:t>a</w:t>
      </w:r>
      <w:r>
        <w:rPr>
          <w:spacing w:val="45"/>
        </w:rPr>
        <w:t> </w:t>
      </w:r>
      <w:r>
        <w:rPr/>
        <w:t>consensus</w:t>
      </w:r>
      <w:r>
        <w:rPr>
          <w:spacing w:val="44"/>
        </w:rPr>
        <w:t> </w:t>
      </w:r>
      <w:r>
        <w:rPr/>
        <w:t>in</w:t>
      </w:r>
      <w:r>
        <w:rPr>
          <w:spacing w:val="44"/>
        </w:rPr>
        <w:t> </w:t>
      </w:r>
      <w:r>
        <w:rPr/>
        <w:t>literature</w:t>
      </w:r>
      <w:r>
        <w:rPr>
          <w:spacing w:val="43"/>
        </w:rPr>
        <w:t> </w:t>
      </w:r>
      <w:r>
        <w:rPr/>
        <w:t>that</w:t>
      </w:r>
      <w:r>
        <w:rPr>
          <w:spacing w:val="47"/>
        </w:rPr>
        <w:t> </w:t>
      </w:r>
      <w:r>
        <w:rPr/>
        <w:t>water</w:t>
      </w:r>
      <w:r>
        <w:rPr>
          <w:spacing w:val="43"/>
        </w:rPr>
        <w:t> </w:t>
      </w:r>
      <w:r>
        <w:rPr/>
        <w:t>is</w:t>
      </w:r>
      <w:r>
        <w:rPr>
          <w:spacing w:val="46"/>
        </w:rPr>
        <w:t> </w:t>
      </w:r>
      <w:r>
        <w:rPr>
          <w:spacing w:val="-2"/>
        </w:rPr>
        <w:t>strongly</w:t>
      </w:r>
    </w:p>
    <w:p>
      <w:pPr>
        <w:spacing w:after="0" w:line="480" w:lineRule="auto"/>
        <w:jc w:val="both"/>
        <w:sectPr>
          <w:pgSz w:w="12240" w:h="15840"/>
          <w:pgMar w:header="0" w:footer="1068" w:top="1420" w:bottom="1260" w:left="1720" w:right="680"/>
        </w:sectPr>
      </w:pPr>
    </w:p>
    <w:p>
      <w:pPr>
        <w:pStyle w:val="BodyText"/>
        <w:spacing w:line="480" w:lineRule="auto" w:before="63"/>
        <w:ind w:left="267" w:right="732"/>
        <w:jc w:val="both"/>
      </w:pPr>
      <w:r>
        <w:rPr/>
        <w:t>correlated with poverty, the nature and direction of such linkages is complex and unclear (Meigh </w:t>
      </w:r>
      <w:r>
        <w:rPr>
          <w:i/>
        </w:rPr>
        <w:t>et al.</w:t>
      </w:r>
      <w:r>
        <w:rPr/>
        <w:t>, 1999). The concept of water poverty offers a new insight for clarifying this neglected connection.</w:t>
      </w:r>
    </w:p>
    <w:p>
      <w:pPr>
        <w:pStyle w:val="BodyText"/>
      </w:pPr>
    </w:p>
    <w:p>
      <w:pPr>
        <w:pStyle w:val="BodyText"/>
        <w:spacing w:line="480" w:lineRule="auto"/>
        <w:ind w:left="267" w:right="725" w:firstLine="62"/>
        <w:jc w:val="both"/>
      </w:pPr>
      <w:r>
        <w:rPr/>
        <w:t>It was on this basis that Sullivan (2002) captured the linkages between issues relating to water resource availability, economic efficiency, human and ecological needs.</w:t>
      </w:r>
      <w:r>
        <w:rPr>
          <w:spacing w:val="40"/>
        </w:rPr>
        <w:t> </w:t>
      </w:r>
      <w:r>
        <w:rPr/>
        <w:t>The author used a multi-criteria analysis consisting of five (5) major components (Resources, Access, Use, Capacity and Environment) to evaluate progress and development in the water sector. The Resource component consisting of subcomponents such as surface water (RES1), Ground water availability (RES2), Deep ground water availability (RES3), and Variability (RES4) are used to determine the physical availability of water resources. The Access component</w:t>
      </w:r>
      <w:r>
        <w:rPr>
          <w:spacing w:val="-11"/>
        </w:rPr>
        <w:t> </w:t>
      </w:r>
      <w:r>
        <w:rPr/>
        <w:t>also</w:t>
      </w:r>
      <w:r>
        <w:rPr>
          <w:spacing w:val="-11"/>
        </w:rPr>
        <w:t> </w:t>
      </w:r>
      <w:r>
        <w:rPr/>
        <w:t>have</w:t>
      </w:r>
      <w:r>
        <w:rPr>
          <w:spacing w:val="-12"/>
        </w:rPr>
        <w:t> </w:t>
      </w:r>
      <w:r>
        <w:rPr/>
        <w:t>subcomponents</w:t>
      </w:r>
      <w:r>
        <w:rPr>
          <w:spacing w:val="-11"/>
        </w:rPr>
        <w:t> </w:t>
      </w:r>
      <w:r>
        <w:rPr/>
        <w:t>like</w:t>
      </w:r>
      <w:r>
        <w:rPr>
          <w:spacing w:val="-12"/>
        </w:rPr>
        <w:t> </w:t>
      </w:r>
      <w:r>
        <w:rPr/>
        <w:t>Access</w:t>
      </w:r>
      <w:r>
        <w:rPr>
          <w:spacing w:val="-11"/>
        </w:rPr>
        <w:t> </w:t>
      </w:r>
      <w:r>
        <w:rPr/>
        <w:t>to</w:t>
      </w:r>
      <w:r>
        <w:rPr>
          <w:spacing w:val="-11"/>
        </w:rPr>
        <w:t> </w:t>
      </w:r>
      <w:r>
        <w:rPr/>
        <w:t>safe</w:t>
      </w:r>
      <w:r>
        <w:rPr>
          <w:spacing w:val="-12"/>
        </w:rPr>
        <w:t> </w:t>
      </w:r>
      <w:r>
        <w:rPr/>
        <w:t>water</w:t>
      </w:r>
      <w:r>
        <w:rPr>
          <w:spacing w:val="-12"/>
        </w:rPr>
        <w:t> </w:t>
      </w:r>
      <w:r>
        <w:rPr/>
        <w:t>(ACC1),</w:t>
      </w:r>
      <w:r>
        <w:rPr>
          <w:spacing w:val="-11"/>
        </w:rPr>
        <w:t> </w:t>
      </w:r>
      <w:r>
        <w:rPr/>
        <w:t>Access</w:t>
      </w:r>
      <w:r>
        <w:rPr>
          <w:spacing w:val="-11"/>
        </w:rPr>
        <w:t> </w:t>
      </w:r>
      <w:r>
        <w:rPr/>
        <w:t>to</w:t>
      </w:r>
      <w:r>
        <w:rPr>
          <w:spacing w:val="-11"/>
        </w:rPr>
        <w:t> </w:t>
      </w:r>
      <w:r>
        <w:rPr/>
        <w:t>Sanitation (ACC2). The Use components helps to assess the various purposes for water such as safe water use for agricultural, industrial and domestic use. The capacity component helps to manage the water system and sustain access comprising of subcomponents like economic capacity (CAP1), social capacity (employment (CAP2), education (CAP3) and health (CAP4)). And the fifth component which is the Environment assesses the environmental factors impacting on water supply to the ecosystem.</w:t>
      </w:r>
    </w:p>
    <w:p>
      <w:pPr>
        <w:pStyle w:val="BodyText"/>
        <w:spacing w:line="480" w:lineRule="auto" w:before="2"/>
        <w:ind w:left="267" w:right="727"/>
        <w:jc w:val="both"/>
      </w:pPr>
      <w:r>
        <w:rPr/>
        <w:t>The application of the water poverty index at a global scale is seen in figure 2.9. Based on this water poverty map, it is evident that water poverty is more prevalent in Africa with Nigeria suffering from a very high degree of water poverty. Approaches to water poverty measurement, construction of water poverty index, its advantages and criticisms are presented next.</w:t>
      </w:r>
    </w:p>
    <w:p>
      <w:pPr>
        <w:spacing w:after="0" w:line="480" w:lineRule="auto"/>
        <w:jc w:val="both"/>
        <w:sectPr>
          <w:pgSz w:w="12240" w:h="15840"/>
          <w:pgMar w:header="0" w:footer="1068" w:top="1340" w:bottom="1260" w:left="1720" w:right="680"/>
        </w:sectPr>
      </w:pPr>
    </w:p>
    <w:p>
      <w:pPr>
        <w:pStyle w:val="Heading1"/>
        <w:numPr>
          <w:ilvl w:val="2"/>
          <w:numId w:val="6"/>
        </w:numPr>
        <w:tabs>
          <w:tab w:pos="987" w:val="left" w:leader="none"/>
        </w:tabs>
        <w:spacing w:line="240" w:lineRule="auto" w:before="66" w:after="0"/>
        <w:ind w:left="987" w:right="0" w:hanging="720"/>
        <w:jc w:val="left"/>
      </w:pPr>
      <w:r>
        <w:rPr/>
        <w:t>Approaches</w:t>
      </w:r>
      <w:r>
        <w:rPr>
          <w:spacing w:val="-1"/>
        </w:rPr>
        <w:t> </w:t>
      </w:r>
      <w:r>
        <w:rPr/>
        <w:t>to</w:t>
      </w:r>
      <w:r>
        <w:rPr>
          <w:spacing w:val="-1"/>
        </w:rPr>
        <w:t> </w:t>
      </w:r>
      <w:r>
        <w:rPr/>
        <w:t>water</w:t>
      </w:r>
      <w:r>
        <w:rPr>
          <w:spacing w:val="-2"/>
        </w:rPr>
        <w:t> </w:t>
      </w:r>
      <w:r>
        <w:rPr/>
        <w:t>poverty</w:t>
      </w:r>
      <w:r>
        <w:rPr>
          <w:spacing w:val="1"/>
        </w:rPr>
        <w:t> </w:t>
      </w:r>
      <w:r>
        <w:rPr>
          <w:spacing w:val="-2"/>
        </w:rPr>
        <w:t>measurement</w:t>
      </w:r>
    </w:p>
    <w:p>
      <w:pPr>
        <w:pStyle w:val="BodyText"/>
        <w:spacing w:before="15"/>
        <w:rPr>
          <w:b/>
        </w:rPr>
      </w:pPr>
    </w:p>
    <w:p>
      <w:pPr>
        <w:pStyle w:val="BodyText"/>
        <w:spacing w:line="480" w:lineRule="auto"/>
        <w:ind w:left="267" w:right="730"/>
        <w:jc w:val="both"/>
      </w:pPr>
      <w:r>
        <w:rPr/>
        <mc:AlternateContent>
          <mc:Choice Requires="wps">
            <w:drawing>
              <wp:anchor distT="0" distB="0" distL="0" distR="0" allowOverlap="1" layoutInCell="1" locked="0" behindDoc="1" simplePos="0" relativeHeight="487593984">
                <wp:simplePos x="0" y="0"/>
                <wp:positionH relativeFrom="page">
                  <wp:posOffset>1271016</wp:posOffset>
                </wp:positionH>
                <wp:positionV relativeFrom="paragraph">
                  <wp:posOffset>1416206</wp:posOffset>
                </wp:positionV>
                <wp:extent cx="5512435" cy="3124200"/>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5512435" cy="3124200"/>
                          <a:chExt cx="5512435" cy="3124200"/>
                        </a:xfrm>
                      </wpg:grpSpPr>
                      <pic:pic>
                        <pic:nvPicPr>
                          <pic:cNvPr id="44" name="Image 44"/>
                          <pic:cNvPicPr/>
                        </pic:nvPicPr>
                        <pic:blipFill>
                          <a:blip r:embed="rId22" cstate="print"/>
                          <a:stretch>
                            <a:fillRect/>
                          </a:stretch>
                        </pic:blipFill>
                        <pic:spPr>
                          <a:xfrm>
                            <a:off x="9144" y="107751"/>
                            <a:ext cx="5295369" cy="2667452"/>
                          </a:xfrm>
                          <a:prstGeom prst="rect">
                            <a:avLst/>
                          </a:prstGeom>
                        </pic:spPr>
                      </pic:pic>
                      <wps:wsp>
                        <wps:cNvPr id="45" name="Graphic 45"/>
                        <wps:cNvSpPr/>
                        <wps:spPr>
                          <a:xfrm>
                            <a:off x="4572" y="4572"/>
                            <a:ext cx="5486400" cy="2775585"/>
                          </a:xfrm>
                          <a:custGeom>
                            <a:avLst/>
                            <a:gdLst/>
                            <a:ahLst/>
                            <a:cxnLst/>
                            <a:rect l="l" t="t" r="r" b="b"/>
                            <a:pathLst>
                              <a:path w="5486400" h="2775585">
                                <a:moveTo>
                                  <a:pt x="0" y="2775204"/>
                                </a:moveTo>
                                <a:lnTo>
                                  <a:pt x="5486400" y="2775204"/>
                                </a:lnTo>
                                <a:lnTo>
                                  <a:pt x="5486400" y="0"/>
                                </a:lnTo>
                                <a:lnTo>
                                  <a:pt x="0" y="0"/>
                                </a:lnTo>
                                <a:lnTo>
                                  <a:pt x="0" y="2775204"/>
                                </a:lnTo>
                                <a:close/>
                              </a:path>
                            </a:pathLst>
                          </a:custGeom>
                          <a:ln w="9144">
                            <a:solidFill>
                              <a:srgbClr val="000000"/>
                            </a:solidFill>
                            <a:prstDash val="solid"/>
                          </a:ln>
                        </wps:spPr>
                        <wps:bodyPr wrap="square" lIns="0" tIns="0" rIns="0" bIns="0" rtlCol="0">
                          <a:prstTxWarp prst="textNoShape">
                            <a:avLst/>
                          </a:prstTxWarp>
                          <a:noAutofit/>
                        </wps:bodyPr>
                      </wps:wsp>
                      <pic:pic>
                        <pic:nvPicPr>
                          <pic:cNvPr id="46" name="Image 46"/>
                          <pic:cNvPicPr/>
                        </pic:nvPicPr>
                        <pic:blipFill>
                          <a:blip r:embed="rId23" cstate="print"/>
                          <a:stretch>
                            <a:fillRect/>
                          </a:stretch>
                        </pic:blipFill>
                        <pic:spPr>
                          <a:xfrm>
                            <a:off x="113793" y="2810260"/>
                            <a:ext cx="5075499" cy="221669"/>
                          </a:xfrm>
                          <a:prstGeom prst="rect">
                            <a:avLst/>
                          </a:prstGeom>
                        </pic:spPr>
                      </pic:pic>
                      <wps:wsp>
                        <wps:cNvPr id="47" name="Graphic 47"/>
                        <wps:cNvSpPr/>
                        <wps:spPr>
                          <a:xfrm>
                            <a:off x="4572" y="2805683"/>
                            <a:ext cx="5503545" cy="314325"/>
                          </a:xfrm>
                          <a:custGeom>
                            <a:avLst/>
                            <a:gdLst/>
                            <a:ahLst/>
                            <a:cxnLst/>
                            <a:rect l="l" t="t" r="r" b="b"/>
                            <a:pathLst>
                              <a:path w="5503545" h="314325">
                                <a:moveTo>
                                  <a:pt x="0" y="313943"/>
                                </a:moveTo>
                                <a:lnTo>
                                  <a:pt x="5503164" y="313943"/>
                                </a:lnTo>
                                <a:lnTo>
                                  <a:pt x="5503164" y="0"/>
                                </a:lnTo>
                                <a:lnTo>
                                  <a:pt x="0" y="0"/>
                                </a:lnTo>
                                <a:lnTo>
                                  <a:pt x="0" y="31394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080002pt;margin-top:111.512344pt;width:434.05pt;height:246pt;mso-position-horizontal-relative:page;mso-position-vertical-relative:paragraph;z-index:-15722496;mso-wrap-distance-left:0;mso-wrap-distance-right:0" id="docshapegroup43" coordorigin="2002,2230" coordsize="8681,4920">
                <v:shape style="position:absolute;left:2016;top:2399;width:8340;height:4201" type="#_x0000_t75" id="docshape44" stroked="false">
                  <v:imagedata r:id="rId22" o:title=""/>
                </v:shape>
                <v:rect style="position:absolute;left:2008;top:2237;width:8640;height:4371" id="docshape45" filled="false" stroked="true" strokeweight=".72pt" strokecolor="#000000">
                  <v:stroke dashstyle="solid"/>
                </v:rect>
                <v:shape style="position:absolute;left:2180;top:6655;width:7993;height:350" type="#_x0000_t75" id="docshape46" stroked="false">
                  <v:imagedata r:id="rId23" o:title=""/>
                </v:shape>
                <v:rect style="position:absolute;left:2008;top:6648;width:8667;height:495" id="docshape47" filled="false" stroked="true" strokeweight=".72pt" strokecolor="#000000">
                  <v:stroke dashstyle="solid"/>
                </v:rect>
                <w10:wrap type="topAndBottom"/>
              </v:group>
            </w:pict>
          </mc:Fallback>
        </mc:AlternateContent>
      </w:r>
      <w:r>
        <w:rPr/>
        <w:t>The earliest attempt to systematically provide explanations on the diverse approaches of assessing water poverty was the study by Sullivan (2002) which highlighted four (4) approaches for calculating the water poverty index. The approaches (simple time analysis, matrix, gap and conventional composite index) are discussed as follows:</w:t>
      </w:r>
    </w:p>
    <w:p>
      <w:pPr>
        <w:pStyle w:val="Heading1"/>
        <w:spacing w:line="274" w:lineRule="exact" w:before="12"/>
        <w:ind w:left="9" w:right="475"/>
        <w:jc w:val="center"/>
      </w:pPr>
      <w:r>
        <w:rPr/>
        <w:t>Figure</w:t>
      </w:r>
      <w:r>
        <w:rPr>
          <w:spacing w:val="-2"/>
        </w:rPr>
        <w:t> </w:t>
      </w:r>
      <w:r>
        <w:rPr/>
        <w:t>2.9:</w:t>
      </w:r>
      <w:r>
        <w:rPr>
          <w:spacing w:val="-1"/>
        </w:rPr>
        <w:t> </w:t>
      </w:r>
      <w:r>
        <w:rPr/>
        <w:t>Water Poverty</w:t>
      </w:r>
      <w:r>
        <w:rPr>
          <w:spacing w:val="-2"/>
        </w:rPr>
        <w:t> </w:t>
      </w:r>
      <w:r>
        <w:rPr/>
        <w:t>in</w:t>
      </w:r>
      <w:r>
        <w:rPr>
          <w:spacing w:val="-1"/>
        </w:rPr>
        <w:t> </w:t>
      </w:r>
      <w:r>
        <w:rPr/>
        <w:t>year</w:t>
      </w:r>
      <w:r>
        <w:rPr>
          <w:spacing w:val="-1"/>
        </w:rPr>
        <w:t> </w:t>
      </w:r>
      <w:r>
        <w:rPr>
          <w:spacing w:val="-4"/>
        </w:rPr>
        <w:t>2000</w:t>
      </w:r>
    </w:p>
    <w:p>
      <w:pPr>
        <w:spacing w:line="274" w:lineRule="exact" w:before="0"/>
        <w:ind w:left="9" w:right="470" w:firstLine="0"/>
        <w:jc w:val="center"/>
        <w:rPr>
          <w:sz w:val="24"/>
        </w:rPr>
      </w:pPr>
      <w:r>
        <w:rPr>
          <w:sz w:val="24"/>
        </w:rPr>
        <w:t>Source:</w:t>
      </w:r>
      <w:r>
        <w:rPr>
          <w:spacing w:val="-1"/>
          <w:sz w:val="24"/>
        </w:rPr>
        <w:t> </w:t>
      </w:r>
      <w:r>
        <w:rPr>
          <w:sz w:val="24"/>
        </w:rPr>
        <w:t>Liu </w:t>
      </w:r>
      <w:r>
        <w:rPr>
          <w:i/>
          <w:sz w:val="24"/>
        </w:rPr>
        <w:t>et</w:t>
      </w:r>
      <w:r>
        <w:rPr>
          <w:i/>
          <w:spacing w:val="-2"/>
          <w:sz w:val="24"/>
        </w:rPr>
        <w:t> </w:t>
      </w:r>
      <w:r>
        <w:rPr>
          <w:i/>
          <w:sz w:val="24"/>
        </w:rPr>
        <w:t>al.</w:t>
      </w:r>
      <w:r>
        <w:rPr>
          <w:i/>
          <w:spacing w:val="-2"/>
          <w:sz w:val="24"/>
        </w:rPr>
        <w:t> </w:t>
      </w:r>
      <w:r>
        <w:rPr>
          <w:spacing w:val="-2"/>
          <w:sz w:val="24"/>
        </w:rPr>
        <w:t>(2017)</w:t>
      </w:r>
    </w:p>
    <w:p>
      <w:pPr>
        <w:pStyle w:val="BodyText"/>
      </w:pPr>
    </w:p>
    <w:p>
      <w:pPr>
        <w:pStyle w:val="BodyText"/>
        <w:spacing w:before="7"/>
      </w:pPr>
    </w:p>
    <w:p>
      <w:pPr>
        <w:pStyle w:val="Heading1"/>
        <w:numPr>
          <w:ilvl w:val="3"/>
          <w:numId w:val="6"/>
        </w:numPr>
        <w:tabs>
          <w:tab w:pos="986" w:val="left" w:leader="none"/>
        </w:tabs>
        <w:spacing w:line="240" w:lineRule="auto" w:before="1" w:after="0"/>
        <w:ind w:left="986" w:right="0" w:hanging="719"/>
        <w:jc w:val="left"/>
      </w:pPr>
      <w:r>
        <w:rPr/>
        <w:t>Time</w:t>
      </w:r>
      <w:r>
        <w:rPr>
          <w:spacing w:val="-3"/>
        </w:rPr>
        <w:t> </w:t>
      </w:r>
      <w:r>
        <w:rPr/>
        <w:t>Analysis</w:t>
      </w:r>
      <w:r>
        <w:rPr>
          <w:spacing w:val="-1"/>
        </w:rPr>
        <w:t> </w:t>
      </w:r>
      <w:r>
        <w:rPr>
          <w:spacing w:val="-2"/>
        </w:rPr>
        <w:t>Approach</w:t>
      </w:r>
    </w:p>
    <w:p>
      <w:pPr>
        <w:pStyle w:val="BodyText"/>
        <w:spacing w:before="16"/>
        <w:rPr>
          <w:b/>
        </w:rPr>
      </w:pPr>
    </w:p>
    <w:p>
      <w:pPr>
        <w:pStyle w:val="BodyText"/>
        <w:spacing w:line="480" w:lineRule="auto"/>
        <w:ind w:left="267" w:right="730"/>
        <w:jc w:val="both"/>
      </w:pPr>
      <w:r>
        <w:rPr/>
        <w:t>Using</w:t>
      </w:r>
      <w:r>
        <w:rPr>
          <w:spacing w:val="-12"/>
        </w:rPr>
        <w:t> </w:t>
      </w:r>
      <w:r>
        <w:rPr/>
        <w:t>the</w:t>
      </w:r>
      <w:r>
        <w:rPr>
          <w:spacing w:val="-10"/>
        </w:rPr>
        <w:t> </w:t>
      </w:r>
      <w:r>
        <w:rPr/>
        <w:t>time</w:t>
      </w:r>
      <w:r>
        <w:rPr>
          <w:spacing w:val="-8"/>
        </w:rPr>
        <w:t> </w:t>
      </w:r>
      <w:r>
        <w:rPr/>
        <w:t>analysis</w:t>
      </w:r>
      <w:r>
        <w:rPr>
          <w:spacing w:val="-9"/>
        </w:rPr>
        <w:t> </w:t>
      </w:r>
      <w:r>
        <w:rPr/>
        <w:t>approach,</w:t>
      </w:r>
      <w:r>
        <w:rPr>
          <w:spacing w:val="-10"/>
        </w:rPr>
        <w:t> </w:t>
      </w:r>
      <w:r>
        <w:rPr/>
        <w:t>the</w:t>
      </w:r>
      <w:r>
        <w:rPr>
          <w:spacing w:val="-8"/>
        </w:rPr>
        <w:t> </w:t>
      </w:r>
      <w:r>
        <w:rPr/>
        <w:t>water</w:t>
      </w:r>
      <w:r>
        <w:rPr>
          <w:spacing w:val="-10"/>
        </w:rPr>
        <w:t> </w:t>
      </w:r>
      <w:r>
        <w:rPr/>
        <w:t>poverty</w:t>
      </w:r>
      <w:r>
        <w:rPr>
          <w:spacing w:val="-12"/>
        </w:rPr>
        <w:t> </w:t>
      </w:r>
      <w:r>
        <w:rPr/>
        <w:t>index</w:t>
      </w:r>
      <w:r>
        <w:rPr>
          <w:spacing w:val="-8"/>
        </w:rPr>
        <w:t> </w:t>
      </w:r>
      <w:r>
        <w:rPr/>
        <w:t>is</w:t>
      </w:r>
      <w:r>
        <w:rPr>
          <w:spacing w:val="-9"/>
        </w:rPr>
        <w:t> </w:t>
      </w:r>
      <w:r>
        <w:rPr/>
        <w:t>determined</w:t>
      </w:r>
      <w:r>
        <w:rPr>
          <w:spacing w:val="-10"/>
        </w:rPr>
        <w:t> </w:t>
      </w:r>
      <w:r>
        <w:rPr/>
        <w:t>by</w:t>
      </w:r>
      <w:r>
        <w:rPr>
          <w:spacing w:val="-10"/>
        </w:rPr>
        <w:t> </w:t>
      </w:r>
      <w:r>
        <w:rPr/>
        <w:t>the</w:t>
      </w:r>
      <w:r>
        <w:rPr>
          <w:spacing w:val="-11"/>
        </w:rPr>
        <w:t> </w:t>
      </w:r>
      <w:r>
        <w:rPr/>
        <w:t>time</w:t>
      </w:r>
      <w:r>
        <w:rPr>
          <w:spacing w:val="-10"/>
        </w:rPr>
        <w:t> </w:t>
      </w:r>
      <w:r>
        <w:rPr/>
        <w:t>required per capita to gain access to a specific volume/quantity</w:t>
      </w:r>
      <w:r>
        <w:rPr>
          <w:spacing w:val="-3"/>
        </w:rPr>
        <w:t> </w:t>
      </w:r>
      <w:r>
        <w:rPr/>
        <w:t>of water. Time analysis involves is a two-variable</w:t>
      </w:r>
      <w:r>
        <w:rPr>
          <w:spacing w:val="-2"/>
        </w:rPr>
        <w:t> </w:t>
      </w:r>
      <w:r>
        <w:rPr/>
        <w:t>approach</w:t>
      </w:r>
      <w:r>
        <w:rPr>
          <w:spacing w:val="-4"/>
        </w:rPr>
        <w:t> </w:t>
      </w:r>
      <w:r>
        <w:rPr/>
        <w:t>to</w:t>
      </w:r>
      <w:r>
        <w:rPr>
          <w:spacing w:val="-2"/>
        </w:rPr>
        <w:t> </w:t>
      </w:r>
      <w:r>
        <w:rPr/>
        <w:t>water</w:t>
      </w:r>
      <w:r>
        <w:rPr>
          <w:spacing w:val="-4"/>
        </w:rPr>
        <w:t> </w:t>
      </w:r>
      <w:r>
        <w:rPr/>
        <w:t>poverty</w:t>
      </w:r>
      <w:r>
        <w:rPr>
          <w:spacing w:val="-8"/>
        </w:rPr>
        <w:t> </w:t>
      </w:r>
      <w:r>
        <w:rPr/>
        <w:t>measurement.</w:t>
      </w:r>
      <w:r>
        <w:rPr>
          <w:spacing w:val="-4"/>
        </w:rPr>
        <w:t> </w:t>
      </w:r>
      <w:r>
        <w:rPr/>
        <w:t>The</w:t>
      </w:r>
      <w:r>
        <w:rPr>
          <w:spacing w:val="-5"/>
        </w:rPr>
        <w:t> </w:t>
      </w:r>
      <w:r>
        <w:rPr/>
        <w:t>variables</w:t>
      </w:r>
      <w:r>
        <w:rPr>
          <w:spacing w:val="-3"/>
        </w:rPr>
        <w:t> </w:t>
      </w:r>
      <w:r>
        <w:rPr/>
        <w:t>considered</w:t>
      </w:r>
      <w:r>
        <w:rPr>
          <w:spacing w:val="-2"/>
        </w:rPr>
        <w:t> </w:t>
      </w:r>
      <w:r>
        <w:rPr/>
        <w:t>are</w:t>
      </w:r>
      <w:r>
        <w:rPr>
          <w:spacing w:val="-4"/>
        </w:rPr>
        <w:t> </w:t>
      </w:r>
      <w:r>
        <w:rPr/>
        <w:t>the</w:t>
      </w:r>
      <w:r>
        <w:rPr>
          <w:spacing w:val="-4"/>
        </w:rPr>
        <w:t> </w:t>
      </w:r>
      <w:r>
        <w:rPr/>
        <w:t>time taken to collect water including waiting time (in minutes) and the quantity/volume of water per collection trip (per capita). The time analysis formula is shown in equation 2.2:</w:t>
      </w:r>
    </w:p>
    <w:p>
      <w:pPr>
        <w:spacing w:after="0" w:line="480" w:lineRule="auto"/>
        <w:jc w:val="both"/>
        <w:sectPr>
          <w:pgSz w:w="12240" w:h="15840"/>
          <w:pgMar w:header="0" w:footer="1068" w:top="1620" w:bottom="1260" w:left="1720" w:right="680"/>
        </w:sectPr>
      </w:pPr>
    </w:p>
    <w:p>
      <w:pPr>
        <w:pStyle w:val="BodyText"/>
        <w:rPr>
          <w:sz w:val="17"/>
        </w:rPr>
      </w:pPr>
    </w:p>
    <w:p>
      <w:pPr>
        <w:pStyle w:val="BodyText"/>
        <w:spacing w:before="184"/>
        <w:rPr>
          <w:sz w:val="17"/>
        </w:rPr>
      </w:pPr>
    </w:p>
    <w:p>
      <w:pPr>
        <w:spacing w:line="288" w:lineRule="auto" w:before="0"/>
        <w:ind w:left="320" w:right="38" w:firstLine="264"/>
        <w:jc w:val="left"/>
        <w:rPr>
          <w:rFonts w:ascii="Cambria Math"/>
          <w:sz w:val="14"/>
        </w:rPr>
      </w:pPr>
      <w:r>
        <w:rPr/>
        <mc:AlternateContent>
          <mc:Choice Requires="wps">
            <w:drawing>
              <wp:anchor distT="0" distB="0" distL="0" distR="0" allowOverlap="1" layoutInCell="1" locked="0" behindDoc="0" simplePos="0" relativeHeight="15735296">
                <wp:simplePos x="0" y="0"/>
                <wp:positionH relativeFrom="page">
                  <wp:posOffset>1295653</wp:posOffset>
                </wp:positionH>
                <wp:positionV relativeFrom="paragraph">
                  <wp:posOffset>144166</wp:posOffset>
                </wp:positionV>
                <wp:extent cx="407034" cy="1079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407034" cy="10795"/>
                        </a:xfrm>
                        <a:custGeom>
                          <a:avLst/>
                          <a:gdLst/>
                          <a:ahLst/>
                          <a:cxnLst/>
                          <a:rect l="l" t="t" r="r" b="b"/>
                          <a:pathLst>
                            <a:path w="407034" h="10795">
                              <a:moveTo>
                                <a:pt x="406908" y="0"/>
                              </a:moveTo>
                              <a:lnTo>
                                <a:pt x="0" y="0"/>
                              </a:lnTo>
                              <a:lnTo>
                                <a:pt x="0" y="10668"/>
                              </a:lnTo>
                              <a:lnTo>
                                <a:pt x="406908" y="10668"/>
                              </a:lnTo>
                              <a:lnTo>
                                <a:pt x="406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019997pt;margin-top:11.35166pt;width:32.04pt;height:.84pt;mso-position-horizontal-relative:page;mso-position-vertical-relative:paragraph;z-index:15735296" id="docshape48" filled="true" fillcolor="#000000" stroked="false">
                <v:fill type="solid"/>
                <w10:wrap type="none"/>
              </v:rect>
            </w:pict>
          </mc:Fallback>
        </mc:AlternateContent>
      </w:r>
      <w:r>
        <w:rPr>
          <w:rFonts w:ascii="Cambria Math"/>
          <w:spacing w:val="-10"/>
          <w:w w:val="110"/>
          <w:sz w:val="17"/>
        </w:rPr>
        <w:t>T</w:t>
      </w:r>
      <w:r>
        <w:rPr>
          <w:rFonts w:ascii="Cambria Math"/>
          <w:spacing w:val="40"/>
          <w:w w:val="110"/>
          <w:sz w:val="17"/>
        </w:rPr>
        <w:t> </w:t>
      </w:r>
      <w:r>
        <w:rPr>
          <w:rFonts w:ascii="Cambria Math"/>
          <w:spacing w:val="-2"/>
          <w:sz w:val="17"/>
        </w:rPr>
        <w:t>1000m</w:t>
      </w:r>
      <w:r>
        <w:rPr>
          <w:rFonts w:ascii="Cambria Math"/>
          <w:spacing w:val="-2"/>
          <w:position w:val="5"/>
          <w:sz w:val="14"/>
        </w:rPr>
        <w:t>3</w:t>
      </w:r>
    </w:p>
    <w:p>
      <w:pPr>
        <w:pStyle w:val="BodyText"/>
        <w:spacing w:line="520" w:lineRule="auto" w:before="31"/>
        <w:ind w:left="320" w:right="727" w:firstLine="290"/>
        <w:rPr>
          <w:rFonts w:ascii="Cambria Math"/>
        </w:rPr>
      </w:pPr>
      <w:r>
        <w:rPr/>
        <w:br w:type="column"/>
      </w:r>
      <w:r>
        <w:rPr>
          <w:rFonts w:ascii="Cambria Math"/>
        </w:rPr>
        <w:t>WPI</w:t>
      </w:r>
      <w:r>
        <w:rPr>
          <w:rFonts w:ascii="Cambria Math"/>
          <w:spacing w:val="-11"/>
        </w:rPr>
        <w:t> </w:t>
      </w:r>
      <w:r>
        <w:rPr>
          <w:rFonts w:ascii="Cambria Math"/>
        </w:rPr>
        <w:t>= </w:t>
      </w:r>
      <w:r>
        <w:rPr>
          <w:rFonts w:ascii="Cambria Math"/>
          <w:spacing w:val="-2"/>
          <w:position w:val="1"/>
        </w:rPr>
        <w:t>(</w:t>
      </w:r>
      <w:r>
        <w:rPr>
          <w:rFonts w:ascii="Cambria Math"/>
          <w:spacing w:val="-2"/>
        </w:rPr>
        <w:t>2.2</w:t>
      </w:r>
      <w:r>
        <w:rPr>
          <w:rFonts w:ascii="Cambria Math"/>
          <w:spacing w:val="-2"/>
          <w:position w:val="1"/>
        </w:rPr>
        <w:t>)</w:t>
      </w:r>
    </w:p>
    <w:p>
      <w:pPr>
        <w:spacing w:after="0" w:line="520" w:lineRule="auto"/>
        <w:rPr>
          <w:rFonts w:ascii="Cambria Math"/>
        </w:rPr>
        <w:sectPr>
          <w:pgSz w:w="12240" w:h="15840"/>
          <w:pgMar w:header="0" w:footer="1068" w:top="1380" w:bottom="1260" w:left="1720" w:right="680"/>
          <w:cols w:num="2" w:equalWidth="0">
            <w:col w:w="996" w:space="6823"/>
            <w:col w:w="2021"/>
          </w:cols>
        </w:sectPr>
      </w:pPr>
    </w:p>
    <w:p>
      <w:pPr>
        <w:pStyle w:val="BodyText"/>
        <w:rPr>
          <w:rFonts w:ascii="Cambria Math"/>
        </w:rPr>
      </w:pPr>
    </w:p>
    <w:p>
      <w:pPr>
        <w:pStyle w:val="BodyText"/>
        <w:spacing w:before="5"/>
        <w:rPr>
          <w:rFonts w:ascii="Cambria Math"/>
        </w:rPr>
      </w:pPr>
    </w:p>
    <w:p>
      <w:pPr>
        <w:pStyle w:val="BodyText"/>
        <w:spacing w:line="480" w:lineRule="auto" w:before="1"/>
        <w:ind w:left="267" w:right="729"/>
        <w:jc w:val="both"/>
      </w:pPr>
      <w:r>
        <w:rPr/>
        <w:t>Where T is the time required for a person or household to collect a quantity of water (1000 cubic metric). In spite its simplicity and ease of comprehension the time analysis approach to water poverty assessment is without ardent criticisms. An obvious weakness of this approach</w:t>
      </w:r>
      <w:r>
        <w:rPr>
          <w:spacing w:val="-6"/>
        </w:rPr>
        <w:t> </w:t>
      </w:r>
      <w:r>
        <w:rPr/>
        <w:t>aside</w:t>
      </w:r>
      <w:r>
        <w:rPr>
          <w:spacing w:val="-9"/>
        </w:rPr>
        <w:t> </w:t>
      </w:r>
      <w:r>
        <w:rPr/>
        <w:t>its</w:t>
      </w:r>
      <w:r>
        <w:rPr>
          <w:spacing w:val="-8"/>
        </w:rPr>
        <w:t> </w:t>
      </w:r>
      <w:r>
        <w:rPr/>
        <w:t>failure</w:t>
      </w:r>
      <w:r>
        <w:rPr>
          <w:spacing w:val="-10"/>
        </w:rPr>
        <w:t> </w:t>
      </w:r>
      <w:r>
        <w:rPr/>
        <w:t>to</w:t>
      </w:r>
      <w:r>
        <w:rPr>
          <w:spacing w:val="-8"/>
        </w:rPr>
        <w:t> </w:t>
      </w:r>
      <w:r>
        <w:rPr/>
        <w:t>address</w:t>
      </w:r>
      <w:r>
        <w:rPr>
          <w:spacing w:val="-8"/>
        </w:rPr>
        <w:t> </w:t>
      </w:r>
      <w:r>
        <w:rPr/>
        <w:t>the</w:t>
      </w:r>
      <w:r>
        <w:rPr>
          <w:spacing w:val="-9"/>
        </w:rPr>
        <w:t> </w:t>
      </w:r>
      <w:r>
        <w:rPr/>
        <w:t>supply</w:t>
      </w:r>
      <w:r>
        <w:rPr>
          <w:spacing w:val="-13"/>
        </w:rPr>
        <w:t> </w:t>
      </w:r>
      <w:r>
        <w:rPr/>
        <w:t>side</w:t>
      </w:r>
      <w:r>
        <w:rPr>
          <w:spacing w:val="-6"/>
        </w:rPr>
        <w:t> </w:t>
      </w:r>
      <w:r>
        <w:rPr/>
        <w:t>of</w:t>
      </w:r>
      <w:r>
        <w:rPr>
          <w:spacing w:val="-7"/>
        </w:rPr>
        <w:t> </w:t>
      </w:r>
      <w:r>
        <w:rPr/>
        <w:t>freshwater</w:t>
      </w:r>
      <w:r>
        <w:rPr>
          <w:spacing w:val="-9"/>
        </w:rPr>
        <w:t> </w:t>
      </w:r>
      <w:r>
        <w:rPr/>
        <w:t>availability</w:t>
      </w:r>
      <w:r>
        <w:rPr>
          <w:spacing w:val="-11"/>
        </w:rPr>
        <w:t> </w:t>
      </w:r>
      <w:r>
        <w:rPr/>
        <w:t>is</w:t>
      </w:r>
      <w:r>
        <w:rPr>
          <w:spacing w:val="-8"/>
        </w:rPr>
        <w:t> </w:t>
      </w:r>
      <w:r>
        <w:rPr/>
        <w:t>its</w:t>
      </w:r>
      <w:r>
        <w:rPr>
          <w:spacing w:val="-10"/>
        </w:rPr>
        <w:t> </w:t>
      </w:r>
      <w:r>
        <w:rPr/>
        <w:t>neglect</w:t>
      </w:r>
      <w:r>
        <w:rPr>
          <w:spacing w:val="-8"/>
        </w:rPr>
        <w:t> </w:t>
      </w:r>
      <w:r>
        <w:rPr/>
        <w:t>of environmental sustainability and commercial concerns in its assessment framework. Based on its water poverty methodology, the final numerical value derived as the water poverty index is only reflective of domestic issues. As such the time analysis approach does not consider water assessment in an interdisciplinary holistic way (Sullivan, 2002).</w:t>
      </w:r>
    </w:p>
    <w:p>
      <w:pPr>
        <w:pStyle w:val="Heading1"/>
        <w:numPr>
          <w:ilvl w:val="3"/>
          <w:numId w:val="6"/>
        </w:numPr>
        <w:tabs>
          <w:tab w:pos="986" w:val="left" w:leader="none"/>
        </w:tabs>
        <w:spacing w:line="240" w:lineRule="auto" w:before="8" w:after="0"/>
        <w:ind w:left="986" w:right="0" w:hanging="719"/>
        <w:jc w:val="both"/>
      </w:pPr>
      <w:r>
        <w:rPr/>
        <w:t>Matrix</w:t>
      </w:r>
      <w:r>
        <w:rPr>
          <w:spacing w:val="-3"/>
        </w:rPr>
        <w:t> </w:t>
      </w:r>
      <w:r>
        <w:rPr>
          <w:spacing w:val="-2"/>
        </w:rPr>
        <w:t>approach</w:t>
      </w:r>
    </w:p>
    <w:p>
      <w:pPr>
        <w:pStyle w:val="BodyText"/>
        <w:spacing w:before="14"/>
        <w:rPr>
          <w:b/>
        </w:rPr>
      </w:pPr>
    </w:p>
    <w:p>
      <w:pPr>
        <w:pStyle w:val="BodyText"/>
        <w:spacing w:line="480" w:lineRule="auto" w:before="1"/>
        <w:ind w:left="267" w:right="728"/>
        <w:jc w:val="both"/>
      </w:pPr>
      <w:r>
        <w:rPr/>
        <w:t>The</w:t>
      </w:r>
      <w:r>
        <w:rPr>
          <w:spacing w:val="-15"/>
        </w:rPr>
        <w:t> </w:t>
      </w:r>
      <w:r>
        <w:rPr/>
        <w:t>matrix</w:t>
      </w:r>
      <w:r>
        <w:rPr>
          <w:spacing w:val="-15"/>
        </w:rPr>
        <w:t> </w:t>
      </w:r>
      <w:r>
        <w:rPr/>
        <w:t>approach</w:t>
      </w:r>
      <w:r>
        <w:rPr>
          <w:spacing w:val="-15"/>
        </w:rPr>
        <w:t> </w:t>
      </w:r>
      <w:r>
        <w:rPr/>
        <w:t>to</w:t>
      </w:r>
      <w:r>
        <w:rPr>
          <w:spacing w:val="-15"/>
        </w:rPr>
        <w:t> </w:t>
      </w:r>
      <w:r>
        <w:rPr/>
        <w:t>water</w:t>
      </w:r>
      <w:r>
        <w:rPr>
          <w:spacing w:val="-15"/>
        </w:rPr>
        <w:t> </w:t>
      </w:r>
      <w:r>
        <w:rPr/>
        <w:t>poverty</w:t>
      </w:r>
      <w:r>
        <w:rPr>
          <w:spacing w:val="-15"/>
        </w:rPr>
        <w:t> </w:t>
      </w:r>
      <w:r>
        <w:rPr/>
        <w:t>assessment</w:t>
      </w:r>
      <w:r>
        <w:rPr>
          <w:spacing w:val="-15"/>
        </w:rPr>
        <w:t> </w:t>
      </w:r>
      <w:r>
        <w:rPr/>
        <w:t>combines</w:t>
      </w:r>
      <w:r>
        <w:rPr>
          <w:spacing w:val="-15"/>
        </w:rPr>
        <w:t> </w:t>
      </w:r>
      <w:r>
        <w:rPr/>
        <w:t>the</w:t>
      </w:r>
      <w:r>
        <w:rPr>
          <w:spacing w:val="-15"/>
        </w:rPr>
        <w:t> </w:t>
      </w:r>
      <w:r>
        <w:rPr/>
        <w:t>principal</w:t>
      </w:r>
      <w:r>
        <w:rPr>
          <w:spacing w:val="-15"/>
        </w:rPr>
        <w:t> </w:t>
      </w:r>
      <w:r>
        <w:rPr/>
        <w:t>attributes/indicators of water stress and human welfare on an appropriate scale into a two-dimensional milieu. These indicators or attributes can also be developed from the composite index approach. Utilizing</w:t>
      </w:r>
      <w:r>
        <w:rPr>
          <w:spacing w:val="-4"/>
        </w:rPr>
        <w:t> </w:t>
      </w:r>
      <w:r>
        <w:rPr/>
        <w:t>this</w:t>
      </w:r>
      <w:r>
        <w:rPr>
          <w:spacing w:val="-2"/>
        </w:rPr>
        <w:t> </w:t>
      </w:r>
      <w:r>
        <w:rPr/>
        <w:t>approach, Sullivan</w:t>
      </w:r>
      <w:r>
        <w:rPr>
          <w:spacing w:val="-3"/>
        </w:rPr>
        <w:t> </w:t>
      </w:r>
      <w:r>
        <w:rPr/>
        <w:t>(2002)</w:t>
      </w:r>
      <w:r>
        <w:rPr>
          <w:spacing w:val="-3"/>
        </w:rPr>
        <w:t> </w:t>
      </w:r>
      <w:r>
        <w:rPr/>
        <w:t>hypothetically</w:t>
      </w:r>
      <w:r>
        <w:rPr>
          <w:spacing w:val="-6"/>
        </w:rPr>
        <w:t> </w:t>
      </w:r>
      <w:r>
        <w:rPr/>
        <w:t>presented a</w:t>
      </w:r>
      <w:r>
        <w:rPr>
          <w:spacing w:val="-3"/>
        </w:rPr>
        <w:t> </w:t>
      </w:r>
      <w:r>
        <w:rPr/>
        <w:t>two</w:t>
      </w:r>
      <w:r>
        <w:rPr>
          <w:spacing w:val="-2"/>
        </w:rPr>
        <w:t> </w:t>
      </w:r>
      <w:r>
        <w:rPr/>
        <w:t>-dimensional</w:t>
      </w:r>
      <w:r>
        <w:rPr>
          <w:spacing w:val="-2"/>
        </w:rPr>
        <w:t> </w:t>
      </w:r>
      <w:r>
        <w:rPr/>
        <w:t>matrix in the figure 2.10 depicting the water poverty positions of 14 countries on the basis of their differing levels of water availability and access and capacity and use.</w:t>
      </w:r>
    </w:p>
    <w:p>
      <w:pPr>
        <w:pStyle w:val="Heading1"/>
        <w:numPr>
          <w:ilvl w:val="3"/>
          <w:numId w:val="6"/>
        </w:numPr>
        <w:tabs>
          <w:tab w:pos="986" w:val="left" w:leader="none"/>
        </w:tabs>
        <w:spacing w:line="240" w:lineRule="auto" w:before="8" w:after="0"/>
        <w:ind w:left="986" w:right="0" w:hanging="719"/>
        <w:jc w:val="both"/>
      </w:pPr>
      <w:r>
        <w:rPr/>
        <w:t>Gap</w:t>
      </w:r>
      <w:r>
        <w:rPr>
          <w:spacing w:val="-1"/>
        </w:rPr>
        <w:t> </w:t>
      </w:r>
      <w:r>
        <w:rPr>
          <w:spacing w:val="-2"/>
        </w:rPr>
        <w:t>method</w:t>
      </w:r>
    </w:p>
    <w:p>
      <w:pPr>
        <w:pStyle w:val="BodyText"/>
        <w:spacing w:before="14"/>
        <w:rPr>
          <w:b/>
        </w:rPr>
      </w:pPr>
    </w:p>
    <w:p>
      <w:pPr>
        <w:pStyle w:val="BodyText"/>
        <w:spacing w:line="480" w:lineRule="auto"/>
        <w:ind w:left="267" w:right="730"/>
        <w:jc w:val="both"/>
      </w:pPr>
      <w:r>
        <w:rPr/>
        <w:t>As</w:t>
      </w:r>
      <w:r>
        <w:rPr>
          <w:spacing w:val="-9"/>
        </w:rPr>
        <w:t> </w:t>
      </w:r>
      <w:r>
        <w:rPr/>
        <w:t>analyzed</w:t>
      </w:r>
      <w:r>
        <w:rPr>
          <w:spacing w:val="-8"/>
        </w:rPr>
        <w:t> </w:t>
      </w:r>
      <w:r>
        <w:rPr/>
        <w:t>by</w:t>
      </w:r>
      <w:r>
        <w:rPr>
          <w:spacing w:val="-12"/>
        </w:rPr>
        <w:t> </w:t>
      </w:r>
      <w:r>
        <w:rPr/>
        <w:t>Sullivan</w:t>
      </w:r>
      <w:r>
        <w:rPr>
          <w:spacing w:val="-6"/>
        </w:rPr>
        <w:t> </w:t>
      </w:r>
      <w:r>
        <w:rPr/>
        <w:t>and</w:t>
      </w:r>
      <w:r>
        <w:rPr>
          <w:spacing w:val="-8"/>
        </w:rPr>
        <w:t> </w:t>
      </w:r>
      <w:r>
        <w:rPr/>
        <w:t>Jemmali</w:t>
      </w:r>
      <w:r>
        <w:rPr>
          <w:spacing w:val="-8"/>
        </w:rPr>
        <w:t> </w:t>
      </w:r>
      <w:r>
        <w:rPr/>
        <w:t>(2014),</w:t>
      </w:r>
      <w:r>
        <w:rPr>
          <w:spacing w:val="-9"/>
        </w:rPr>
        <w:t> </w:t>
      </w:r>
      <w:r>
        <w:rPr/>
        <w:t>the</w:t>
      </w:r>
      <w:r>
        <w:rPr>
          <w:spacing w:val="-9"/>
        </w:rPr>
        <w:t> </w:t>
      </w:r>
      <w:r>
        <w:rPr/>
        <w:t>gap</w:t>
      </w:r>
      <w:r>
        <w:rPr>
          <w:spacing w:val="-6"/>
        </w:rPr>
        <w:t> </w:t>
      </w:r>
      <w:r>
        <w:rPr/>
        <w:t>approach</w:t>
      </w:r>
      <w:r>
        <w:rPr>
          <w:spacing w:val="-8"/>
        </w:rPr>
        <w:t> </w:t>
      </w:r>
      <w:r>
        <w:rPr/>
        <w:t>to</w:t>
      </w:r>
      <w:r>
        <w:rPr>
          <w:spacing w:val="-8"/>
        </w:rPr>
        <w:t> </w:t>
      </w:r>
      <w:r>
        <w:rPr/>
        <w:t>water</w:t>
      </w:r>
      <w:r>
        <w:rPr>
          <w:spacing w:val="-9"/>
        </w:rPr>
        <w:t> </w:t>
      </w:r>
      <w:r>
        <w:rPr/>
        <w:t>poverty</w:t>
      </w:r>
      <w:r>
        <w:rPr>
          <w:spacing w:val="-11"/>
        </w:rPr>
        <w:t> </w:t>
      </w:r>
      <w:r>
        <w:rPr/>
        <w:t>assesses</w:t>
      </w:r>
      <w:r>
        <w:rPr>
          <w:spacing w:val="-8"/>
        </w:rPr>
        <w:t> </w:t>
      </w:r>
      <w:r>
        <w:rPr/>
        <w:t>the extent of deviation of actual water availability and use from expected or predetermined standards. The expected standards are reflective of the ideal level which ought to exist if water</w:t>
      </w:r>
      <w:r>
        <w:rPr>
          <w:spacing w:val="-7"/>
        </w:rPr>
        <w:t> </w:t>
      </w:r>
      <w:r>
        <w:rPr/>
        <w:t>resources</w:t>
      </w:r>
      <w:r>
        <w:rPr>
          <w:spacing w:val="-4"/>
        </w:rPr>
        <w:t> </w:t>
      </w:r>
      <w:r>
        <w:rPr/>
        <w:t>are</w:t>
      </w:r>
      <w:r>
        <w:rPr>
          <w:spacing w:val="-6"/>
        </w:rPr>
        <w:t> </w:t>
      </w:r>
      <w:r>
        <w:rPr/>
        <w:t>managed</w:t>
      </w:r>
      <w:r>
        <w:rPr>
          <w:spacing w:val="-4"/>
        </w:rPr>
        <w:t> </w:t>
      </w:r>
      <w:r>
        <w:rPr/>
        <w:t>in</w:t>
      </w:r>
      <w:r>
        <w:rPr>
          <w:spacing w:val="-5"/>
        </w:rPr>
        <w:t> </w:t>
      </w:r>
      <w:r>
        <w:rPr/>
        <w:t>a</w:t>
      </w:r>
      <w:r>
        <w:rPr>
          <w:spacing w:val="-5"/>
        </w:rPr>
        <w:t> </w:t>
      </w:r>
      <w:r>
        <w:rPr/>
        <w:t>sustainable</w:t>
      </w:r>
      <w:r>
        <w:rPr>
          <w:spacing w:val="-6"/>
        </w:rPr>
        <w:t> </w:t>
      </w:r>
      <w:r>
        <w:rPr/>
        <w:t>manner.</w:t>
      </w:r>
      <w:r>
        <w:rPr>
          <w:spacing w:val="48"/>
        </w:rPr>
        <w:t> </w:t>
      </w:r>
      <w:r>
        <w:rPr/>
        <w:t>Such</w:t>
      </w:r>
      <w:r>
        <w:rPr>
          <w:spacing w:val="-4"/>
        </w:rPr>
        <w:t> </w:t>
      </w:r>
      <w:r>
        <w:rPr/>
        <w:t>expected</w:t>
      </w:r>
      <w:r>
        <w:rPr>
          <w:spacing w:val="-4"/>
        </w:rPr>
        <w:t> </w:t>
      </w:r>
      <w:r>
        <w:rPr/>
        <w:t>standards</w:t>
      </w:r>
      <w:r>
        <w:rPr>
          <w:spacing w:val="-6"/>
        </w:rPr>
        <w:t> </w:t>
      </w:r>
      <w:r>
        <w:rPr/>
        <w:t>are</w:t>
      </w:r>
      <w:r>
        <w:rPr>
          <w:spacing w:val="-8"/>
        </w:rPr>
        <w:t> </w:t>
      </w:r>
      <w:r>
        <w:rPr/>
        <w:t>based</w:t>
      </w:r>
      <w:r>
        <w:rPr>
          <w:spacing w:val="-3"/>
        </w:rPr>
        <w:t> </w:t>
      </w:r>
      <w:r>
        <w:rPr>
          <w:spacing w:val="-5"/>
        </w:rPr>
        <w:t>on</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right="726"/>
        <w:jc w:val="both"/>
      </w:pPr>
      <w:r>
        <w:rPr/>
        <w:drawing>
          <wp:anchor distT="0" distB="0" distL="0" distR="0" allowOverlap="1" layoutInCell="1" locked="0" behindDoc="1" simplePos="0" relativeHeight="487595008">
            <wp:simplePos x="0" y="0"/>
            <wp:positionH relativeFrom="page">
              <wp:posOffset>1569719</wp:posOffset>
            </wp:positionH>
            <wp:positionV relativeFrom="paragraph">
              <wp:posOffset>1797811</wp:posOffset>
            </wp:positionV>
            <wp:extent cx="5016043" cy="3016662"/>
            <wp:effectExtent l="0" t="0" r="0" b="0"/>
            <wp:wrapTopAndBottom/>
            <wp:docPr id="49" name="Image 49" descr="Table  Description automatically generated"/>
            <wp:cNvGraphicFramePr>
              <a:graphicFrameLocks/>
            </wp:cNvGraphicFramePr>
            <a:graphic>
              <a:graphicData uri="http://schemas.openxmlformats.org/drawingml/2006/picture">
                <pic:pic>
                  <pic:nvPicPr>
                    <pic:cNvPr id="49" name="Image 49" descr="Table  Description automatically generated"/>
                    <pic:cNvPicPr/>
                  </pic:nvPicPr>
                  <pic:blipFill>
                    <a:blip r:embed="rId24" cstate="print"/>
                    <a:stretch>
                      <a:fillRect/>
                    </a:stretch>
                  </pic:blipFill>
                  <pic:spPr>
                    <a:xfrm>
                      <a:off x="0" y="0"/>
                      <a:ext cx="5016043" cy="3016662"/>
                    </a:xfrm>
                    <a:prstGeom prst="rect">
                      <a:avLst/>
                    </a:prstGeom>
                  </pic:spPr>
                </pic:pic>
              </a:graphicData>
            </a:graphic>
          </wp:anchor>
        </w:drawing>
      </w:r>
      <w:r>
        <w:rPr/>
        <w:t>four</w:t>
      </w:r>
      <w:r>
        <w:rPr>
          <w:spacing w:val="-8"/>
        </w:rPr>
        <w:t> </w:t>
      </w:r>
      <w:r>
        <w:rPr/>
        <w:t>pertinent</w:t>
      </w:r>
      <w:r>
        <w:rPr>
          <w:spacing w:val="-6"/>
        </w:rPr>
        <w:t> </w:t>
      </w:r>
      <w:r>
        <w:rPr/>
        <w:t>considerations:</w:t>
      </w:r>
      <w:r>
        <w:rPr>
          <w:spacing w:val="-6"/>
        </w:rPr>
        <w:t> </w:t>
      </w:r>
      <w:r>
        <w:rPr/>
        <w:t>(1)</w:t>
      </w:r>
      <w:r>
        <w:rPr>
          <w:spacing w:val="-8"/>
        </w:rPr>
        <w:t> </w:t>
      </w:r>
      <w:r>
        <w:rPr/>
        <w:t>ecosystem</w:t>
      </w:r>
      <w:r>
        <w:rPr>
          <w:spacing w:val="-7"/>
        </w:rPr>
        <w:t> </w:t>
      </w:r>
      <w:r>
        <w:rPr/>
        <w:t>health</w:t>
      </w:r>
      <w:r>
        <w:rPr>
          <w:spacing w:val="-5"/>
        </w:rPr>
        <w:t> </w:t>
      </w:r>
      <w:r>
        <w:rPr/>
        <w:t>(biodiversity</w:t>
      </w:r>
      <w:r>
        <w:rPr>
          <w:spacing w:val="-12"/>
        </w:rPr>
        <w:t> </w:t>
      </w:r>
      <w:r>
        <w:rPr/>
        <w:t>and</w:t>
      </w:r>
      <w:r>
        <w:rPr>
          <w:spacing w:val="-7"/>
        </w:rPr>
        <w:t> </w:t>
      </w:r>
      <w:r>
        <w:rPr/>
        <w:t>resource</w:t>
      </w:r>
      <w:r>
        <w:rPr>
          <w:spacing w:val="-8"/>
        </w:rPr>
        <w:t> </w:t>
      </w:r>
      <w:r>
        <w:rPr/>
        <w:t>depletion);</w:t>
      </w:r>
      <w:r>
        <w:rPr>
          <w:spacing w:val="-7"/>
        </w:rPr>
        <w:t> </w:t>
      </w:r>
      <w:r>
        <w:rPr/>
        <w:t>(2) human</w:t>
      </w:r>
      <w:r>
        <w:rPr>
          <w:spacing w:val="-8"/>
        </w:rPr>
        <w:t> </w:t>
      </w:r>
      <w:r>
        <w:rPr/>
        <w:t>health</w:t>
      </w:r>
      <w:r>
        <w:rPr>
          <w:spacing w:val="-7"/>
        </w:rPr>
        <w:t> </w:t>
      </w:r>
      <w:r>
        <w:rPr/>
        <w:t>(mortality</w:t>
      </w:r>
      <w:r>
        <w:rPr>
          <w:spacing w:val="-12"/>
        </w:rPr>
        <w:t> </w:t>
      </w:r>
      <w:r>
        <w:rPr/>
        <w:t>rate,</w:t>
      </w:r>
      <w:r>
        <w:rPr>
          <w:spacing w:val="-8"/>
        </w:rPr>
        <w:t> </w:t>
      </w:r>
      <w:r>
        <w:rPr/>
        <w:t>life</w:t>
      </w:r>
      <w:r>
        <w:rPr>
          <w:spacing w:val="-9"/>
        </w:rPr>
        <w:t> </w:t>
      </w:r>
      <w:r>
        <w:rPr/>
        <w:t>expectancy</w:t>
      </w:r>
      <w:r>
        <w:rPr>
          <w:spacing w:val="-12"/>
        </w:rPr>
        <w:t> </w:t>
      </w:r>
      <w:r>
        <w:rPr/>
        <w:t>and</w:t>
      </w:r>
      <w:r>
        <w:rPr>
          <w:spacing w:val="-5"/>
        </w:rPr>
        <w:t> </w:t>
      </w:r>
      <w:r>
        <w:rPr/>
        <w:t>reported</w:t>
      </w:r>
      <w:r>
        <w:rPr>
          <w:spacing w:val="-7"/>
        </w:rPr>
        <w:t> </w:t>
      </w:r>
      <w:r>
        <w:rPr/>
        <w:t>cases</w:t>
      </w:r>
      <w:r>
        <w:rPr>
          <w:spacing w:val="-7"/>
        </w:rPr>
        <w:t> </w:t>
      </w:r>
      <w:r>
        <w:rPr/>
        <w:t>of</w:t>
      </w:r>
      <w:r>
        <w:rPr>
          <w:spacing w:val="-6"/>
        </w:rPr>
        <w:t> </w:t>
      </w:r>
      <w:r>
        <w:rPr/>
        <w:t>water-related</w:t>
      </w:r>
      <w:r>
        <w:rPr>
          <w:spacing w:val="-7"/>
        </w:rPr>
        <w:t> </w:t>
      </w:r>
      <w:r>
        <w:rPr/>
        <w:t>illness);</w:t>
      </w:r>
      <w:r>
        <w:rPr>
          <w:spacing w:val="-7"/>
        </w:rPr>
        <w:t> </w:t>
      </w:r>
      <w:r>
        <w:rPr/>
        <w:t>(3) community</w:t>
      </w:r>
      <w:r>
        <w:rPr>
          <w:spacing w:val="-4"/>
        </w:rPr>
        <w:t> </w:t>
      </w:r>
      <w:r>
        <w:rPr/>
        <w:t>well-being (education level, political participation and crime incidence) and (4) economic welfare (income per head, income distribution and unemployment rates). The difference between the actual and the expected standards gives the water poverty index.</w:t>
      </w:r>
    </w:p>
    <w:p>
      <w:pPr>
        <w:pStyle w:val="Heading1"/>
        <w:spacing w:line="261" w:lineRule="exact"/>
        <w:ind w:left="9" w:right="476"/>
        <w:jc w:val="center"/>
      </w:pPr>
      <w:r>
        <w:rPr/>
        <w:t>Figure</w:t>
      </w:r>
      <w:r>
        <w:rPr>
          <w:spacing w:val="-5"/>
        </w:rPr>
        <w:t> </w:t>
      </w:r>
      <w:r>
        <w:rPr/>
        <w:t>2.10:</w:t>
      </w:r>
      <w:r>
        <w:rPr>
          <w:spacing w:val="-2"/>
        </w:rPr>
        <w:t> </w:t>
      </w:r>
      <w:r>
        <w:rPr/>
        <w:t>The</w:t>
      </w:r>
      <w:r>
        <w:rPr>
          <w:spacing w:val="-2"/>
        </w:rPr>
        <w:t> </w:t>
      </w:r>
      <w:r>
        <w:rPr/>
        <w:t>Matrix</w:t>
      </w:r>
      <w:r>
        <w:rPr>
          <w:spacing w:val="-1"/>
        </w:rPr>
        <w:t> </w:t>
      </w:r>
      <w:r>
        <w:rPr/>
        <w:t>Approach</w:t>
      </w:r>
      <w:r>
        <w:rPr>
          <w:spacing w:val="-1"/>
        </w:rPr>
        <w:t> </w:t>
      </w:r>
      <w:r>
        <w:rPr/>
        <w:t>to</w:t>
      </w:r>
      <w:r>
        <w:rPr>
          <w:spacing w:val="-1"/>
        </w:rPr>
        <w:t> </w:t>
      </w:r>
      <w:r>
        <w:rPr/>
        <w:t>Water Poverty</w:t>
      </w:r>
      <w:r>
        <w:rPr>
          <w:spacing w:val="-1"/>
        </w:rPr>
        <w:t> </w:t>
      </w:r>
      <w:r>
        <w:rPr>
          <w:spacing w:val="-2"/>
        </w:rPr>
        <w:t>Index</w:t>
      </w:r>
    </w:p>
    <w:p>
      <w:pPr>
        <w:pStyle w:val="BodyText"/>
        <w:spacing w:line="274" w:lineRule="exact"/>
        <w:ind w:left="10" w:right="470"/>
        <w:jc w:val="center"/>
      </w:pPr>
      <w:r>
        <w:rPr/>
        <w:t>Source:</w:t>
      </w:r>
      <w:r>
        <w:rPr>
          <w:spacing w:val="-1"/>
        </w:rPr>
        <w:t> </w:t>
      </w:r>
      <w:r>
        <w:rPr/>
        <w:t>Sullivan</w:t>
      </w:r>
      <w:r>
        <w:rPr>
          <w:spacing w:val="-1"/>
        </w:rPr>
        <w:t> </w:t>
      </w:r>
      <w:r>
        <w:rPr>
          <w:spacing w:val="-2"/>
        </w:rPr>
        <w:t>(2002).</w:t>
      </w:r>
    </w:p>
    <w:p>
      <w:pPr>
        <w:pStyle w:val="BodyText"/>
      </w:pPr>
    </w:p>
    <w:p>
      <w:pPr>
        <w:pStyle w:val="BodyText"/>
        <w:spacing w:line="480" w:lineRule="auto"/>
        <w:ind w:left="267" w:right="725"/>
        <w:jc w:val="both"/>
      </w:pPr>
      <w:r>
        <w:rPr/>
        <w:t>Similar framework has been employed in the earlier work of Gillis </w:t>
      </w:r>
      <w:r>
        <w:rPr>
          <w:i/>
        </w:rPr>
        <w:t>et al. </w:t>
      </w:r>
      <w:r>
        <w:rPr/>
        <w:t>(1987) as an assessment</w:t>
      </w:r>
      <w:r>
        <w:rPr>
          <w:spacing w:val="-8"/>
        </w:rPr>
        <w:t> </w:t>
      </w:r>
      <w:r>
        <w:rPr/>
        <w:t>basis</w:t>
      </w:r>
      <w:r>
        <w:rPr>
          <w:spacing w:val="-8"/>
        </w:rPr>
        <w:t> </w:t>
      </w:r>
      <w:r>
        <w:rPr/>
        <w:t>for</w:t>
      </w:r>
      <w:r>
        <w:rPr>
          <w:spacing w:val="-10"/>
        </w:rPr>
        <w:t> </w:t>
      </w:r>
      <w:r>
        <w:rPr/>
        <w:t>poverty</w:t>
      </w:r>
      <w:r>
        <w:rPr>
          <w:spacing w:val="-13"/>
        </w:rPr>
        <w:t> </w:t>
      </w:r>
      <w:r>
        <w:rPr/>
        <w:t>measurement.</w:t>
      </w:r>
      <w:r>
        <w:rPr>
          <w:spacing w:val="-8"/>
        </w:rPr>
        <w:t> </w:t>
      </w:r>
      <w:r>
        <w:rPr/>
        <w:t>Adopting</w:t>
      </w:r>
      <w:r>
        <w:rPr>
          <w:spacing w:val="-10"/>
        </w:rPr>
        <w:t> </w:t>
      </w:r>
      <w:r>
        <w:rPr/>
        <w:t>this</w:t>
      </w:r>
      <w:r>
        <w:rPr>
          <w:spacing w:val="-8"/>
        </w:rPr>
        <w:t> </w:t>
      </w:r>
      <w:r>
        <w:rPr/>
        <w:t>approach,</w:t>
      </w:r>
      <w:r>
        <w:rPr>
          <w:spacing w:val="-8"/>
        </w:rPr>
        <w:t> </w:t>
      </w:r>
      <w:r>
        <w:rPr/>
        <w:t>Sullivan</w:t>
      </w:r>
      <w:r>
        <w:rPr>
          <w:spacing w:val="-9"/>
        </w:rPr>
        <w:t> </w:t>
      </w:r>
      <w:r>
        <w:rPr/>
        <w:t>(2002)</w:t>
      </w:r>
      <w:r>
        <w:rPr>
          <w:spacing w:val="-9"/>
        </w:rPr>
        <w:t> </w:t>
      </w:r>
      <w:r>
        <w:rPr/>
        <w:t>evolved an assessment framework for water poverty index as provided in Table 2.3. As noted by Sullivan (2002) the derived water poverty index using the gap approach is not a single numeraire</w:t>
      </w:r>
      <w:r>
        <w:rPr>
          <w:spacing w:val="-6"/>
        </w:rPr>
        <w:t> </w:t>
      </w:r>
      <w:r>
        <w:rPr/>
        <w:t>value</w:t>
      </w:r>
      <w:r>
        <w:rPr>
          <w:spacing w:val="-5"/>
        </w:rPr>
        <w:t> </w:t>
      </w:r>
      <w:r>
        <w:rPr/>
        <w:t>but</w:t>
      </w:r>
      <w:r>
        <w:rPr>
          <w:spacing w:val="-4"/>
        </w:rPr>
        <w:t> </w:t>
      </w:r>
      <w:r>
        <w:rPr/>
        <w:t>an</w:t>
      </w:r>
      <w:r>
        <w:rPr>
          <w:spacing w:val="-5"/>
        </w:rPr>
        <w:t> </w:t>
      </w:r>
      <w:r>
        <w:rPr/>
        <w:t>index</w:t>
      </w:r>
      <w:r>
        <w:rPr>
          <w:spacing w:val="-4"/>
        </w:rPr>
        <w:t> </w:t>
      </w:r>
      <w:r>
        <w:rPr/>
        <w:t>consisting</w:t>
      </w:r>
      <w:r>
        <w:rPr>
          <w:spacing w:val="-7"/>
        </w:rPr>
        <w:t> </w:t>
      </w:r>
      <w:r>
        <w:rPr/>
        <w:t>of</w:t>
      </w:r>
      <w:r>
        <w:rPr>
          <w:spacing w:val="-6"/>
        </w:rPr>
        <w:t> </w:t>
      </w:r>
      <w:r>
        <w:rPr/>
        <w:t>four</w:t>
      </w:r>
      <w:r>
        <w:rPr>
          <w:spacing w:val="-6"/>
        </w:rPr>
        <w:t> </w:t>
      </w:r>
      <w:r>
        <w:rPr/>
        <w:t>values,</w:t>
      </w:r>
      <w:r>
        <w:rPr>
          <w:spacing w:val="-5"/>
        </w:rPr>
        <w:t> </w:t>
      </w:r>
      <w:r>
        <w:rPr/>
        <w:t>based</w:t>
      </w:r>
      <w:r>
        <w:rPr>
          <w:spacing w:val="-5"/>
        </w:rPr>
        <w:t> </w:t>
      </w:r>
      <w:r>
        <w:rPr/>
        <w:t>on</w:t>
      </w:r>
      <w:r>
        <w:rPr>
          <w:spacing w:val="-5"/>
        </w:rPr>
        <w:t> </w:t>
      </w:r>
      <w:r>
        <w:rPr/>
        <w:t>the</w:t>
      </w:r>
      <w:r>
        <w:rPr>
          <w:spacing w:val="-5"/>
        </w:rPr>
        <w:t> </w:t>
      </w:r>
      <w:r>
        <w:rPr/>
        <w:t>data</w:t>
      </w:r>
      <w:r>
        <w:rPr>
          <w:spacing w:val="-5"/>
        </w:rPr>
        <w:t> </w:t>
      </w:r>
      <w:r>
        <w:rPr/>
        <w:t>and</w:t>
      </w:r>
      <w:r>
        <w:rPr>
          <w:spacing w:val="-5"/>
        </w:rPr>
        <w:t> </w:t>
      </w:r>
      <w:r>
        <w:rPr/>
        <w:t>indicator</w:t>
      </w:r>
      <w:r>
        <w:rPr>
          <w:spacing w:val="-5"/>
        </w:rPr>
        <w:t> </w:t>
      </w:r>
      <w:r>
        <w:rPr/>
        <w:t>used. Based</w:t>
      </w:r>
      <w:r>
        <w:rPr>
          <w:spacing w:val="-5"/>
        </w:rPr>
        <w:t> </w:t>
      </w:r>
      <w:r>
        <w:rPr/>
        <w:t>on</w:t>
      </w:r>
      <w:r>
        <w:rPr>
          <w:spacing w:val="-5"/>
        </w:rPr>
        <w:t> </w:t>
      </w:r>
      <w:r>
        <w:rPr/>
        <w:t>this</w:t>
      </w:r>
      <w:r>
        <w:rPr>
          <w:spacing w:val="-5"/>
        </w:rPr>
        <w:t> </w:t>
      </w:r>
      <w:r>
        <w:rPr/>
        <w:t>approach,</w:t>
      </w:r>
      <w:r>
        <w:rPr>
          <w:spacing w:val="-5"/>
        </w:rPr>
        <w:t> </w:t>
      </w:r>
      <w:r>
        <w:rPr/>
        <w:t>higher</w:t>
      </w:r>
      <w:r>
        <w:rPr>
          <w:spacing w:val="-6"/>
        </w:rPr>
        <w:t> </w:t>
      </w:r>
      <w:r>
        <w:rPr/>
        <w:t>water</w:t>
      </w:r>
      <w:r>
        <w:rPr>
          <w:spacing w:val="-6"/>
        </w:rPr>
        <w:t> </w:t>
      </w:r>
      <w:r>
        <w:rPr/>
        <w:t>poverty</w:t>
      </w:r>
      <w:r>
        <w:rPr>
          <w:spacing w:val="-10"/>
        </w:rPr>
        <w:t> </w:t>
      </w:r>
      <w:r>
        <w:rPr/>
        <w:t>gaps</w:t>
      </w:r>
      <w:r>
        <w:rPr>
          <w:spacing w:val="-5"/>
        </w:rPr>
        <w:t> </w:t>
      </w:r>
      <w:r>
        <w:rPr/>
        <w:t>are</w:t>
      </w:r>
      <w:r>
        <w:rPr>
          <w:spacing w:val="-7"/>
        </w:rPr>
        <w:t> </w:t>
      </w:r>
      <w:r>
        <w:rPr/>
        <w:t>associated</w:t>
      </w:r>
      <w:r>
        <w:rPr>
          <w:spacing w:val="-5"/>
        </w:rPr>
        <w:t> </w:t>
      </w:r>
      <w:r>
        <w:rPr/>
        <w:t>with</w:t>
      </w:r>
      <w:r>
        <w:rPr>
          <w:spacing w:val="-4"/>
        </w:rPr>
        <w:t> </w:t>
      </w:r>
      <w:r>
        <w:rPr/>
        <w:t>higher</w:t>
      </w:r>
      <w:r>
        <w:rPr>
          <w:spacing w:val="-6"/>
        </w:rPr>
        <w:t> </w:t>
      </w:r>
      <w:r>
        <w:rPr/>
        <w:t>levels</w:t>
      </w:r>
      <w:r>
        <w:rPr>
          <w:spacing w:val="-4"/>
        </w:rPr>
        <w:t> </w:t>
      </w:r>
      <w:r>
        <w:rPr/>
        <w:t>of</w:t>
      </w:r>
      <w:r>
        <w:rPr>
          <w:spacing w:val="-6"/>
        </w:rPr>
        <w:t> </w:t>
      </w:r>
      <w:r>
        <w:rPr/>
        <w:t>water stress and vice-versa.</w:t>
      </w:r>
    </w:p>
    <w:p>
      <w:pPr>
        <w:spacing w:after="0" w:line="480" w:lineRule="auto"/>
        <w:jc w:val="both"/>
        <w:sectPr>
          <w:pgSz w:w="12240" w:h="15840"/>
          <w:pgMar w:header="0" w:footer="1068" w:top="1340" w:bottom="1260" w:left="1720" w:right="680"/>
        </w:sectPr>
      </w:pPr>
    </w:p>
    <w:p>
      <w:pPr>
        <w:pStyle w:val="Heading1"/>
        <w:numPr>
          <w:ilvl w:val="3"/>
          <w:numId w:val="6"/>
        </w:numPr>
        <w:tabs>
          <w:tab w:pos="986" w:val="left" w:leader="none"/>
        </w:tabs>
        <w:spacing w:line="240" w:lineRule="auto" w:before="70" w:after="0"/>
        <w:ind w:left="986" w:right="0" w:hanging="719"/>
        <w:jc w:val="left"/>
      </w:pPr>
      <w:r>
        <w:rPr/>
        <w:t>Composite</w:t>
      </w:r>
      <w:r>
        <w:rPr>
          <w:spacing w:val="-3"/>
        </w:rPr>
        <w:t> </w:t>
      </w:r>
      <w:r>
        <w:rPr/>
        <w:t>indicator</w:t>
      </w:r>
      <w:r>
        <w:rPr>
          <w:spacing w:val="-2"/>
        </w:rPr>
        <w:t> approach</w:t>
      </w:r>
    </w:p>
    <w:p>
      <w:pPr>
        <w:pStyle w:val="BodyText"/>
        <w:spacing w:before="15"/>
        <w:rPr>
          <w:b/>
        </w:rPr>
      </w:pPr>
    </w:p>
    <w:p>
      <w:pPr>
        <w:pStyle w:val="BodyText"/>
        <w:spacing w:line="480" w:lineRule="auto"/>
        <w:ind w:left="267" w:right="723"/>
        <w:jc w:val="both"/>
      </w:pPr>
      <w:r>
        <w:rPr/>
        <w:t>The composite approach entails the construction of an index from an array of variables or indicators which capture the essence of what is being measured. As mentioned by Sullivan (2002) the indicators which capture the different dimension of water poverty are (1) water availability (2) access to safe water (3) clean water and (4) time taken to collect water for domestic</w:t>
      </w:r>
      <w:r>
        <w:rPr>
          <w:spacing w:val="-5"/>
        </w:rPr>
        <w:t> </w:t>
      </w:r>
      <w:r>
        <w:rPr/>
        <w:t>use.</w:t>
      </w:r>
      <w:r>
        <w:rPr>
          <w:spacing w:val="-2"/>
        </w:rPr>
        <w:t> </w:t>
      </w:r>
      <w:r>
        <w:rPr/>
        <w:t>In</w:t>
      </w:r>
      <w:r>
        <w:rPr>
          <w:spacing w:val="-4"/>
        </w:rPr>
        <w:t> </w:t>
      </w:r>
      <w:r>
        <w:rPr/>
        <w:t>his</w:t>
      </w:r>
      <w:r>
        <w:rPr>
          <w:spacing w:val="-4"/>
        </w:rPr>
        <w:t> </w:t>
      </w:r>
      <w:r>
        <w:rPr/>
        <w:t>work,</w:t>
      </w:r>
      <w:r>
        <w:rPr>
          <w:spacing w:val="-4"/>
        </w:rPr>
        <w:t> </w:t>
      </w:r>
      <w:r>
        <w:rPr/>
        <w:t>Sullivan</w:t>
      </w:r>
      <w:r>
        <w:rPr>
          <w:spacing w:val="-4"/>
        </w:rPr>
        <w:t> </w:t>
      </w:r>
      <w:r>
        <w:rPr/>
        <w:t>(2002)</w:t>
      </w:r>
      <w:r>
        <w:rPr>
          <w:spacing w:val="-5"/>
        </w:rPr>
        <w:t> </w:t>
      </w:r>
      <w:r>
        <w:rPr/>
        <w:t>derived</w:t>
      </w:r>
      <w:r>
        <w:rPr>
          <w:spacing w:val="-4"/>
        </w:rPr>
        <w:t> </w:t>
      </w:r>
      <w:r>
        <w:rPr/>
        <w:t>the</w:t>
      </w:r>
      <w:r>
        <w:rPr>
          <w:spacing w:val="-4"/>
        </w:rPr>
        <w:t> </w:t>
      </w:r>
      <w:r>
        <w:rPr/>
        <w:t>following</w:t>
      </w:r>
      <w:r>
        <w:rPr>
          <w:spacing w:val="-7"/>
        </w:rPr>
        <w:t> </w:t>
      </w:r>
      <w:r>
        <w:rPr/>
        <w:t>formula</w:t>
      </w:r>
      <w:r>
        <w:rPr>
          <w:spacing w:val="-5"/>
        </w:rPr>
        <w:t> </w:t>
      </w:r>
      <w:r>
        <w:rPr/>
        <w:t>in</w:t>
      </w:r>
      <w:r>
        <w:rPr>
          <w:spacing w:val="-4"/>
        </w:rPr>
        <w:t> </w:t>
      </w:r>
      <w:r>
        <w:rPr/>
        <w:t>equation</w:t>
      </w:r>
      <w:r>
        <w:rPr>
          <w:spacing w:val="-4"/>
        </w:rPr>
        <w:t> </w:t>
      </w:r>
      <w:r>
        <w:rPr/>
        <w:t>2.3</w:t>
      </w:r>
      <w:r>
        <w:rPr>
          <w:spacing w:val="-4"/>
        </w:rPr>
        <w:t> </w:t>
      </w:r>
      <w:r>
        <w:rPr/>
        <w:t>for calculating the water poverty index from the indicators:</w:t>
      </w:r>
    </w:p>
    <w:p>
      <w:pPr>
        <w:pStyle w:val="BodyText"/>
        <w:spacing w:before="9"/>
        <w:ind w:left="267"/>
        <w:jc w:val="both"/>
        <w:rPr>
          <w:rFonts w:ascii="Cambria Math"/>
        </w:rPr>
      </w:pPr>
      <w:r>
        <w:rPr>
          <w:rFonts w:ascii="Cambria Math"/>
        </w:rPr>
        <w:t>Water</w:t>
      </w:r>
      <w:r>
        <w:rPr>
          <w:rFonts w:ascii="Cambria Math"/>
          <w:spacing w:val="-2"/>
        </w:rPr>
        <w:t> </w:t>
      </w:r>
      <w:r>
        <w:rPr>
          <w:rFonts w:ascii="Cambria Math"/>
        </w:rPr>
        <w:t>Poverty Index</w:t>
      </w:r>
      <w:r>
        <w:rPr>
          <w:rFonts w:ascii="Cambria Math"/>
          <w:spacing w:val="31"/>
        </w:rPr>
        <w:t>  </w:t>
      </w:r>
      <w:r>
        <w:rPr>
          <w:rFonts w:ascii="Cambria Math"/>
        </w:rPr>
        <w:t>=</w:t>
      </w:r>
      <w:r>
        <w:rPr>
          <w:rFonts w:ascii="Cambria Math"/>
          <w:spacing w:val="67"/>
        </w:rPr>
        <w:t> </w:t>
      </w:r>
      <w:r>
        <w:rPr>
          <w:rFonts w:ascii="Cambria Math"/>
        </w:rPr>
        <w:t>WaA</w:t>
      </w:r>
      <w:r>
        <w:rPr>
          <w:rFonts w:ascii="Cambria Math"/>
          <w:spacing w:val="49"/>
        </w:rPr>
        <w:t> </w:t>
      </w:r>
      <w:r>
        <w:rPr>
          <w:rFonts w:ascii="Cambria Math"/>
        </w:rPr>
        <w:t>+</w:t>
      </w:r>
      <w:r>
        <w:rPr>
          <w:rFonts w:ascii="Cambria Math"/>
          <w:spacing w:val="51"/>
        </w:rPr>
        <w:t> </w:t>
      </w:r>
      <w:r>
        <w:rPr>
          <w:rFonts w:ascii="Cambria Math"/>
        </w:rPr>
        <w:t>WsS</w:t>
      </w:r>
      <w:r>
        <w:rPr>
          <w:rFonts w:ascii="Cambria Math"/>
          <w:spacing w:val="51"/>
        </w:rPr>
        <w:t> </w:t>
      </w:r>
      <w:r>
        <w:rPr>
          <w:rFonts w:ascii="Cambria Math"/>
          <w:spacing w:val="-10"/>
        </w:rPr>
        <w:t>+</w:t>
      </w:r>
    </w:p>
    <w:p>
      <w:pPr>
        <w:pStyle w:val="BodyText"/>
        <w:tabs>
          <w:tab w:pos="4847" w:val="left" w:leader="none"/>
        </w:tabs>
        <w:spacing w:before="270"/>
        <w:ind w:left="320"/>
        <w:jc w:val="both"/>
        <w:rPr>
          <w:rFonts w:ascii="Cambria Math" w:hAnsi="Cambria Math"/>
        </w:rPr>
      </w:pPr>
      <w:r>
        <w:rPr>
          <w:rFonts w:ascii="Cambria Math" w:hAnsi="Cambria Math"/>
        </w:rPr>
        <w:t>We</w:t>
      </w:r>
      <w:r>
        <w:rPr>
          <w:rFonts w:ascii="Cambria Math" w:hAnsi="Cambria Math"/>
          <w:spacing w:val="-2"/>
        </w:rPr>
        <w:t> </w:t>
      </w:r>
      <w:r>
        <w:rPr>
          <w:rFonts w:ascii="Cambria Math" w:hAnsi="Cambria Math"/>
          <w:position w:val="1"/>
        </w:rPr>
        <w:t>(</w:t>
      </w:r>
      <w:r>
        <w:rPr>
          <w:rFonts w:ascii="Cambria Math" w:hAnsi="Cambria Math"/>
        </w:rPr>
        <w:t>100</w:t>
      </w:r>
      <w:r>
        <w:rPr>
          <w:rFonts w:ascii="Cambria Math" w:hAnsi="Cambria Math"/>
          <w:spacing w:val="1"/>
        </w:rPr>
        <w:t> </w:t>
      </w:r>
      <w:r>
        <w:rPr>
          <w:rFonts w:ascii="Cambria Math" w:hAnsi="Cambria Math"/>
        </w:rPr>
        <w:t>‒</w:t>
      </w:r>
      <w:r>
        <w:rPr>
          <w:rFonts w:ascii="Cambria Math" w:hAnsi="Cambria Math"/>
          <w:spacing w:val="-13"/>
        </w:rPr>
        <w:t> </w:t>
      </w:r>
      <w:r>
        <w:rPr>
          <w:rFonts w:ascii="Cambria Math" w:hAnsi="Cambria Math"/>
          <w:spacing w:val="-5"/>
        </w:rPr>
        <w:t>T</w:t>
      </w:r>
      <w:r>
        <w:rPr>
          <w:rFonts w:ascii="Cambria Math" w:hAnsi="Cambria Math"/>
          <w:spacing w:val="-5"/>
          <w:position w:val="1"/>
        </w:rPr>
        <w:t>)</w:t>
      </w:r>
      <w:r>
        <w:rPr>
          <w:rFonts w:ascii="Cambria Math" w:hAnsi="Cambria Math"/>
          <w:position w:val="1"/>
        </w:rPr>
        <w:tab/>
      </w:r>
      <w:r>
        <w:rPr>
          <w:rFonts w:ascii="Cambria Math" w:hAnsi="Cambria Math"/>
          <w:spacing w:val="-4"/>
          <w:position w:val="1"/>
        </w:rPr>
        <w:t>(</w:t>
      </w:r>
      <w:r>
        <w:rPr>
          <w:rFonts w:ascii="Cambria Math" w:hAnsi="Cambria Math"/>
          <w:spacing w:val="-4"/>
        </w:rPr>
        <w:t>2.3</w:t>
      </w:r>
      <w:r>
        <w:rPr>
          <w:rFonts w:ascii="Cambria Math" w:hAnsi="Cambria Math"/>
          <w:spacing w:val="-4"/>
          <w:position w:val="1"/>
        </w:rPr>
        <w:t>)</w:t>
      </w:r>
    </w:p>
    <w:p>
      <w:pPr>
        <w:pStyle w:val="BodyText"/>
        <w:spacing w:line="480" w:lineRule="auto" w:before="278"/>
        <w:ind w:left="267" w:right="727"/>
        <w:jc w:val="both"/>
      </w:pPr>
      <w:r>
        <w:rPr/>
        <w:t>Where </w:t>
      </w:r>
      <w:r>
        <w:rPr>
          <w:rFonts w:ascii="Cambria Math" w:eastAsia="Cambria Math"/>
        </w:rPr>
        <w:t>A </w:t>
      </w:r>
      <w:r>
        <w:rPr/>
        <w:t>is the adjusted water availability assessment expressed as percentage (%). The adjusted</w:t>
      </w:r>
      <w:r>
        <w:rPr>
          <w:spacing w:val="-3"/>
        </w:rPr>
        <w:t> </w:t>
      </w:r>
      <w:r>
        <w:rPr/>
        <w:t>water</w:t>
      </w:r>
      <w:r>
        <w:rPr>
          <w:spacing w:val="-3"/>
        </w:rPr>
        <w:t> </w:t>
      </w:r>
      <w:r>
        <w:rPr/>
        <w:t>availability</w:t>
      </w:r>
      <w:r>
        <w:rPr>
          <w:spacing w:val="-6"/>
        </w:rPr>
        <w:t> </w:t>
      </w:r>
      <w:r>
        <w:rPr/>
        <w:t>is</w:t>
      </w:r>
      <w:r>
        <w:rPr>
          <w:spacing w:val="-3"/>
        </w:rPr>
        <w:t> </w:t>
      </w:r>
      <w:r>
        <w:rPr/>
        <w:t>determined</w:t>
      </w:r>
      <w:r>
        <w:rPr>
          <w:spacing w:val="-3"/>
        </w:rPr>
        <w:t> </w:t>
      </w:r>
      <w:r>
        <w:rPr/>
        <w:t>based</w:t>
      </w:r>
      <w:r>
        <w:rPr>
          <w:spacing w:val="-3"/>
        </w:rPr>
        <w:t> </w:t>
      </w:r>
      <w:r>
        <w:rPr/>
        <w:t>on</w:t>
      </w:r>
      <w:r>
        <w:rPr>
          <w:spacing w:val="-1"/>
        </w:rPr>
        <w:t> </w:t>
      </w:r>
      <w:r>
        <w:rPr/>
        <w:t>ground</w:t>
      </w:r>
      <w:r>
        <w:rPr>
          <w:spacing w:val="-2"/>
        </w:rPr>
        <w:t> </w:t>
      </w:r>
      <w:r>
        <w:rPr/>
        <w:t>and</w:t>
      </w:r>
      <w:r>
        <w:rPr>
          <w:spacing w:val="-3"/>
        </w:rPr>
        <w:t> </w:t>
      </w:r>
      <w:r>
        <w:rPr/>
        <w:t>surface</w:t>
      </w:r>
      <w:r>
        <w:rPr>
          <w:spacing w:val="-4"/>
        </w:rPr>
        <w:t> </w:t>
      </w:r>
      <w:r>
        <w:rPr/>
        <w:t>water</w:t>
      </w:r>
      <w:r>
        <w:rPr>
          <w:spacing w:val="-3"/>
        </w:rPr>
        <w:t> </w:t>
      </w:r>
      <w:r>
        <w:rPr/>
        <w:t>availability</w:t>
      </w:r>
      <w:r>
        <w:rPr>
          <w:spacing w:val="-6"/>
        </w:rPr>
        <w:t> </w:t>
      </w:r>
      <w:r>
        <w:rPr/>
        <w:t>and is related to environmental water requirement and basic human requirement for domestic, agriculture and industrial water purpose. </w:t>
      </w:r>
      <w:r>
        <w:rPr>
          <w:rFonts w:ascii="Cambria Math" w:eastAsia="Cambria Math"/>
        </w:rPr>
        <w:t>𝑆</w:t>
      </w:r>
      <w:r>
        <w:rPr>
          <w:rFonts w:ascii="Cambria Math" w:eastAsia="Cambria Math"/>
          <w:spacing w:val="40"/>
        </w:rPr>
        <w:t> </w:t>
      </w:r>
      <w:r>
        <w:rPr/>
        <w:t>is the percentage of the population/household with access to safe water and sanitation (%). </w:t>
      </w:r>
      <w:r>
        <w:rPr>
          <w:rFonts w:ascii="Cambria Math" w:eastAsia="Cambria Math"/>
        </w:rPr>
        <w:t>𝑇 </w:t>
      </w:r>
      <w:r>
        <w:rPr/>
        <w:t>represents the time required for water collection by the households and is indexed between 0 and 100.</w:t>
      </w:r>
    </w:p>
    <w:p>
      <w:pPr>
        <w:spacing w:after="0" w:line="480" w:lineRule="auto"/>
        <w:jc w:val="both"/>
        <w:sectPr>
          <w:pgSz w:w="12240" w:h="15840"/>
          <w:pgMar w:header="0" w:footer="1068" w:top="1340" w:bottom="1260" w:left="1720" w:right="680"/>
        </w:sectPr>
      </w:pPr>
    </w:p>
    <w:p>
      <w:pPr>
        <w:tabs>
          <w:tab w:pos="9110" w:val="left" w:leader="none"/>
        </w:tabs>
        <w:spacing w:before="68" w:after="53"/>
        <w:ind w:left="267" w:right="0" w:firstLine="0"/>
        <w:jc w:val="both"/>
        <w:rPr>
          <w:b/>
          <w:sz w:val="24"/>
        </w:rPr>
      </w:pPr>
      <w:r>
        <w:rPr>
          <w:b/>
          <w:sz w:val="24"/>
          <w:u w:val="single"/>
        </w:rPr>
        <w:t>Table</w:t>
      </w:r>
      <w:r>
        <w:rPr>
          <w:b/>
          <w:spacing w:val="-2"/>
          <w:sz w:val="24"/>
          <w:u w:val="single"/>
        </w:rPr>
        <w:t> </w:t>
      </w:r>
      <w:r>
        <w:rPr>
          <w:b/>
          <w:sz w:val="24"/>
          <w:u w:val="single"/>
        </w:rPr>
        <w:t>2.3:</w:t>
      </w:r>
      <w:r>
        <w:rPr>
          <w:b/>
          <w:spacing w:val="-1"/>
          <w:sz w:val="24"/>
          <w:u w:val="single"/>
        </w:rPr>
        <w:t> </w:t>
      </w:r>
      <w:r>
        <w:rPr>
          <w:b/>
          <w:sz w:val="24"/>
          <w:u w:val="single"/>
        </w:rPr>
        <w:t>Gap</w:t>
      </w:r>
      <w:r>
        <w:rPr>
          <w:b/>
          <w:spacing w:val="-1"/>
          <w:sz w:val="24"/>
          <w:u w:val="single"/>
        </w:rPr>
        <w:t> </w:t>
      </w:r>
      <w:r>
        <w:rPr>
          <w:b/>
          <w:sz w:val="24"/>
          <w:u w:val="single"/>
        </w:rPr>
        <w:t>Approach</w:t>
      </w:r>
      <w:r>
        <w:rPr>
          <w:b/>
          <w:spacing w:val="-2"/>
          <w:sz w:val="24"/>
          <w:u w:val="single"/>
        </w:rPr>
        <w:t> </w:t>
      </w:r>
      <w:r>
        <w:rPr>
          <w:b/>
          <w:sz w:val="24"/>
          <w:u w:val="single"/>
        </w:rPr>
        <w:t>to</w:t>
      </w:r>
      <w:r>
        <w:rPr>
          <w:b/>
          <w:spacing w:val="-1"/>
          <w:sz w:val="24"/>
          <w:u w:val="single"/>
        </w:rPr>
        <w:t> </w:t>
      </w:r>
      <w:r>
        <w:rPr>
          <w:b/>
          <w:sz w:val="24"/>
          <w:u w:val="single"/>
        </w:rPr>
        <w:t>Water Poverty</w:t>
      </w:r>
      <w:r>
        <w:rPr>
          <w:b/>
          <w:spacing w:val="-1"/>
          <w:sz w:val="24"/>
          <w:u w:val="single"/>
        </w:rPr>
        <w:t> </w:t>
      </w:r>
      <w:r>
        <w:rPr>
          <w:b/>
          <w:spacing w:val="-2"/>
          <w:sz w:val="24"/>
          <w:u w:val="single"/>
        </w:rPr>
        <w:t>Assessment</w:t>
      </w:r>
      <w:r>
        <w:rPr>
          <w:b/>
          <w:sz w:val="24"/>
          <w:u w:val="single"/>
        </w:rPr>
        <w:tab/>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7"/>
        <w:gridCol w:w="2081"/>
        <w:gridCol w:w="1881"/>
        <w:gridCol w:w="1839"/>
        <w:gridCol w:w="2005"/>
      </w:tblGrid>
      <w:tr>
        <w:trPr>
          <w:trHeight w:val="476" w:hRule="atLeast"/>
        </w:trPr>
        <w:tc>
          <w:tcPr>
            <w:tcW w:w="1047" w:type="dxa"/>
          </w:tcPr>
          <w:p>
            <w:pPr>
              <w:pStyle w:val="TableParagraph"/>
              <w:rPr>
                <w:sz w:val="22"/>
              </w:rPr>
            </w:pPr>
          </w:p>
        </w:tc>
        <w:tc>
          <w:tcPr>
            <w:tcW w:w="2081" w:type="dxa"/>
          </w:tcPr>
          <w:p>
            <w:pPr>
              <w:pStyle w:val="TableParagraph"/>
              <w:spacing w:line="203" w:lineRule="exact"/>
              <w:ind w:left="155"/>
              <w:rPr>
                <w:rFonts w:ascii="Calibri"/>
                <w:b/>
                <w:sz w:val="20"/>
              </w:rPr>
            </w:pPr>
            <w:r>
              <w:rPr>
                <w:rFonts w:ascii="Calibri"/>
                <w:b/>
                <w:spacing w:val="-2"/>
                <w:sz w:val="20"/>
              </w:rPr>
              <w:t>Ecosystem</w:t>
            </w:r>
            <w:r>
              <w:rPr>
                <w:rFonts w:ascii="Calibri"/>
                <w:b/>
                <w:spacing w:val="3"/>
                <w:sz w:val="20"/>
              </w:rPr>
              <w:t> </w:t>
            </w:r>
            <w:r>
              <w:rPr>
                <w:rFonts w:ascii="Calibri"/>
                <w:b/>
                <w:spacing w:val="-2"/>
                <w:sz w:val="20"/>
              </w:rPr>
              <w:t>health</w:t>
            </w:r>
          </w:p>
        </w:tc>
        <w:tc>
          <w:tcPr>
            <w:tcW w:w="1881" w:type="dxa"/>
          </w:tcPr>
          <w:p>
            <w:pPr>
              <w:pStyle w:val="TableParagraph"/>
              <w:spacing w:line="203" w:lineRule="exact"/>
              <w:ind w:left="110"/>
              <w:rPr>
                <w:rFonts w:ascii="Calibri"/>
                <w:b/>
                <w:sz w:val="20"/>
              </w:rPr>
            </w:pPr>
            <w:r>
              <w:rPr>
                <w:rFonts w:ascii="Calibri"/>
                <w:b/>
                <w:sz w:val="20"/>
              </w:rPr>
              <w:t>Human</w:t>
            </w:r>
            <w:r>
              <w:rPr>
                <w:rFonts w:ascii="Calibri"/>
                <w:b/>
                <w:spacing w:val="-8"/>
                <w:sz w:val="20"/>
              </w:rPr>
              <w:t> </w:t>
            </w:r>
            <w:r>
              <w:rPr>
                <w:rFonts w:ascii="Calibri"/>
                <w:b/>
                <w:spacing w:val="-2"/>
                <w:sz w:val="20"/>
              </w:rPr>
              <w:t>health</w:t>
            </w:r>
          </w:p>
        </w:tc>
        <w:tc>
          <w:tcPr>
            <w:tcW w:w="1839" w:type="dxa"/>
          </w:tcPr>
          <w:p>
            <w:pPr>
              <w:pStyle w:val="TableParagraph"/>
              <w:tabs>
                <w:tab w:pos="1324" w:val="left" w:leader="none"/>
              </w:tabs>
              <w:spacing w:line="203" w:lineRule="exact"/>
              <w:ind w:left="111"/>
              <w:rPr>
                <w:rFonts w:ascii="Calibri"/>
                <w:b/>
                <w:sz w:val="20"/>
              </w:rPr>
            </w:pPr>
            <w:r>
              <w:rPr>
                <w:rFonts w:ascii="Calibri"/>
                <w:b/>
                <w:spacing w:val="-2"/>
                <w:sz w:val="20"/>
              </w:rPr>
              <w:t>Community</w:t>
            </w:r>
            <w:r>
              <w:rPr>
                <w:rFonts w:ascii="Calibri"/>
                <w:b/>
                <w:sz w:val="20"/>
              </w:rPr>
              <w:tab/>
            </w:r>
            <w:r>
              <w:rPr>
                <w:rFonts w:ascii="Calibri"/>
                <w:b/>
                <w:spacing w:val="-4"/>
                <w:sz w:val="20"/>
              </w:rPr>
              <w:t>well-</w:t>
            </w:r>
          </w:p>
          <w:p>
            <w:pPr>
              <w:pStyle w:val="TableParagraph"/>
              <w:tabs>
                <w:tab w:pos="3848" w:val="left" w:leader="none"/>
              </w:tabs>
              <w:ind w:left="-4995" w:right="-2016"/>
              <w:rPr>
                <w:rFonts w:ascii="Calibri"/>
                <w:b/>
                <w:sz w:val="20"/>
              </w:rPr>
            </w:pPr>
            <w:r>
              <w:rPr>
                <w:rFonts w:ascii="Calibri"/>
                <w:b/>
                <w:spacing w:val="78"/>
                <w:w w:val="150"/>
                <w:sz w:val="20"/>
                <w:u w:val="single"/>
              </w:rPr>
              <w:t>                                   </w:t>
            </w:r>
            <w:r>
              <w:rPr>
                <w:rFonts w:ascii="Calibri"/>
                <w:b/>
                <w:spacing w:val="-4"/>
                <w:sz w:val="20"/>
                <w:u w:val="single"/>
              </w:rPr>
              <w:t>being</w:t>
            </w:r>
            <w:r>
              <w:rPr>
                <w:rFonts w:ascii="Calibri"/>
                <w:b/>
                <w:sz w:val="20"/>
                <w:u w:val="single"/>
              </w:rPr>
              <w:tab/>
            </w:r>
          </w:p>
        </w:tc>
        <w:tc>
          <w:tcPr>
            <w:tcW w:w="2005" w:type="dxa"/>
          </w:tcPr>
          <w:p>
            <w:pPr>
              <w:pStyle w:val="TableParagraph"/>
              <w:spacing w:line="203" w:lineRule="exact"/>
              <w:ind w:left="112"/>
              <w:rPr>
                <w:rFonts w:ascii="Calibri"/>
                <w:b/>
                <w:sz w:val="20"/>
              </w:rPr>
            </w:pPr>
            <w:r>
              <w:rPr>
                <w:rFonts w:ascii="Calibri"/>
                <w:b/>
                <w:sz w:val="20"/>
              </w:rPr>
              <w:t>Economic</w:t>
            </w:r>
            <w:r>
              <w:rPr>
                <w:rFonts w:ascii="Calibri"/>
                <w:b/>
                <w:spacing w:val="-11"/>
                <w:sz w:val="20"/>
              </w:rPr>
              <w:t> </w:t>
            </w:r>
            <w:r>
              <w:rPr>
                <w:rFonts w:ascii="Calibri"/>
                <w:b/>
                <w:spacing w:val="-2"/>
                <w:sz w:val="20"/>
              </w:rPr>
              <w:t>welfare</w:t>
            </w:r>
          </w:p>
        </w:tc>
      </w:tr>
      <w:tr>
        <w:trPr>
          <w:trHeight w:val="2113" w:hRule="atLeast"/>
        </w:trPr>
        <w:tc>
          <w:tcPr>
            <w:tcW w:w="1047" w:type="dxa"/>
          </w:tcPr>
          <w:p>
            <w:pPr>
              <w:pStyle w:val="TableParagraph"/>
              <w:ind w:left="122" w:right="181"/>
              <w:rPr>
                <w:rFonts w:ascii="Calibri"/>
                <w:b/>
                <w:sz w:val="20"/>
              </w:rPr>
            </w:pPr>
            <w:r>
              <w:rPr>
                <w:rFonts w:ascii="Calibri"/>
                <w:b/>
                <w:spacing w:val="-2"/>
                <w:sz w:val="20"/>
              </w:rPr>
              <w:t>Predeter mined standard</w:t>
            </w:r>
          </w:p>
        </w:tc>
        <w:tc>
          <w:tcPr>
            <w:tcW w:w="2081" w:type="dxa"/>
          </w:tcPr>
          <w:p>
            <w:pPr>
              <w:pStyle w:val="TableParagraph"/>
              <w:tabs>
                <w:tab w:pos="1665" w:val="left" w:leader="none"/>
              </w:tabs>
              <w:ind w:left="155" w:right="105"/>
              <w:jc w:val="both"/>
              <w:rPr>
                <w:rFonts w:ascii="Calibri"/>
                <w:sz w:val="20"/>
              </w:rPr>
            </w:pPr>
            <w:r>
              <w:rPr>
                <w:rFonts w:ascii="Calibri"/>
                <w:sz w:val="20"/>
              </w:rPr>
              <w:t>Could be based on biodiversity, </w:t>
            </w:r>
            <w:r>
              <w:rPr>
                <w:rFonts w:ascii="Calibri"/>
                <w:sz w:val="20"/>
              </w:rPr>
              <w:t>waste </w:t>
            </w:r>
            <w:r>
              <w:rPr>
                <w:rFonts w:ascii="Calibri"/>
                <w:spacing w:val="-2"/>
                <w:sz w:val="20"/>
              </w:rPr>
              <w:t>assimilation</w:t>
            </w:r>
            <w:r>
              <w:rPr>
                <w:rFonts w:ascii="Calibri"/>
                <w:sz w:val="20"/>
              </w:rPr>
              <w:tab/>
            </w:r>
            <w:r>
              <w:rPr>
                <w:rFonts w:ascii="Calibri"/>
                <w:spacing w:val="-4"/>
                <w:sz w:val="20"/>
              </w:rPr>
              <w:t>and </w:t>
            </w:r>
            <w:r>
              <w:rPr>
                <w:rFonts w:ascii="Calibri"/>
                <w:sz w:val="20"/>
              </w:rPr>
              <w:t>resource depletion and</w:t>
            </w:r>
            <w:r>
              <w:rPr>
                <w:rFonts w:ascii="Calibri"/>
                <w:spacing w:val="-8"/>
                <w:sz w:val="20"/>
              </w:rPr>
              <w:t> </w:t>
            </w:r>
            <w:r>
              <w:rPr>
                <w:rFonts w:ascii="Calibri"/>
                <w:sz w:val="20"/>
              </w:rPr>
              <w:t>could</w:t>
            </w:r>
            <w:r>
              <w:rPr>
                <w:rFonts w:ascii="Calibri"/>
                <w:spacing w:val="-8"/>
                <w:sz w:val="20"/>
              </w:rPr>
              <w:t> </w:t>
            </w:r>
            <w:r>
              <w:rPr>
                <w:rFonts w:ascii="Calibri"/>
                <w:sz w:val="20"/>
              </w:rPr>
              <w:t>also</w:t>
            </w:r>
            <w:r>
              <w:rPr>
                <w:rFonts w:ascii="Calibri"/>
                <w:spacing w:val="-8"/>
                <w:sz w:val="20"/>
              </w:rPr>
              <w:t> </w:t>
            </w:r>
            <w:r>
              <w:rPr>
                <w:rFonts w:ascii="Calibri"/>
                <w:sz w:val="20"/>
              </w:rPr>
              <w:t>include a measure of water availability (symbol </w:t>
            </w:r>
            <w:r>
              <w:rPr>
                <w:rFonts w:ascii="Calibri"/>
                <w:spacing w:val="-4"/>
                <w:sz w:val="20"/>
              </w:rPr>
              <w:t>EH)</w:t>
            </w:r>
          </w:p>
        </w:tc>
        <w:tc>
          <w:tcPr>
            <w:tcW w:w="1881" w:type="dxa"/>
          </w:tcPr>
          <w:p>
            <w:pPr>
              <w:pStyle w:val="TableParagraph"/>
              <w:ind w:left="110" w:right="103"/>
              <w:jc w:val="both"/>
              <w:rPr>
                <w:rFonts w:ascii="Calibri"/>
                <w:sz w:val="20"/>
              </w:rPr>
            </w:pPr>
            <w:r>
              <w:rPr>
                <w:rFonts w:ascii="Calibri"/>
                <w:sz w:val="20"/>
              </w:rPr>
              <w:t>could be based on infant </w:t>
            </w:r>
            <w:r>
              <w:rPr>
                <w:rFonts w:ascii="Calibri"/>
                <w:sz w:val="20"/>
              </w:rPr>
              <w:t>mortality rates, incidence of selected diseases and life expectancy (symbol HH)</w:t>
            </w:r>
          </w:p>
        </w:tc>
        <w:tc>
          <w:tcPr>
            <w:tcW w:w="1839" w:type="dxa"/>
          </w:tcPr>
          <w:p>
            <w:pPr>
              <w:pStyle w:val="TableParagraph"/>
              <w:tabs>
                <w:tab w:pos="1224" w:val="left" w:leader="none"/>
                <w:tab w:pos="1427" w:val="left" w:leader="none"/>
              </w:tabs>
              <w:ind w:left="111" w:right="103"/>
              <w:rPr>
                <w:rFonts w:ascii="Calibri"/>
                <w:sz w:val="20"/>
              </w:rPr>
            </w:pPr>
            <w:r>
              <w:rPr>
                <w:rFonts w:ascii="Calibri"/>
                <w:sz w:val="20"/>
              </w:rPr>
              <w:t>could</w:t>
            </w:r>
            <w:r>
              <w:rPr>
                <w:rFonts w:ascii="Calibri"/>
                <w:spacing w:val="35"/>
                <w:sz w:val="20"/>
              </w:rPr>
              <w:t> </w:t>
            </w:r>
            <w:r>
              <w:rPr>
                <w:rFonts w:ascii="Calibri"/>
                <w:sz w:val="20"/>
              </w:rPr>
              <w:t>be</w:t>
            </w:r>
            <w:r>
              <w:rPr>
                <w:rFonts w:ascii="Calibri"/>
                <w:spacing w:val="34"/>
                <w:sz w:val="20"/>
              </w:rPr>
              <w:t> </w:t>
            </w:r>
            <w:r>
              <w:rPr>
                <w:rFonts w:ascii="Calibri"/>
                <w:sz w:val="20"/>
              </w:rPr>
              <w:t>based</w:t>
            </w:r>
            <w:r>
              <w:rPr>
                <w:rFonts w:ascii="Calibri"/>
                <w:spacing w:val="35"/>
                <w:sz w:val="20"/>
              </w:rPr>
              <w:t> </w:t>
            </w:r>
            <w:r>
              <w:rPr>
                <w:rFonts w:ascii="Calibri"/>
                <w:sz w:val="20"/>
              </w:rPr>
              <w:t>on crime</w:t>
            </w:r>
            <w:r>
              <w:rPr>
                <w:rFonts w:ascii="Calibri"/>
                <w:spacing w:val="-3"/>
                <w:sz w:val="20"/>
              </w:rPr>
              <w:t> </w:t>
            </w:r>
            <w:r>
              <w:rPr>
                <w:rFonts w:ascii="Calibri"/>
                <w:sz w:val="20"/>
              </w:rPr>
              <w:t>rates,</w:t>
            </w:r>
            <w:r>
              <w:rPr>
                <w:rFonts w:ascii="Calibri"/>
                <w:spacing w:val="-3"/>
                <w:sz w:val="20"/>
              </w:rPr>
              <w:t> </w:t>
            </w:r>
            <w:r>
              <w:rPr>
                <w:rFonts w:ascii="Calibri"/>
                <w:sz w:val="20"/>
              </w:rPr>
              <w:t>marital </w:t>
            </w:r>
            <w:r>
              <w:rPr>
                <w:rFonts w:ascii="Calibri"/>
                <w:spacing w:val="-2"/>
                <w:sz w:val="20"/>
              </w:rPr>
              <w:t>break</w:t>
            </w:r>
            <w:r>
              <w:rPr>
                <w:rFonts w:ascii="Calibri"/>
                <w:sz w:val="20"/>
              </w:rPr>
              <w:tab/>
            </w:r>
            <w:r>
              <w:rPr>
                <w:rFonts w:ascii="Calibri"/>
                <w:spacing w:val="-4"/>
                <w:sz w:val="20"/>
              </w:rPr>
              <w:t>down, </w:t>
            </w:r>
            <w:r>
              <w:rPr>
                <w:rFonts w:ascii="Calibri"/>
                <w:spacing w:val="-2"/>
                <w:sz w:val="20"/>
              </w:rPr>
              <w:t>education</w:t>
            </w:r>
            <w:r>
              <w:rPr>
                <w:rFonts w:ascii="Calibri"/>
                <w:sz w:val="20"/>
              </w:rPr>
              <w:tab/>
              <w:tab/>
            </w:r>
            <w:r>
              <w:rPr>
                <w:rFonts w:ascii="Calibri"/>
                <w:spacing w:val="-4"/>
                <w:sz w:val="20"/>
              </w:rPr>
              <w:t>and </w:t>
            </w:r>
            <w:r>
              <w:rPr>
                <w:rFonts w:ascii="Calibri"/>
                <w:spacing w:val="-2"/>
                <w:sz w:val="20"/>
              </w:rPr>
              <w:t>political participation </w:t>
            </w:r>
            <w:r>
              <w:rPr>
                <w:rFonts w:ascii="Calibri"/>
                <w:sz w:val="20"/>
              </w:rPr>
              <w:t>(symbol CW)</w:t>
            </w:r>
          </w:p>
        </w:tc>
        <w:tc>
          <w:tcPr>
            <w:tcW w:w="2005" w:type="dxa"/>
          </w:tcPr>
          <w:p>
            <w:pPr>
              <w:pStyle w:val="TableParagraph"/>
              <w:tabs>
                <w:tab w:pos="1172" w:val="left" w:leader="none"/>
              </w:tabs>
              <w:ind w:left="112" w:right="101"/>
              <w:jc w:val="both"/>
              <w:rPr>
                <w:rFonts w:ascii="Calibri"/>
                <w:sz w:val="20"/>
              </w:rPr>
            </w:pPr>
            <w:r>
              <w:rPr>
                <w:rFonts w:ascii="Calibri"/>
                <w:sz w:val="20"/>
              </w:rPr>
              <w:t>could</w:t>
            </w:r>
            <w:r>
              <w:rPr>
                <w:rFonts w:ascii="Calibri"/>
                <w:spacing w:val="-12"/>
                <w:sz w:val="20"/>
              </w:rPr>
              <w:t> </w:t>
            </w:r>
            <w:r>
              <w:rPr>
                <w:rFonts w:ascii="Calibri"/>
                <w:sz w:val="20"/>
              </w:rPr>
              <w:t>be</w:t>
            </w:r>
            <w:r>
              <w:rPr>
                <w:rFonts w:ascii="Calibri"/>
                <w:spacing w:val="-11"/>
                <w:sz w:val="20"/>
              </w:rPr>
              <w:t> </w:t>
            </w:r>
            <w:r>
              <w:rPr>
                <w:rFonts w:ascii="Calibri"/>
                <w:sz w:val="20"/>
              </w:rPr>
              <w:t>based</w:t>
            </w:r>
            <w:r>
              <w:rPr>
                <w:rFonts w:ascii="Calibri"/>
                <w:spacing w:val="-11"/>
                <w:sz w:val="20"/>
              </w:rPr>
              <w:t> </w:t>
            </w:r>
            <w:r>
              <w:rPr>
                <w:rFonts w:ascii="Calibri"/>
                <w:sz w:val="20"/>
              </w:rPr>
              <w:t>on</w:t>
            </w:r>
            <w:r>
              <w:rPr>
                <w:rFonts w:ascii="Calibri"/>
                <w:spacing w:val="-12"/>
                <w:sz w:val="20"/>
              </w:rPr>
              <w:t> </w:t>
            </w:r>
            <w:r>
              <w:rPr>
                <w:rFonts w:ascii="Calibri"/>
                <w:sz w:val="20"/>
              </w:rPr>
              <w:t>per </w:t>
            </w:r>
            <w:r>
              <w:rPr>
                <w:rFonts w:ascii="Calibri"/>
                <w:spacing w:val="-2"/>
                <w:sz w:val="20"/>
              </w:rPr>
              <w:t>capital</w:t>
            </w:r>
            <w:r>
              <w:rPr>
                <w:rFonts w:ascii="Calibri"/>
                <w:sz w:val="20"/>
              </w:rPr>
              <w:tab/>
            </w:r>
            <w:r>
              <w:rPr>
                <w:rFonts w:ascii="Calibri"/>
                <w:spacing w:val="-2"/>
                <w:sz w:val="20"/>
              </w:rPr>
              <w:t>incomes, </w:t>
            </w:r>
            <w:r>
              <w:rPr>
                <w:rFonts w:ascii="Calibri"/>
                <w:sz w:val="20"/>
              </w:rPr>
              <w:t>income distribution, reinvestment rates and unemployment (symbol EW)</w:t>
            </w:r>
          </w:p>
        </w:tc>
      </w:tr>
      <w:tr>
        <w:trPr>
          <w:trHeight w:val="1032" w:hRule="atLeast"/>
        </w:trPr>
        <w:tc>
          <w:tcPr>
            <w:tcW w:w="1047" w:type="dxa"/>
          </w:tcPr>
          <w:p>
            <w:pPr>
              <w:pStyle w:val="TableParagraph"/>
              <w:spacing w:before="131"/>
              <w:ind w:left="122" w:right="151"/>
              <w:rPr>
                <w:rFonts w:ascii="Calibri"/>
                <w:b/>
                <w:sz w:val="20"/>
              </w:rPr>
            </w:pPr>
            <w:r>
              <w:rPr>
                <w:rFonts w:ascii="Calibri"/>
                <w:b/>
                <w:spacing w:val="-2"/>
                <w:sz w:val="20"/>
              </w:rPr>
              <w:t>Actual empirical value</w:t>
            </w:r>
          </w:p>
        </w:tc>
        <w:tc>
          <w:tcPr>
            <w:tcW w:w="2081" w:type="dxa"/>
          </w:tcPr>
          <w:p>
            <w:pPr>
              <w:pStyle w:val="TableParagraph"/>
              <w:spacing w:before="131"/>
              <w:ind w:left="155"/>
              <w:rPr>
                <w:rFonts w:ascii="Calibri"/>
                <w:sz w:val="20"/>
              </w:rPr>
            </w:pPr>
            <w:r>
              <w:rPr>
                <w:rFonts w:ascii="Calibri"/>
                <w:sz w:val="20"/>
              </w:rPr>
              <w:t>Symbol</w:t>
            </w:r>
            <w:r>
              <w:rPr>
                <w:rFonts w:ascii="Calibri"/>
                <w:spacing w:val="-8"/>
                <w:sz w:val="20"/>
              </w:rPr>
              <w:t> </w:t>
            </w:r>
            <w:r>
              <w:rPr>
                <w:rFonts w:ascii="Calibri"/>
                <w:spacing w:val="-5"/>
                <w:sz w:val="20"/>
              </w:rPr>
              <w:t>AEH</w:t>
            </w:r>
          </w:p>
        </w:tc>
        <w:tc>
          <w:tcPr>
            <w:tcW w:w="1881" w:type="dxa"/>
          </w:tcPr>
          <w:p>
            <w:pPr>
              <w:pStyle w:val="TableParagraph"/>
              <w:spacing w:before="131"/>
              <w:ind w:left="110"/>
              <w:rPr>
                <w:rFonts w:ascii="Calibri"/>
                <w:sz w:val="20"/>
              </w:rPr>
            </w:pPr>
            <w:r>
              <w:rPr>
                <w:rFonts w:ascii="Calibri"/>
                <w:sz w:val="20"/>
              </w:rPr>
              <w:t>Symbol</w:t>
            </w:r>
            <w:r>
              <w:rPr>
                <w:rFonts w:ascii="Calibri"/>
                <w:spacing w:val="-8"/>
                <w:sz w:val="20"/>
              </w:rPr>
              <w:t> </w:t>
            </w:r>
            <w:r>
              <w:rPr>
                <w:rFonts w:ascii="Calibri"/>
                <w:spacing w:val="-5"/>
                <w:sz w:val="20"/>
              </w:rPr>
              <w:t>AHH</w:t>
            </w:r>
          </w:p>
        </w:tc>
        <w:tc>
          <w:tcPr>
            <w:tcW w:w="1839" w:type="dxa"/>
          </w:tcPr>
          <w:p>
            <w:pPr>
              <w:pStyle w:val="TableParagraph"/>
              <w:spacing w:before="131"/>
              <w:ind w:left="111"/>
              <w:rPr>
                <w:rFonts w:ascii="Calibri"/>
                <w:sz w:val="20"/>
              </w:rPr>
            </w:pPr>
            <w:r>
              <w:rPr>
                <w:rFonts w:ascii="Calibri"/>
                <w:sz w:val="20"/>
              </w:rPr>
              <w:t>symbol</w:t>
            </w:r>
            <w:r>
              <w:rPr>
                <w:rFonts w:ascii="Calibri"/>
                <w:spacing w:val="-10"/>
                <w:sz w:val="20"/>
              </w:rPr>
              <w:t> </w:t>
            </w:r>
            <w:r>
              <w:rPr>
                <w:rFonts w:ascii="Calibri"/>
                <w:spacing w:val="-5"/>
                <w:sz w:val="20"/>
              </w:rPr>
              <w:t>ACW</w:t>
            </w:r>
          </w:p>
        </w:tc>
        <w:tc>
          <w:tcPr>
            <w:tcW w:w="2005" w:type="dxa"/>
          </w:tcPr>
          <w:p>
            <w:pPr>
              <w:pStyle w:val="TableParagraph"/>
              <w:spacing w:before="131"/>
              <w:ind w:left="112"/>
              <w:rPr>
                <w:rFonts w:ascii="Calibri"/>
                <w:sz w:val="20"/>
              </w:rPr>
            </w:pPr>
            <w:r>
              <w:rPr>
                <w:rFonts w:ascii="Calibri"/>
                <w:sz w:val="20"/>
              </w:rPr>
              <w:t>symbol</w:t>
            </w:r>
            <w:r>
              <w:rPr>
                <w:rFonts w:ascii="Calibri"/>
                <w:spacing w:val="-10"/>
                <w:sz w:val="20"/>
              </w:rPr>
              <w:t> </w:t>
            </w:r>
            <w:r>
              <w:rPr>
                <w:rFonts w:ascii="Calibri"/>
                <w:spacing w:val="-5"/>
                <w:sz w:val="20"/>
              </w:rPr>
              <w:t>AEW</w:t>
            </w:r>
          </w:p>
        </w:tc>
      </w:tr>
      <w:tr>
        <w:trPr>
          <w:trHeight w:val="866" w:hRule="atLeast"/>
        </w:trPr>
        <w:tc>
          <w:tcPr>
            <w:tcW w:w="1047" w:type="dxa"/>
            <w:tcBorders>
              <w:bottom w:val="single" w:sz="8" w:space="0" w:color="000000"/>
            </w:tcBorders>
          </w:tcPr>
          <w:p>
            <w:pPr>
              <w:pStyle w:val="TableParagraph"/>
              <w:spacing w:before="131"/>
              <w:ind w:left="122" w:right="273"/>
              <w:rPr>
                <w:rFonts w:ascii="Calibri"/>
                <w:b/>
                <w:sz w:val="20"/>
              </w:rPr>
            </w:pPr>
            <w:r>
              <w:rPr>
                <w:rFonts w:ascii="Calibri"/>
                <w:b/>
                <w:spacing w:val="-2"/>
                <w:sz w:val="20"/>
              </w:rPr>
              <w:t>Water poverty</w:t>
            </w:r>
          </w:p>
          <w:p>
            <w:pPr>
              <w:pStyle w:val="TableParagraph"/>
              <w:spacing w:line="227" w:lineRule="exact"/>
              <w:ind w:left="122"/>
              <w:rPr>
                <w:rFonts w:ascii="Calibri"/>
                <w:b/>
                <w:sz w:val="20"/>
              </w:rPr>
            </w:pPr>
            <w:r>
              <w:rPr>
                <w:rFonts w:ascii="Calibri"/>
                <w:b/>
                <w:sz w:val="20"/>
              </w:rPr>
              <w:t>gap</w:t>
            </w:r>
            <w:r>
              <w:rPr>
                <w:rFonts w:ascii="Calibri"/>
                <w:b/>
                <w:spacing w:val="-6"/>
                <w:sz w:val="20"/>
              </w:rPr>
              <w:t> </w:t>
            </w:r>
            <w:r>
              <w:rPr>
                <w:rFonts w:ascii="Calibri"/>
                <w:b/>
                <w:spacing w:val="-5"/>
                <w:sz w:val="20"/>
              </w:rPr>
              <w:t>WPI</w:t>
            </w:r>
          </w:p>
        </w:tc>
        <w:tc>
          <w:tcPr>
            <w:tcW w:w="2081" w:type="dxa"/>
            <w:tcBorders>
              <w:bottom w:val="single" w:sz="8" w:space="0" w:color="000000"/>
            </w:tcBorders>
          </w:tcPr>
          <w:p>
            <w:pPr>
              <w:pStyle w:val="TableParagraph"/>
              <w:spacing w:before="131"/>
              <w:ind w:left="155"/>
              <w:rPr>
                <w:rFonts w:ascii="Calibri" w:hAnsi="Calibri"/>
                <w:sz w:val="20"/>
              </w:rPr>
            </w:pPr>
            <w:r>
              <w:rPr>
                <w:rFonts w:ascii="Calibri" w:hAnsi="Calibri"/>
                <w:sz w:val="20"/>
              </w:rPr>
              <w:t>EH</w:t>
            </w:r>
            <w:r>
              <w:rPr>
                <w:rFonts w:ascii="Calibri" w:hAnsi="Calibri"/>
                <w:spacing w:val="-2"/>
                <w:sz w:val="20"/>
              </w:rPr>
              <w:t> </w:t>
            </w:r>
            <w:r>
              <w:rPr>
                <w:rFonts w:ascii="Calibri" w:hAnsi="Calibri"/>
                <w:sz w:val="20"/>
              </w:rPr>
              <w:t>‒</w:t>
            </w:r>
            <w:r>
              <w:rPr>
                <w:rFonts w:ascii="Calibri" w:hAnsi="Calibri"/>
                <w:spacing w:val="-2"/>
                <w:sz w:val="20"/>
              </w:rPr>
              <w:t> AEH=eh</w:t>
            </w:r>
          </w:p>
        </w:tc>
        <w:tc>
          <w:tcPr>
            <w:tcW w:w="1881" w:type="dxa"/>
            <w:tcBorders>
              <w:bottom w:val="single" w:sz="8" w:space="0" w:color="000000"/>
            </w:tcBorders>
          </w:tcPr>
          <w:p>
            <w:pPr>
              <w:pStyle w:val="TableParagraph"/>
              <w:spacing w:before="131"/>
              <w:ind w:left="110"/>
              <w:rPr>
                <w:rFonts w:ascii="Calibri" w:hAnsi="Calibri"/>
                <w:sz w:val="20"/>
              </w:rPr>
            </w:pPr>
            <w:r>
              <w:rPr>
                <w:rFonts w:ascii="Calibri" w:hAnsi="Calibri"/>
                <w:sz w:val="20"/>
              </w:rPr>
              <w:t>HH</w:t>
            </w:r>
            <w:r>
              <w:rPr>
                <w:rFonts w:ascii="Calibri" w:hAnsi="Calibri"/>
                <w:spacing w:val="-2"/>
                <w:sz w:val="20"/>
              </w:rPr>
              <w:t> </w:t>
            </w:r>
            <w:r>
              <w:rPr>
                <w:rFonts w:ascii="Calibri" w:hAnsi="Calibri"/>
                <w:sz w:val="20"/>
              </w:rPr>
              <w:t>‒</w:t>
            </w:r>
            <w:r>
              <w:rPr>
                <w:rFonts w:ascii="Calibri" w:hAnsi="Calibri"/>
                <w:spacing w:val="-2"/>
                <w:sz w:val="20"/>
              </w:rPr>
              <w:t> AHH=hh</w:t>
            </w:r>
          </w:p>
        </w:tc>
        <w:tc>
          <w:tcPr>
            <w:tcW w:w="1839" w:type="dxa"/>
            <w:tcBorders>
              <w:bottom w:val="single" w:sz="8" w:space="0" w:color="000000"/>
            </w:tcBorders>
          </w:tcPr>
          <w:p>
            <w:pPr>
              <w:pStyle w:val="TableParagraph"/>
              <w:spacing w:before="131"/>
              <w:ind w:left="111"/>
              <w:rPr>
                <w:rFonts w:ascii="Calibri" w:hAnsi="Calibri"/>
                <w:sz w:val="20"/>
              </w:rPr>
            </w:pPr>
            <w:r>
              <w:rPr>
                <w:rFonts w:ascii="Calibri" w:hAnsi="Calibri"/>
                <w:sz w:val="20"/>
              </w:rPr>
              <w:t>CW</w:t>
            </w:r>
            <w:r>
              <w:rPr>
                <w:rFonts w:ascii="Calibri" w:hAnsi="Calibri"/>
                <w:spacing w:val="-3"/>
                <w:sz w:val="20"/>
              </w:rPr>
              <w:t> </w:t>
            </w:r>
            <w:r>
              <w:rPr>
                <w:rFonts w:ascii="Calibri" w:hAnsi="Calibri"/>
                <w:sz w:val="20"/>
              </w:rPr>
              <w:t>‒</w:t>
            </w:r>
            <w:r>
              <w:rPr>
                <w:rFonts w:ascii="Calibri" w:hAnsi="Calibri"/>
                <w:spacing w:val="-2"/>
                <w:sz w:val="20"/>
              </w:rPr>
              <w:t> ACW=cw</w:t>
            </w:r>
          </w:p>
        </w:tc>
        <w:tc>
          <w:tcPr>
            <w:tcW w:w="2005" w:type="dxa"/>
            <w:tcBorders>
              <w:bottom w:val="single" w:sz="8" w:space="0" w:color="000000"/>
            </w:tcBorders>
          </w:tcPr>
          <w:p>
            <w:pPr>
              <w:pStyle w:val="TableParagraph"/>
              <w:spacing w:before="131"/>
              <w:ind w:left="112"/>
              <w:rPr>
                <w:rFonts w:ascii="Calibri" w:hAnsi="Calibri"/>
                <w:sz w:val="20"/>
              </w:rPr>
            </w:pPr>
            <w:r>
              <w:rPr>
                <w:rFonts w:ascii="Calibri" w:hAnsi="Calibri"/>
                <w:sz w:val="20"/>
              </w:rPr>
              <w:t>EW</w:t>
            </w:r>
            <w:r>
              <w:rPr>
                <w:rFonts w:ascii="Calibri" w:hAnsi="Calibri"/>
                <w:spacing w:val="-2"/>
                <w:sz w:val="20"/>
              </w:rPr>
              <w:t> </w:t>
            </w:r>
            <w:r>
              <w:rPr>
                <w:rFonts w:ascii="Calibri" w:hAnsi="Calibri"/>
                <w:sz w:val="20"/>
              </w:rPr>
              <w:t>‒</w:t>
            </w:r>
            <w:r>
              <w:rPr>
                <w:rFonts w:ascii="Calibri" w:hAnsi="Calibri"/>
                <w:spacing w:val="-3"/>
                <w:sz w:val="20"/>
              </w:rPr>
              <w:t> </w:t>
            </w:r>
            <w:r>
              <w:rPr>
                <w:rFonts w:ascii="Calibri" w:hAnsi="Calibri"/>
                <w:spacing w:val="-2"/>
                <w:sz w:val="20"/>
              </w:rPr>
              <w:t>AEW=ew</w:t>
            </w:r>
          </w:p>
        </w:tc>
      </w:tr>
    </w:tbl>
    <w:p>
      <w:pPr>
        <w:pStyle w:val="BodyText"/>
        <w:spacing w:before="3"/>
        <w:ind w:left="267"/>
        <w:jc w:val="both"/>
      </w:pPr>
      <w:r>
        <w:rPr/>
        <w:t>Source:</w:t>
      </w:r>
      <w:r>
        <w:rPr>
          <w:spacing w:val="-1"/>
        </w:rPr>
        <w:t> </w:t>
      </w:r>
      <w:r>
        <w:rPr/>
        <w:t>Sullivan</w:t>
      </w:r>
      <w:r>
        <w:rPr>
          <w:spacing w:val="-1"/>
        </w:rPr>
        <w:t> </w:t>
      </w:r>
      <w:r>
        <w:rPr>
          <w:spacing w:val="-2"/>
        </w:rPr>
        <w:t>(2002).</w:t>
      </w:r>
    </w:p>
    <w:p>
      <w:pPr>
        <w:pStyle w:val="BodyText"/>
        <w:spacing w:line="480" w:lineRule="auto" w:before="273"/>
        <w:ind w:left="267" w:right="726"/>
        <w:jc w:val="both"/>
      </w:pPr>
      <w:r>
        <w:rPr/>
        <w:t>However, to take into account the negative relationship between time taken per water collection</w:t>
      </w:r>
      <w:r>
        <w:rPr>
          <w:spacing w:val="-13"/>
        </w:rPr>
        <w:t> </w:t>
      </w:r>
      <w:r>
        <w:rPr/>
        <w:t>trip</w:t>
      </w:r>
      <w:r>
        <w:rPr>
          <w:spacing w:val="-12"/>
        </w:rPr>
        <w:t> </w:t>
      </w:r>
      <w:r>
        <w:rPr/>
        <w:t>and</w:t>
      </w:r>
      <w:r>
        <w:rPr>
          <w:spacing w:val="-12"/>
        </w:rPr>
        <w:t> </w:t>
      </w:r>
      <w:r>
        <w:rPr/>
        <w:t>water</w:t>
      </w:r>
      <w:r>
        <w:rPr>
          <w:spacing w:val="-13"/>
        </w:rPr>
        <w:t> </w:t>
      </w:r>
      <w:r>
        <w:rPr/>
        <w:t>poverty</w:t>
      </w:r>
      <w:r>
        <w:rPr>
          <w:spacing w:val="-15"/>
        </w:rPr>
        <w:t> </w:t>
      </w:r>
      <w:r>
        <w:rPr/>
        <w:t>level,</w:t>
      </w:r>
      <w:r>
        <w:rPr>
          <w:spacing w:val="-12"/>
        </w:rPr>
        <w:t> </w:t>
      </w:r>
      <w:r>
        <w:rPr/>
        <w:t>it</w:t>
      </w:r>
      <w:r>
        <w:rPr>
          <w:spacing w:val="-11"/>
        </w:rPr>
        <w:t> </w:t>
      </w:r>
      <w:r>
        <w:rPr/>
        <w:t>can</w:t>
      </w:r>
      <w:r>
        <w:rPr>
          <w:spacing w:val="-12"/>
        </w:rPr>
        <w:t> </w:t>
      </w:r>
      <w:r>
        <w:rPr/>
        <w:t>be</w:t>
      </w:r>
      <w:r>
        <w:rPr>
          <w:spacing w:val="-13"/>
        </w:rPr>
        <w:t> </w:t>
      </w:r>
      <w:r>
        <w:rPr/>
        <w:t>modified</w:t>
      </w:r>
      <w:r>
        <w:rPr>
          <w:spacing w:val="-12"/>
        </w:rPr>
        <w:t> </w:t>
      </w:r>
      <w:r>
        <w:rPr/>
        <w:t>as</w:t>
      </w:r>
      <w:r>
        <w:rPr>
          <w:spacing w:val="-8"/>
        </w:rPr>
        <w:t> </w:t>
      </w:r>
      <w:r>
        <w:rPr>
          <w:rFonts w:ascii="Cambria Math" w:hAnsi="Cambria Math" w:eastAsia="Cambria Math"/>
        </w:rPr>
        <w:t>100 −</w:t>
      </w:r>
      <w:r>
        <w:rPr>
          <w:rFonts w:ascii="Cambria Math" w:hAnsi="Cambria Math" w:eastAsia="Cambria Math"/>
          <w:spacing w:val="-2"/>
        </w:rPr>
        <w:t> </w:t>
      </w:r>
      <w:r>
        <w:rPr>
          <w:rFonts w:ascii="Cambria Math" w:hAnsi="Cambria Math" w:eastAsia="Cambria Math"/>
        </w:rPr>
        <w:t>𝑇.</w:t>
      </w:r>
      <w:r>
        <w:rPr>
          <w:rFonts w:ascii="Cambria Math" w:hAnsi="Cambria Math" w:eastAsia="Cambria Math"/>
          <w:spacing w:val="40"/>
        </w:rPr>
        <w:t> </w:t>
      </w:r>
      <w:r>
        <w:rPr/>
        <w:t>While</w:t>
      </w:r>
      <w:r>
        <w:rPr>
          <w:spacing w:val="-12"/>
        </w:rPr>
        <w:t> </w:t>
      </w:r>
      <w:r>
        <w:rPr>
          <w:rFonts w:ascii="Cambria Math" w:hAnsi="Cambria Math" w:eastAsia="Cambria Math"/>
        </w:rPr>
        <w:t>𝑤𝑎,</w:t>
      </w:r>
      <w:r>
        <w:rPr>
          <w:rFonts w:ascii="Cambria Math" w:hAnsi="Cambria Math" w:eastAsia="Cambria Math"/>
          <w:spacing w:val="-12"/>
        </w:rPr>
        <w:t> </w:t>
      </w:r>
      <w:r>
        <w:rPr>
          <w:rFonts w:ascii="Cambria Math" w:hAnsi="Cambria Math" w:eastAsia="Cambria Math"/>
        </w:rPr>
        <w:t>𝑤𝑠 𝑎𝑛𝑑 𝑤𝑡 </w:t>
      </w:r>
      <w:r>
        <w:rPr/>
        <w:t>are</w:t>
      </w:r>
      <w:r>
        <w:rPr>
          <w:spacing w:val="-10"/>
        </w:rPr>
        <w:t> </w:t>
      </w:r>
      <w:r>
        <w:rPr/>
        <w:t>the</w:t>
      </w:r>
      <w:r>
        <w:rPr>
          <w:spacing w:val="-6"/>
        </w:rPr>
        <w:t> </w:t>
      </w:r>
      <w:r>
        <w:rPr/>
        <w:t>respective</w:t>
      </w:r>
      <w:r>
        <w:rPr>
          <w:spacing w:val="-9"/>
        </w:rPr>
        <w:t> </w:t>
      </w:r>
      <w:r>
        <w:rPr/>
        <w:t>weights</w:t>
      </w:r>
      <w:r>
        <w:rPr>
          <w:spacing w:val="-8"/>
        </w:rPr>
        <w:t> </w:t>
      </w:r>
      <w:r>
        <w:rPr/>
        <w:t>given</w:t>
      </w:r>
      <w:r>
        <w:rPr>
          <w:spacing w:val="-9"/>
        </w:rPr>
        <w:t> </w:t>
      </w:r>
      <w:r>
        <w:rPr/>
        <w:t>to</w:t>
      </w:r>
      <w:r>
        <w:rPr>
          <w:spacing w:val="-8"/>
        </w:rPr>
        <w:t> </w:t>
      </w:r>
      <w:r>
        <w:rPr/>
        <w:t>water</w:t>
      </w:r>
      <w:r>
        <w:rPr>
          <w:spacing w:val="-9"/>
        </w:rPr>
        <w:t> </w:t>
      </w:r>
      <w:r>
        <w:rPr/>
        <w:t>availability,</w:t>
      </w:r>
      <w:r>
        <w:rPr>
          <w:spacing w:val="-8"/>
        </w:rPr>
        <w:t> </w:t>
      </w:r>
      <w:r>
        <w:rPr/>
        <w:t>proportion</w:t>
      </w:r>
      <w:r>
        <w:rPr>
          <w:spacing w:val="-8"/>
        </w:rPr>
        <w:t> </w:t>
      </w:r>
      <w:r>
        <w:rPr/>
        <w:t>of</w:t>
      </w:r>
      <w:r>
        <w:rPr>
          <w:spacing w:val="-9"/>
        </w:rPr>
        <w:t> </w:t>
      </w:r>
      <w:r>
        <w:rPr/>
        <w:t>household</w:t>
      </w:r>
      <w:r>
        <w:rPr>
          <w:spacing w:val="-8"/>
        </w:rPr>
        <w:t> </w:t>
      </w:r>
      <w:r>
        <w:rPr/>
        <w:t>with</w:t>
      </w:r>
      <w:r>
        <w:rPr>
          <w:spacing w:val="-8"/>
        </w:rPr>
        <w:t> </w:t>
      </w:r>
      <w:r>
        <w:rPr/>
        <w:t>access</w:t>
      </w:r>
      <w:r>
        <w:rPr>
          <w:spacing w:val="-8"/>
        </w:rPr>
        <w:t> </w:t>
      </w:r>
      <w:r>
        <w:rPr/>
        <w:t>to safe water and sanitation and the time required for water collection trip. To cap it all, the higher the final value of the water poverty index after aggregation of the three components, the</w:t>
      </w:r>
      <w:r>
        <w:rPr>
          <w:spacing w:val="-15"/>
        </w:rPr>
        <w:t> </w:t>
      </w:r>
      <w:r>
        <w:rPr/>
        <w:t>lower</w:t>
      </w:r>
      <w:r>
        <w:rPr>
          <w:spacing w:val="-15"/>
        </w:rPr>
        <w:t> </w:t>
      </w:r>
      <w:r>
        <w:rPr/>
        <w:t>the</w:t>
      </w:r>
      <w:r>
        <w:rPr>
          <w:spacing w:val="-15"/>
        </w:rPr>
        <w:t> </w:t>
      </w:r>
      <w:r>
        <w:rPr/>
        <w:t>degree</w:t>
      </w:r>
      <w:r>
        <w:rPr>
          <w:spacing w:val="-15"/>
        </w:rPr>
        <w:t> </w:t>
      </w:r>
      <w:r>
        <w:rPr/>
        <w:t>of</w:t>
      </w:r>
      <w:r>
        <w:rPr>
          <w:spacing w:val="-15"/>
        </w:rPr>
        <w:t> </w:t>
      </w:r>
      <w:r>
        <w:rPr/>
        <w:t>water</w:t>
      </w:r>
      <w:r>
        <w:rPr>
          <w:spacing w:val="-15"/>
        </w:rPr>
        <w:t> </w:t>
      </w:r>
      <w:r>
        <w:rPr/>
        <w:t>stress.</w:t>
      </w:r>
      <w:r>
        <w:rPr>
          <w:spacing w:val="-14"/>
        </w:rPr>
        <w:t> </w:t>
      </w:r>
      <w:r>
        <w:rPr/>
        <w:t>The</w:t>
      </w:r>
      <w:r>
        <w:rPr>
          <w:spacing w:val="-15"/>
        </w:rPr>
        <w:t> </w:t>
      </w:r>
      <w:r>
        <w:rPr/>
        <w:t>problem</w:t>
      </w:r>
      <w:r>
        <w:rPr>
          <w:spacing w:val="-13"/>
        </w:rPr>
        <w:t> </w:t>
      </w:r>
      <w:r>
        <w:rPr/>
        <w:t>of</w:t>
      </w:r>
      <w:r>
        <w:rPr>
          <w:spacing w:val="-12"/>
        </w:rPr>
        <w:t> </w:t>
      </w:r>
      <w:r>
        <w:rPr/>
        <w:t>incommensurability</w:t>
      </w:r>
      <w:r>
        <w:rPr>
          <w:spacing w:val="-15"/>
        </w:rPr>
        <w:t> </w:t>
      </w:r>
      <w:r>
        <w:rPr/>
        <w:t>as</w:t>
      </w:r>
      <w:r>
        <w:rPr>
          <w:spacing w:val="-10"/>
        </w:rPr>
        <w:t> </w:t>
      </w:r>
      <w:r>
        <w:rPr/>
        <w:t>noted</w:t>
      </w:r>
      <w:r>
        <w:rPr>
          <w:spacing w:val="-15"/>
        </w:rPr>
        <w:t> </w:t>
      </w:r>
      <w:r>
        <w:rPr/>
        <w:t>by</w:t>
      </w:r>
      <w:r>
        <w:rPr>
          <w:spacing w:val="-15"/>
        </w:rPr>
        <w:t> </w:t>
      </w:r>
      <w:r>
        <w:rPr/>
        <w:t>Sullivan (2002) hardly arise in this method as the index comprises of components which can be compared as they are all expressed as a percentage or index number.</w:t>
      </w:r>
    </w:p>
    <w:p>
      <w:pPr>
        <w:pStyle w:val="BodyText"/>
        <w:spacing w:before="10"/>
      </w:pPr>
    </w:p>
    <w:p>
      <w:pPr>
        <w:pStyle w:val="Heading1"/>
        <w:numPr>
          <w:ilvl w:val="1"/>
          <w:numId w:val="6"/>
        </w:numPr>
        <w:tabs>
          <w:tab w:pos="807" w:val="left" w:leader="none"/>
        </w:tabs>
        <w:spacing w:line="240" w:lineRule="auto" w:before="0" w:after="0"/>
        <w:ind w:left="807" w:right="0" w:hanging="540"/>
        <w:jc w:val="left"/>
      </w:pPr>
      <w:r>
        <w:rPr/>
        <w:t>Water</w:t>
      </w:r>
      <w:r>
        <w:rPr>
          <w:spacing w:val="-2"/>
        </w:rPr>
        <w:t> </w:t>
      </w:r>
      <w:r>
        <w:rPr/>
        <w:t>Poverty</w:t>
      </w:r>
      <w:r>
        <w:rPr>
          <w:spacing w:val="-2"/>
        </w:rPr>
        <w:t> </w:t>
      </w:r>
      <w:r>
        <w:rPr/>
        <w:t>Assessment</w:t>
      </w:r>
      <w:r>
        <w:rPr>
          <w:spacing w:val="-1"/>
        </w:rPr>
        <w:t> </w:t>
      </w:r>
      <w:r>
        <w:rPr>
          <w:spacing w:val="-2"/>
        </w:rPr>
        <w:t>Framework</w:t>
      </w:r>
    </w:p>
    <w:p>
      <w:pPr>
        <w:pStyle w:val="BodyText"/>
        <w:spacing w:before="14"/>
        <w:rPr>
          <w:b/>
        </w:rPr>
      </w:pPr>
    </w:p>
    <w:p>
      <w:pPr>
        <w:pStyle w:val="BodyText"/>
        <w:spacing w:line="480" w:lineRule="auto" w:before="1"/>
        <w:ind w:left="267" w:right="724"/>
        <w:jc w:val="both"/>
      </w:pPr>
      <w:r>
        <w:rPr/>
        <w:t>While</w:t>
      </w:r>
      <w:r>
        <w:rPr>
          <w:spacing w:val="-11"/>
        </w:rPr>
        <w:t> </w:t>
      </w:r>
      <w:r>
        <w:rPr/>
        <w:t>water</w:t>
      </w:r>
      <w:r>
        <w:rPr>
          <w:spacing w:val="-11"/>
        </w:rPr>
        <w:t> </w:t>
      </w:r>
      <w:r>
        <w:rPr/>
        <w:t>poverty</w:t>
      </w:r>
      <w:r>
        <w:rPr>
          <w:spacing w:val="-14"/>
        </w:rPr>
        <w:t> </w:t>
      </w:r>
      <w:r>
        <w:rPr/>
        <w:t>has</w:t>
      </w:r>
      <w:r>
        <w:rPr>
          <w:spacing w:val="-5"/>
        </w:rPr>
        <w:t> </w:t>
      </w:r>
      <w:r>
        <w:rPr/>
        <w:t>been</w:t>
      </w:r>
      <w:r>
        <w:rPr>
          <w:spacing w:val="-10"/>
        </w:rPr>
        <w:t> </w:t>
      </w:r>
      <w:r>
        <w:rPr/>
        <w:t>widely</w:t>
      </w:r>
      <w:r>
        <w:rPr>
          <w:spacing w:val="-12"/>
        </w:rPr>
        <w:t> </w:t>
      </w:r>
      <w:r>
        <w:rPr/>
        <w:t>acknowledged</w:t>
      </w:r>
      <w:r>
        <w:rPr>
          <w:spacing w:val="-10"/>
        </w:rPr>
        <w:t> </w:t>
      </w:r>
      <w:r>
        <w:rPr/>
        <w:t>as</w:t>
      </w:r>
      <w:r>
        <w:rPr>
          <w:spacing w:val="-7"/>
        </w:rPr>
        <w:t> </w:t>
      </w:r>
      <w:r>
        <w:rPr/>
        <w:t>a</w:t>
      </w:r>
      <w:r>
        <w:rPr>
          <w:spacing w:val="-11"/>
        </w:rPr>
        <w:t> </w:t>
      </w:r>
      <w:r>
        <w:rPr/>
        <w:t>multidimensional</w:t>
      </w:r>
      <w:r>
        <w:rPr>
          <w:spacing w:val="-7"/>
        </w:rPr>
        <w:t> </w:t>
      </w:r>
      <w:r>
        <w:rPr/>
        <w:t>tool</w:t>
      </w:r>
      <w:r>
        <w:rPr>
          <w:spacing w:val="-9"/>
        </w:rPr>
        <w:t> </w:t>
      </w:r>
      <w:r>
        <w:rPr/>
        <w:t>for</w:t>
      </w:r>
      <w:r>
        <w:rPr>
          <w:spacing w:val="-11"/>
        </w:rPr>
        <w:t> </w:t>
      </w:r>
      <w:r>
        <w:rPr/>
        <w:t>assessing progress in water activities and prioritizing water management decisions (Sullivan </w:t>
      </w:r>
      <w:r>
        <w:rPr>
          <w:i/>
        </w:rPr>
        <w:t>et al.</w:t>
      </w:r>
      <w:r>
        <w:rPr/>
        <w:t>, 2006;</w:t>
      </w:r>
      <w:r>
        <w:rPr>
          <w:spacing w:val="-15"/>
        </w:rPr>
        <w:t> </w:t>
      </w:r>
      <w:r>
        <w:rPr/>
        <w:t>Xin</w:t>
      </w:r>
      <w:r>
        <w:rPr>
          <w:spacing w:val="-15"/>
        </w:rPr>
        <w:t> </w:t>
      </w:r>
      <w:r>
        <w:rPr>
          <w:i/>
        </w:rPr>
        <w:t>et</w:t>
      </w:r>
      <w:r>
        <w:rPr>
          <w:i/>
          <w:spacing w:val="-15"/>
        </w:rPr>
        <w:t> </w:t>
      </w:r>
      <w:r>
        <w:rPr>
          <w:i/>
        </w:rPr>
        <w:t>al.</w:t>
      </w:r>
      <w:r>
        <w:rPr/>
        <w:t>,</w:t>
      </w:r>
      <w:r>
        <w:rPr>
          <w:spacing w:val="-15"/>
        </w:rPr>
        <w:t> </w:t>
      </w:r>
      <w:r>
        <w:rPr/>
        <w:t>2011;</w:t>
      </w:r>
      <w:r>
        <w:rPr>
          <w:spacing w:val="-15"/>
        </w:rPr>
        <w:t> </w:t>
      </w:r>
      <w:r>
        <w:rPr/>
        <w:t>Sullivan</w:t>
      </w:r>
      <w:r>
        <w:rPr>
          <w:spacing w:val="-15"/>
        </w:rPr>
        <w:t> </w:t>
      </w:r>
      <w:r>
        <w:rPr/>
        <w:t>and</w:t>
      </w:r>
      <w:r>
        <w:rPr>
          <w:spacing w:val="-15"/>
        </w:rPr>
        <w:t> </w:t>
      </w:r>
      <w:r>
        <w:rPr/>
        <w:t>Jemmali,</w:t>
      </w:r>
      <w:r>
        <w:rPr>
          <w:spacing w:val="-15"/>
        </w:rPr>
        <w:t> </w:t>
      </w:r>
      <w:r>
        <w:rPr/>
        <w:t>2014;</w:t>
      </w:r>
      <w:r>
        <w:rPr>
          <w:spacing w:val="-15"/>
        </w:rPr>
        <w:t> </w:t>
      </w:r>
      <w:r>
        <w:rPr/>
        <w:t>El-Gafy,</w:t>
      </w:r>
      <w:r>
        <w:rPr>
          <w:spacing w:val="-15"/>
        </w:rPr>
        <w:t> </w:t>
      </w:r>
      <w:r>
        <w:rPr/>
        <w:t>2018)</w:t>
      </w:r>
      <w:r>
        <w:rPr>
          <w:spacing w:val="-15"/>
        </w:rPr>
        <w:t> </w:t>
      </w:r>
      <w:r>
        <w:rPr/>
        <w:t>its</w:t>
      </w:r>
      <w:r>
        <w:rPr>
          <w:spacing w:val="-15"/>
        </w:rPr>
        <w:t> </w:t>
      </w:r>
      <w:r>
        <w:rPr/>
        <w:t>assessment</w:t>
      </w:r>
      <w:r>
        <w:rPr>
          <w:spacing w:val="-15"/>
        </w:rPr>
        <w:t> </w:t>
      </w:r>
      <w:r>
        <w:rPr/>
        <w:t>framework is</w:t>
      </w:r>
      <w:r>
        <w:rPr>
          <w:spacing w:val="-13"/>
        </w:rPr>
        <w:t> </w:t>
      </w:r>
      <w:r>
        <w:rPr/>
        <w:t>in</w:t>
      </w:r>
      <w:r>
        <w:rPr>
          <w:spacing w:val="-11"/>
        </w:rPr>
        <w:t> </w:t>
      </w:r>
      <w:r>
        <w:rPr/>
        <w:t>three</w:t>
      </w:r>
      <w:r>
        <w:rPr>
          <w:spacing w:val="-12"/>
        </w:rPr>
        <w:t> </w:t>
      </w:r>
      <w:r>
        <w:rPr/>
        <w:t>(3)</w:t>
      </w:r>
      <w:r>
        <w:rPr>
          <w:spacing w:val="-13"/>
        </w:rPr>
        <w:t> </w:t>
      </w:r>
      <w:r>
        <w:rPr/>
        <w:t>generic</w:t>
      </w:r>
      <w:r>
        <w:rPr>
          <w:spacing w:val="-12"/>
        </w:rPr>
        <w:t> </w:t>
      </w:r>
      <w:r>
        <w:rPr/>
        <w:t>stages</w:t>
      </w:r>
      <w:r>
        <w:rPr>
          <w:spacing w:val="-11"/>
        </w:rPr>
        <w:t> </w:t>
      </w:r>
      <w:r>
        <w:rPr/>
        <w:t>consisting</w:t>
      </w:r>
      <w:r>
        <w:rPr>
          <w:spacing w:val="-13"/>
        </w:rPr>
        <w:t> </w:t>
      </w:r>
      <w:r>
        <w:rPr/>
        <w:t>of</w:t>
      </w:r>
      <w:r>
        <w:rPr>
          <w:spacing w:val="-12"/>
        </w:rPr>
        <w:t> </w:t>
      </w:r>
      <w:r>
        <w:rPr/>
        <w:t>eight</w:t>
      </w:r>
      <w:r>
        <w:rPr>
          <w:spacing w:val="-11"/>
        </w:rPr>
        <w:t> </w:t>
      </w:r>
      <w:r>
        <w:rPr/>
        <w:t>steps</w:t>
      </w:r>
      <w:r>
        <w:rPr>
          <w:spacing w:val="-8"/>
        </w:rPr>
        <w:t> </w:t>
      </w:r>
      <w:r>
        <w:rPr/>
        <w:t>(Nardo</w:t>
      </w:r>
      <w:r>
        <w:rPr>
          <w:spacing w:val="-12"/>
        </w:rPr>
        <w:t> </w:t>
      </w:r>
      <w:r>
        <w:rPr>
          <w:i/>
        </w:rPr>
        <w:t>et</w:t>
      </w:r>
      <w:r>
        <w:rPr>
          <w:i/>
          <w:spacing w:val="-11"/>
        </w:rPr>
        <w:t> </w:t>
      </w:r>
      <w:r>
        <w:rPr>
          <w:i/>
        </w:rPr>
        <w:t>al.</w:t>
      </w:r>
      <w:r>
        <w:rPr/>
        <w:t>,</w:t>
      </w:r>
      <w:r>
        <w:rPr>
          <w:spacing w:val="-11"/>
        </w:rPr>
        <w:t> </w:t>
      </w:r>
      <w:r>
        <w:rPr/>
        <w:t>2008;</w:t>
      </w:r>
      <w:r>
        <w:rPr>
          <w:spacing w:val="-11"/>
        </w:rPr>
        <w:t> </w:t>
      </w:r>
      <w:r>
        <w:rPr/>
        <w:t>Garriga</w:t>
      </w:r>
      <w:r>
        <w:rPr>
          <w:spacing w:val="-10"/>
        </w:rPr>
        <w:t> </w:t>
      </w:r>
      <w:r>
        <w:rPr/>
        <w:t>and</w:t>
      </w:r>
      <w:r>
        <w:rPr>
          <w:spacing w:val="-11"/>
        </w:rPr>
        <w:t> </w:t>
      </w:r>
      <w:r>
        <w:rPr>
          <w:spacing w:val="-2"/>
        </w:rPr>
        <w:t>Foguet,</w:t>
      </w:r>
    </w:p>
    <w:p>
      <w:pPr>
        <w:spacing w:after="0" w:line="480" w:lineRule="auto"/>
        <w:jc w:val="both"/>
        <w:sectPr>
          <w:pgSz w:w="12240" w:h="15840"/>
          <w:pgMar w:header="0" w:footer="1068" w:top="1340" w:bottom="1260" w:left="1720" w:right="680"/>
        </w:sectPr>
      </w:pPr>
    </w:p>
    <w:p>
      <w:pPr>
        <w:pStyle w:val="BodyText"/>
        <w:spacing w:line="480" w:lineRule="auto" w:before="63"/>
        <w:ind w:left="267" w:right="725"/>
        <w:jc w:val="both"/>
      </w:pPr>
      <w:r>
        <w:rPr/>
        <w:t>2010; Korc and Ford, 2013). The analytical framework for the assessment of water poverty index</w:t>
      </w:r>
      <w:r>
        <w:rPr>
          <w:spacing w:val="-15"/>
        </w:rPr>
        <w:t> </w:t>
      </w:r>
      <w:r>
        <w:rPr/>
        <w:t>is</w:t>
      </w:r>
      <w:r>
        <w:rPr>
          <w:spacing w:val="-14"/>
        </w:rPr>
        <w:t> </w:t>
      </w:r>
      <w:r>
        <w:rPr/>
        <w:t>diagrammatically</w:t>
      </w:r>
      <w:r>
        <w:rPr>
          <w:spacing w:val="-15"/>
        </w:rPr>
        <w:t> </w:t>
      </w:r>
      <w:r>
        <w:rPr/>
        <w:t>illustrated</w:t>
      </w:r>
      <w:r>
        <w:rPr>
          <w:spacing w:val="-15"/>
        </w:rPr>
        <w:t> </w:t>
      </w:r>
      <w:r>
        <w:rPr/>
        <w:t>in</w:t>
      </w:r>
      <w:r>
        <w:rPr>
          <w:spacing w:val="-12"/>
        </w:rPr>
        <w:t> </w:t>
      </w:r>
      <w:r>
        <w:rPr/>
        <w:t>the</w:t>
      </w:r>
      <w:r>
        <w:rPr>
          <w:spacing w:val="-15"/>
        </w:rPr>
        <w:t> </w:t>
      </w:r>
      <w:r>
        <w:rPr/>
        <w:t>Figure</w:t>
      </w:r>
      <w:r>
        <w:rPr>
          <w:spacing w:val="-12"/>
        </w:rPr>
        <w:t> </w:t>
      </w:r>
      <w:r>
        <w:rPr/>
        <w:t>2.11.</w:t>
      </w:r>
      <w:r>
        <w:rPr>
          <w:spacing w:val="-14"/>
        </w:rPr>
        <w:t> </w:t>
      </w:r>
      <w:r>
        <w:rPr/>
        <w:t>As</w:t>
      </w:r>
      <w:r>
        <w:rPr>
          <w:spacing w:val="-15"/>
        </w:rPr>
        <w:t> </w:t>
      </w:r>
      <w:r>
        <w:rPr/>
        <w:t>highlighted</w:t>
      </w:r>
      <w:r>
        <w:rPr>
          <w:spacing w:val="-15"/>
        </w:rPr>
        <w:t> </w:t>
      </w:r>
      <w:r>
        <w:rPr/>
        <w:t>in</w:t>
      </w:r>
      <w:r>
        <w:rPr>
          <w:spacing w:val="-14"/>
        </w:rPr>
        <w:t> </w:t>
      </w:r>
      <w:r>
        <w:rPr/>
        <w:t>the</w:t>
      </w:r>
      <w:r>
        <w:rPr>
          <w:spacing w:val="-15"/>
        </w:rPr>
        <w:t> </w:t>
      </w:r>
      <w:r>
        <w:rPr/>
        <w:t>separate</w:t>
      </w:r>
      <w:r>
        <w:rPr>
          <w:spacing w:val="-15"/>
        </w:rPr>
        <w:t> </w:t>
      </w:r>
      <w:r>
        <w:rPr/>
        <w:t>studies by</w:t>
      </w:r>
      <w:r>
        <w:rPr>
          <w:spacing w:val="-15"/>
        </w:rPr>
        <w:t> </w:t>
      </w:r>
      <w:r>
        <w:rPr/>
        <w:t>Garriga</w:t>
      </w:r>
      <w:r>
        <w:rPr>
          <w:spacing w:val="-15"/>
        </w:rPr>
        <w:t> </w:t>
      </w:r>
      <w:r>
        <w:rPr/>
        <w:t>and</w:t>
      </w:r>
      <w:r>
        <w:rPr>
          <w:spacing w:val="-15"/>
        </w:rPr>
        <w:t> </w:t>
      </w:r>
      <w:r>
        <w:rPr/>
        <w:t>Foguet</w:t>
      </w:r>
      <w:r>
        <w:rPr>
          <w:spacing w:val="-15"/>
        </w:rPr>
        <w:t> </w:t>
      </w:r>
      <w:r>
        <w:rPr/>
        <w:t>(2010)</w:t>
      </w:r>
      <w:r>
        <w:rPr>
          <w:spacing w:val="-15"/>
        </w:rPr>
        <w:t> </w:t>
      </w:r>
      <w:r>
        <w:rPr/>
        <w:t>and</w:t>
      </w:r>
      <w:r>
        <w:rPr>
          <w:spacing w:val="-14"/>
        </w:rPr>
        <w:t> </w:t>
      </w:r>
      <w:r>
        <w:rPr/>
        <w:t>Korc</w:t>
      </w:r>
      <w:r>
        <w:rPr>
          <w:spacing w:val="-15"/>
        </w:rPr>
        <w:t> </w:t>
      </w:r>
      <w:r>
        <w:rPr/>
        <w:t>and</w:t>
      </w:r>
      <w:r>
        <w:rPr>
          <w:spacing w:val="-14"/>
        </w:rPr>
        <w:t> </w:t>
      </w:r>
      <w:r>
        <w:rPr/>
        <w:t>Ford</w:t>
      </w:r>
      <w:r>
        <w:rPr>
          <w:spacing w:val="-15"/>
        </w:rPr>
        <w:t> </w:t>
      </w:r>
      <w:r>
        <w:rPr/>
        <w:t>(2013),</w:t>
      </w:r>
      <w:r>
        <w:rPr>
          <w:spacing w:val="-14"/>
        </w:rPr>
        <w:t> </w:t>
      </w:r>
      <w:r>
        <w:rPr/>
        <w:t>the</w:t>
      </w:r>
      <w:r>
        <w:rPr>
          <w:spacing w:val="-15"/>
        </w:rPr>
        <w:t> </w:t>
      </w:r>
      <w:r>
        <w:rPr/>
        <w:t>stages</w:t>
      </w:r>
      <w:r>
        <w:rPr>
          <w:spacing w:val="-14"/>
        </w:rPr>
        <w:t> </w:t>
      </w:r>
      <w:r>
        <w:rPr/>
        <w:t>involved</w:t>
      </w:r>
      <w:r>
        <w:rPr>
          <w:spacing w:val="-14"/>
        </w:rPr>
        <w:t> </w:t>
      </w:r>
      <w:r>
        <w:rPr/>
        <w:t>in</w:t>
      </w:r>
      <w:r>
        <w:rPr>
          <w:spacing w:val="-14"/>
        </w:rPr>
        <w:t> </w:t>
      </w:r>
      <w:r>
        <w:rPr/>
        <w:t>water</w:t>
      </w:r>
      <w:r>
        <w:rPr>
          <w:spacing w:val="-15"/>
        </w:rPr>
        <w:t> </w:t>
      </w:r>
      <w:r>
        <w:rPr/>
        <w:t>poverty application can be sequentially surmised as:</w:t>
      </w:r>
    </w:p>
    <w:p>
      <w:pPr>
        <w:pStyle w:val="ListParagraph"/>
        <w:numPr>
          <w:ilvl w:val="0"/>
          <w:numId w:val="8"/>
        </w:numPr>
        <w:tabs>
          <w:tab w:pos="986" w:val="left" w:leader="none"/>
        </w:tabs>
        <w:spacing w:line="240" w:lineRule="auto" w:before="0" w:after="0"/>
        <w:ind w:left="986" w:right="0" w:hanging="359"/>
        <w:jc w:val="both"/>
        <w:rPr>
          <w:sz w:val="24"/>
        </w:rPr>
      </w:pPr>
      <w:r>
        <w:rPr>
          <w:sz w:val="24"/>
        </w:rPr>
        <w:t>The</w:t>
      </w:r>
      <w:r>
        <w:rPr>
          <w:spacing w:val="-2"/>
          <w:sz w:val="24"/>
        </w:rPr>
        <w:t> </w:t>
      </w:r>
      <w:r>
        <w:rPr>
          <w:sz w:val="24"/>
        </w:rPr>
        <w:t>selection of</w:t>
      </w:r>
      <w:r>
        <w:rPr>
          <w:spacing w:val="-1"/>
          <w:sz w:val="24"/>
        </w:rPr>
        <w:t> </w:t>
      </w:r>
      <w:r>
        <w:rPr>
          <w:sz w:val="24"/>
        </w:rPr>
        <w:t>water</w:t>
      </w:r>
      <w:r>
        <w:rPr>
          <w:spacing w:val="-2"/>
          <w:sz w:val="24"/>
        </w:rPr>
        <w:t> </w:t>
      </w:r>
      <w:r>
        <w:rPr>
          <w:sz w:val="24"/>
        </w:rPr>
        <w:t>poverty</w:t>
      </w:r>
      <w:r>
        <w:rPr>
          <w:spacing w:val="-3"/>
          <w:sz w:val="24"/>
        </w:rPr>
        <w:t> </w:t>
      </w:r>
      <w:r>
        <w:rPr>
          <w:sz w:val="24"/>
        </w:rPr>
        <w:t>components and water</w:t>
      </w:r>
      <w:r>
        <w:rPr>
          <w:spacing w:val="-2"/>
          <w:sz w:val="24"/>
        </w:rPr>
        <w:t> </w:t>
      </w:r>
      <w:r>
        <w:rPr>
          <w:sz w:val="24"/>
        </w:rPr>
        <w:t>poverty</w:t>
      </w:r>
      <w:r>
        <w:rPr>
          <w:spacing w:val="-5"/>
          <w:sz w:val="24"/>
        </w:rPr>
        <w:t> </w:t>
      </w:r>
      <w:r>
        <w:rPr>
          <w:spacing w:val="-2"/>
          <w:sz w:val="24"/>
        </w:rPr>
        <w:t>indicators;</w:t>
      </w:r>
    </w:p>
    <w:p>
      <w:pPr>
        <w:pStyle w:val="BodyText"/>
      </w:pPr>
    </w:p>
    <w:p>
      <w:pPr>
        <w:pStyle w:val="ListParagraph"/>
        <w:numPr>
          <w:ilvl w:val="0"/>
          <w:numId w:val="8"/>
        </w:numPr>
        <w:tabs>
          <w:tab w:pos="986" w:val="left" w:leader="none"/>
        </w:tabs>
        <w:spacing w:line="240" w:lineRule="auto" w:before="0" w:after="0"/>
        <w:ind w:left="986" w:right="0" w:hanging="359"/>
        <w:jc w:val="both"/>
        <w:rPr>
          <w:sz w:val="24"/>
        </w:rPr>
      </w:pPr>
      <w:r>
        <w:rPr>
          <w:sz w:val="24"/>
        </w:rPr>
        <w:t>The</w:t>
      </w:r>
      <w:r>
        <w:rPr>
          <w:spacing w:val="-2"/>
          <w:sz w:val="24"/>
        </w:rPr>
        <w:t> </w:t>
      </w:r>
      <w:r>
        <w:rPr>
          <w:sz w:val="24"/>
        </w:rPr>
        <w:t>construction of the</w:t>
      </w:r>
      <w:r>
        <w:rPr>
          <w:spacing w:val="1"/>
          <w:sz w:val="24"/>
        </w:rPr>
        <w:t> </w:t>
      </w:r>
      <w:r>
        <w:rPr>
          <w:sz w:val="24"/>
        </w:rPr>
        <w:t>water</w:t>
      </w:r>
      <w:r>
        <w:rPr>
          <w:spacing w:val="-2"/>
          <w:sz w:val="24"/>
        </w:rPr>
        <w:t> </w:t>
      </w:r>
      <w:r>
        <w:rPr>
          <w:sz w:val="24"/>
        </w:rPr>
        <w:t>poverty</w:t>
      </w:r>
      <w:r>
        <w:rPr>
          <w:spacing w:val="-5"/>
          <w:sz w:val="24"/>
        </w:rPr>
        <w:t> </w:t>
      </w:r>
      <w:r>
        <w:rPr>
          <w:sz w:val="24"/>
        </w:rPr>
        <w:t>index</w:t>
      </w:r>
      <w:r>
        <w:rPr>
          <w:spacing w:val="1"/>
          <w:sz w:val="24"/>
        </w:rPr>
        <w:t> </w:t>
      </w:r>
      <w:r>
        <w:rPr>
          <w:spacing w:val="-4"/>
          <w:sz w:val="24"/>
        </w:rPr>
        <w:t>and,</w:t>
      </w:r>
    </w:p>
    <w:p>
      <w:pPr>
        <w:pStyle w:val="BodyText"/>
      </w:pPr>
    </w:p>
    <w:p>
      <w:pPr>
        <w:pStyle w:val="ListParagraph"/>
        <w:numPr>
          <w:ilvl w:val="0"/>
          <w:numId w:val="8"/>
        </w:numPr>
        <w:tabs>
          <w:tab w:pos="986" w:val="left" w:leader="none"/>
        </w:tabs>
        <w:spacing w:line="240" w:lineRule="auto" w:before="1" w:after="0"/>
        <w:ind w:left="986" w:right="0" w:hanging="359"/>
        <w:jc w:val="both"/>
        <w:rPr>
          <w:sz w:val="24"/>
        </w:rPr>
      </w:pPr>
      <w:r>
        <w:rPr>
          <w:sz w:val="24"/>
        </w:rPr>
        <w:t>The</w:t>
      </w:r>
      <w:r>
        <w:rPr>
          <w:spacing w:val="-4"/>
          <w:sz w:val="24"/>
        </w:rPr>
        <w:t> </w:t>
      </w:r>
      <w:r>
        <w:rPr>
          <w:sz w:val="24"/>
        </w:rPr>
        <w:t>validation of</w:t>
      </w:r>
      <w:r>
        <w:rPr>
          <w:spacing w:val="-1"/>
          <w:sz w:val="24"/>
        </w:rPr>
        <w:t> </w:t>
      </w:r>
      <w:r>
        <w:rPr>
          <w:sz w:val="24"/>
        </w:rPr>
        <w:t>the water</w:t>
      </w:r>
      <w:r>
        <w:rPr>
          <w:spacing w:val="-2"/>
          <w:sz w:val="24"/>
        </w:rPr>
        <w:t> </w:t>
      </w:r>
      <w:r>
        <w:rPr>
          <w:sz w:val="24"/>
        </w:rPr>
        <w:t>poverty</w:t>
      </w:r>
      <w:r>
        <w:rPr>
          <w:spacing w:val="-4"/>
          <w:sz w:val="24"/>
        </w:rPr>
        <w:t> </w:t>
      </w:r>
      <w:r>
        <w:rPr>
          <w:spacing w:val="-2"/>
          <w:sz w:val="24"/>
        </w:rPr>
        <w:t>index.</w:t>
      </w:r>
    </w:p>
    <w:p>
      <w:pPr>
        <w:pStyle w:val="BodyText"/>
      </w:pPr>
    </w:p>
    <w:p>
      <w:pPr>
        <w:pStyle w:val="BodyText"/>
        <w:ind w:left="267"/>
        <w:jc w:val="both"/>
      </w:pPr>
      <w:r>
        <w:rPr/>
        <w:t>A</w:t>
      </w:r>
      <w:r>
        <w:rPr>
          <w:spacing w:val="-4"/>
        </w:rPr>
        <w:t> </w:t>
      </w:r>
      <w:r>
        <w:rPr/>
        <w:t>detailed</w:t>
      </w:r>
      <w:r>
        <w:rPr>
          <w:spacing w:val="-1"/>
        </w:rPr>
        <w:t> </w:t>
      </w:r>
      <w:r>
        <w:rPr/>
        <w:t>explanation</w:t>
      </w:r>
      <w:r>
        <w:rPr>
          <w:spacing w:val="-2"/>
        </w:rPr>
        <w:t> </w:t>
      </w:r>
      <w:r>
        <w:rPr/>
        <w:t>of this</w:t>
      </w:r>
      <w:r>
        <w:rPr>
          <w:spacing w:val="-1"/>
        </w:rPr>
        <w:t> </w:t>
      </w:r>
      <w:r>
        <w:rPr/>
        <w:t>generic</w:t>
      </w:r>
      <w:r>
        <w:rPr>
          <w:spacing w:val="-4"/>
        </w:rPr>
        <w:t> </w:t>
      </w:r>
      <w:r>
        <w:rPr/>
        <w:t>chorological</w:t>
      </w:r>
      <w:r>
        <w:rPr>
          <w:spacing w:val="1"/>
        </w:rPr>
        <w:t> </w:t>
      </w:r>
      <w:r>
        <w:rPr/>
        <w:t>process</w:t>
      </w:r>
      <w:r>
        <w:rPr>
          <w:spacing w:val="-1"/>
        </w:rPr>
        <w:t> </w:t>
      </w:r>
      <w:r>
        <w:rPr/>
        <w:t>is</w:t>
      </w:r>
      <w:r>
        <w:rPr>
          <w:spacing w:val="-2"/>
        </w:rPr>
        <w:t> </w:t>
      </w:r>
      <w:r>
        <w:rPr/>
        <w:t>provided</w:t>
      </w:r>
      <w:r>
        <w:rPr>
          <w:spacing w:val="1"/>
        </w:rPr>
        <w:t> </w:t>
      </w:r>
      <w:r>
        <w:rPr/>
        <w:t>as</w:t>
      </w:r>
      <w:r>
        <w:rPr>
          <w:spacing w:val="-1"/>
        </w:rPr>
        <w:t> </w:t>
      </w:r>
      <w:r>
        <w:rPr>
          <w:spacing w:val="-2"/>
        </w:rPr>
        <w:t>follows</w:t>
      </w:r>
    </w:p>
    <w:p>
      <w:pPr>
        <w:pStyle w:val="BodyText"/>
        <w:spacing w:before="7"/>
      </w:pPr>
    </w:p>
    <w:p>
      <w:pPr>
        <w:pStyle w:val="Heading1"/>
        <w:numPr>
          <w:ilvl w:val="2"/>
          <w:numId w:val="6"/>
        </w:numPr>
        <w:tabs>
          <w:tab w:pos="927" w:val="left" w:leader="none"/>
        </w:tabs>
        <w:spacing w:line="240" w:lineRule="auto" w:before="0" w:after="0"/>
        <w:ind w:left="927" w:right="0" w:hanging="660"/>
        <w:jc w:val="both"/>
      </w:pPr>
      <w:r>
        <w:rPr/>
        <w:t>Selection</w:t>
      </w:r>
      <w:r>
        <w:rPr>
          <w:spacing w:val="-2"/>
        </w:rPr>
        <w:t> </w:t>
      </w:r>
      <w:r>
        <w:rPr/>
        <w:t>of water</w:t>
      </w:r>
      <w:r>
        <w:rPr>
          <w:spacing w:val="-2"/>
        </w:rPr>
        <w:t> </w:t>
      </w:r>
      <w:r>
        <w:rPr/>
        <w:t>poverty</w:t>
      </w:r>
      <w:r>
        <w:rPr>
          <w:spacing w:val="-1"/>
        </w:rPr>
        <w:t> </w:t>
      </w:r>
      <w:r>
        <w:rPr>
          <w:spacing w:val="-2"/>
        </w:rPr>
        <w:t>indicators</w:t>
      </w:r>
    </w:p>
    <w:p>
      <w:pPr>
        <w:pStyle w:val="BodyText"/>
        <w:spacing w:before="15"/>
        <w:rPr>
          <w:b/>
        </w:rPr>
      </w:pPr>
    </w:p>
    <w:p>
      <w:pPr>
        <w:pStyle w:val="BodyText"/>
        <w:spacing w:line="480" w:lineRule="auto"/>
        <w:ind w:left="267" w:right="734"/>
        <w:jc w:val="both"/>
      </w:pPr>
      <w:r>
        <w:rPr/>
        <w:t>This is the first stage of the water poverty assessment framework. In the selection of water poverty indicators, five (5) basic steps must be followed chronologically. These steps are explained as follows:</w:t>
      </w:r>
    </w:p>
    <w:p>
      <w:pPr>
        <w:pStyle w:val="Heading1"/>
        <w:numPr>
          <w:ilvl w:val="3"/>
          <w:numId w:val="6"/>
        </w:numPr>
        <w:tabs>
          <w:tab w:pos="1106" w:val="left" w:leader="none"/>
        </w:tabs>
        <w:spacing w:line="240" w:lineRule="auto" w:before="7" w:after="0"/>
        <w:ind w:left="1106" w:right="0" w:hanging="839"/>
        <w:jc w:val="both"/>
      </w:pPr>
      <w:r>
        <w:rPr/>
        <w:t>Compilation</w:t>
      </w:r>
      <w:r>
        <w:rPr>
          <w:spacing w:val="-4"/>
        </w:rPr>
        <w:t> </w:t>
      </w:r>
      <w:r>
        <w:rPr/>
        <w:t>and</w:t>
      </w:r>
      <w:r>
        <w:rPr>
          <w:spacing w:val="-1"/>
        </w:rPr>
        <w:t> </w:t>
      </w:r>
      <w:r>
        <w:rPr/>
        <w:t>validation</w:t>
      </w:r>
      <w:r>
        <w:rPr>
          <w:spacing w:val="-2"/>
        </w:rPr>
        <w:t> </w:t>
      </w:r>
      <w:r>
        <w:rPr/>
        <w:t>of available</w:t>
      </w:r>
      <w:r>
        <w:rPr>
          <w:spacing w:val="-3"/>
        </w:rPr>
        <w:t> </w:t>
      </w:r>
      <w:r>
        <w:rPr/>
        <w:t>data</w:t>
      </w:r>
      <w:r>
        <w:rPr>
          <w:spacing w:val="-1"/>
        </w:rPr>
        <w:t> </w:t>
      </w:r>
      <w:r>
        <w:rPr/>
        <w:t>on</w:t>
      </w:r>
      <w:r>
        <w:rPr>
          <w:spacing w:val="-2"/>
        </w:rPr>
        <w:t> </w:t>
      </w:r>
      <w:r>
        <w:rPr/>
        <w:t>water</w:t>
      </w:r>
      <w:r>
        <w:rPr>
          <w:spacing w:val="-2"/>
        </w:rPr>
        <w:t> </w:t>
      </w:r>
      <w:r>
        <w:rPr/>
        <w:t>poverty </w:t>
      </w:r>
      <w:r>
        <w:rPr>
          <w:spacing w:val="-2"/>
        </w:rPr>
        <w:t>indicators</w:t>
      </w:r>
    </w:p>
    <w:p>
      <w:pPr>
        <w:pStyle w:val="BodyText"/>
        <w:spacing w:before="15"/>
        <w:rPr>
          <w:b/>
        </w:rPr>
      </w:pPr>
    </w:p>
    <w:p>
      <w:pPr>
        <w:pStyle w:val="BodyText"/>
        <w:spacing w:line="480" w:lineRule="auto"/>
        <w:ind w:left="267" w:right="737"/>
        <w:jc w:val="both"/>
      </w:pPr>
      <w:r>
        <w:rPr/>
        <w:t>This entails the preliminary compilation of data on water poverty indicators based on the extant literature (Garriga and Foguet, 2010; Korc and Ford, 2013).</w:t>
      </w:r>
    </w:p>
    <w:p>
      <w:pPr>
        <w:spacing w:after="0" w:line="480" w:lineRule="auto"/>
        <w:jc w:val="both"/>
        <w:sectPr>
          <w:pgSz w:w="12240" w:h="15840"/>
          <w:pgMar w:header="0" w:footer="1068" w:top="1340" w:bottom="1260" w:left="1720" w:right="680"/>
        </w:sectPr>
      </w:pPr>
    </w:p>
    <w:p>
      <w:pPr>
        <w:pStyle w:val="BodyText"/>
        <w:ind w:left="280"/>
        <w:rPr>
          <w:sz w:val="20"/>
        </w:rPr>
      </w:pPr>
      <w:r>
        <w:rPr>
          <w:sz w:val="20"/>
        </w:rPr>
        <mc:AlternateContent>
          <mc:Choice Requires="wps">
            <w:drawing>
              <wp:inline distT="0" distB="0" distL="0" distR="0">
                <wp:extent cx="4258310" cy="3886200"/>
                <wp:effectExtent l="0" t="0" r="0" b="9525"/>
                <wp:docPr id="50" name="Group 50"/>
                <wp:cNvGraphicFramePr>
                  <a:graphicFrameLocks/>
                </wp:cNvGraphicFramePr>
                <a:graphic>
                  <a:graphicData uri="http://schemas.microsoft.com/office/word/2010/wordprocessingGroup">
                    <wpg:wgp>
                      <wpg:cNvPr id="50" name="Group 50"/>
                      <wpg:cNvGrpSpPr/>
                      <wpg:grpSpPr>
                        <a:xfrm>
                          <a:off x="0" y="0"/>
                          <a:ext cx="4258310" cy="3886200"/>
                          <a:chExt cx="4258310" cy="3886200"/>
                        </a:xfrm>
                      </wpg:grpSpPr>
                      <pic:pic>
                        <pic:nvPicPr>
                          <pic:cNvPr id="51" name="Image 51" descr="Diagram  Description automatically generated"/>
                          <pic:cNvPicPr/>
                        </pic:nvPicPr>
                        <pic:blipFill>
                          <a:blip r:embed="rId25" cstate="print"/>
                          <a:stretch>
                            <a:fillRect/>
                          </a:stretch>
                        </pic:blipFill>
                        <pic:spPr>
                          <a:xfrm>
                            <a:off x="9144" y="85359"/>
                            <a:ext cx="4192130" cy="3734535"/>
                          </a:xfrm>
                          <a:prstGeom prst="rect">
                            <a:avLst/>
                          </a:prstGeom>
                        </pic:spPr>
                      </pic:pic>
                      <wps:wsp>
                        <wps:cNvPr id="52" name="Graphic 52"/>
                        <wps:cNvSpPr/>
                        <wps:spPr>
                          <a:xfrm>
                            <a:off x="4572" y="4572"/>
                            <a:ext cx="4249420" cy="3877310"/>
                          </a:xfrm>
                          <a:custGeom>
                            <a:avLst/>
                            <a:gdLst/>
                            <a:ahLst/>
                            <a:cxnLst/>
                            <a:rect l="l" t="t" r="r" b="b"/>
                            <a:pathLst>
                              <a:path w="4249420" h="3877310">
                                <a:moveTo>
                                  <a:pt x="0" y="3877055"/>
                                </a:moveTo>
                                <a:lnTo>
                                  <a:pt x="4248912" y="3877055"/>
                                </a:lnTo>
                                <a:lnTo>
                                  <a:pt x="4248912" y="0"/>
                                </a:lnTo>
                                <a:lnTo>
                                  <a:pt x="0" y="0"/>
                                </a:lnTo>
                                <a:lnTo>
                                  <a:pt x="0" y="387705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35.3pt;height:306pt;mso-position-horizontal-relative:char;mso-position-vertical-relative:line" id="docshapegroup49" coordorigin="0,0" coordsize="6706,6120">
                <v:shape style="position:absolute;left:14;top:134;width:6602;height:5882" type="#_x0000_t75" id="docshape50" alt="Diagram  Description automatically generated" stroked="false">
                  <v:imagedata r:id="rId25" o:title=""/>
                </v:shape>
                <v:rect style="position:absolute;left:7;top:7;width:6692;height:6106" id="docshape51" filled="false" stroked="true" strokeweight=".72pt" strokecolor="#000000">
                  <v:stroke dashstyle="solid"/>
                </v:rect>
              </v:group>
            </w:pict>
          </mc:Fallback>
        </mc:AlternateContent>
      </w:r>
      <w:r>
        <w:rPr>
          <w:sz w:val="20"/>
        </w:rPr>
      </w:r>
    </w:p>
    <w:p>
      <w:pPr>
        <w:pStyle w:val="Heading1"/>
        <w:spacing w:line="256" w:lineRule="exact"/>
      </w:pPr>
      <w:r>
        <w:rPr/>
        <w:t>Figure</w:t>
      </w:r>
      <w:r>
        <w:rPr>
          <w:spacing w:val="-3"/>
        </w:rPr>
        <w:t> </w:t>
      </w:r>
      <w:r>
        <w:rPr/>
        <w:t>2.11:</w:t>
      </w:r>
      <w:r>
        <w:rPr>
          <w:spacing w:val="-1"/>
        </w:rPr>
        <w:t> </w:t>
      </w:r>
      <w:r>
        <w:rPr/>
        <w:t>Generic</w:t>
      </w:r>
      <w:r>
        <w:rPr>
          <w:spacing w:val="-2"/>
        </w:rPr>
        <w:t> </w:t>
      </w:r>
      <w:r>
        <w:rPr/>
        <w:t>Stages</w:t>
      </w:r>
      <w:r>
        <w:rPr>
          <w:spacing w:val="-1"/>
        </w:rPr>
        <w:t> </w:t>
      </w:r>
      <w:r>
        <w:rPr/>
        <w:t>in</w:t>
      </w:r>
      <w:r>
        <w:rPr>
          <w:spacing w:val="-1"/>
        </w:rPr>
        <w:t> </w:t>
      </w:r>
      <w:r>
        <w:rPr/>
        <w:t>Water Poverty </w:t>
      </w:r>
      <w:r>
        <w:rPr>
          <w:spacing w:val="-2"/>
        </w:rPr>
        <w:t>Application</w:t>
      </w:r>
    </w:p>
    <w:p>
      <w:pPr>
        <w:pStyle w:val="BodyText"/>
        <w:spacing w:line="274" w:lineRule="exact"/>
        <w:ind w:left="267"/>
      </w:pPr>
      <w:r>
        <w:rPr/>
        <w:t>Source:</w:t>
      </w:r>
      <w:r>
        <w:rPr>
          <w:spacing w:val="-4"/>
        </w:rPr>
        <w:t> </w:t>
      </w:r>
      <w:r>
        <w:rPr/>
        <w:t>Garriga</w:t>
      </w:r>
      <w:r>
        <w:rPr>
          <w:spacing w:val="-2"/>
        </w:rPr>
        <w:t> </w:t>
      </w:r>
      <w:r>
        <w:rPr/>
        <w:t>and</w:t>
      </w:r>
      <w:r>
        <w:rPr>
          <w:spacing w:val="1"/>
        </w:rPr>
        <w:t> </w:t>
      </w:r>
      <w:r>
        <w:rPr/>
        <w:t>Foguet</w:t>
      </w:r>
      <w:r>
        <w:rPr>
          <w:spacing w:val="-1"/>
        </w:rPr>
        <w:t> </w:t>
      </w:r>
      <w:r>
        <w:rPr/>
        <w:t>(2010)</w:t>
      </w:r>
      <w:r>
        <w:rPr>
          <w:spacing w:val="-2"/>
        </w:rPr>
        <w:t> </w:t>
      </w:r>
      <w:r>
        <w:rPr/>
        <w:t>and</w:t>
      </w:r>
      <w:r>
        <w:rPr>
          <w:spacing w:val="-1"/>
        </w:rPr>
        <w:t> </w:t>
      </w:r>
      <w:r>
        <w:rPr/>
        <w:t>Korc</w:t>
      </w:r>
      <w:r>
        <w:rPr>
          <w:spacing w:val="-1"/>
        </w:rPr>
        <w:t> </w:t>
      </w:r>
      <w:r>
        <w:rPr/>
        <w:t>and</w:t>
      </w:r>
      <w:r>
        <w:rPr>
          <w:spacing w:val="1"/>
        </w:rPr>
        <w:t> </w:t>
      </w:r>
      <w:r>
        <w:rPr/>
        <w:t>Ford</w:t>
      </w:r>
      <w:r>
        <w:rPr>
          <w:spacing w:val="-1"/>
        </w:rPr>
        <w:t> </w:t>
      </w:r>
      <w:r>
        <w:rPr>
          <w:spacing w:val="-2"/>
        </w:rPr>
        <w:t>(2013)</w:t>
      </w:r>
    </w:p>
    <w:p>
      <w:pPr>
        <w:pStyle w:val="BodyText"/>
      </w:pPr>
    </w:p>
    <w:p>
      <w:pPr>
        <w:pStyle w:val="BodyText"/>
        <w:spacing w:before="7"/>
      </w:pPr>
    </w:p>
    <w:p>
      <w:pPr>
        <w:pStyle w:val="Heading1"/>
        <w:numPr>
          <w:ilvl w:val="3"/>
          <w:numId w:val="6"/>
        </w:numPr>
        <w:tabs>
          <w:tab w:pos="1106" w:val="left" w:leader="none"/>
        </w:tabs>
        <w:spacing w:line="240" w:lineRule="auto" w:before="0" w:after="0"/>
        <w:ind w:left="1106" w:right="0" w:hanging="839"/>
        <w:jc w:val="left"/>
      </w:pPr>
      <w:r>
        <w:rPr/>
        <w:t>Definition</w:t>
      </w:r>
      <w:r>
        <w:rPr>
          <w:spacing w:val="-4"/>
        </w:rPr>
        <w:t> </w:t>
      </w:r>
      <w:r>
        <w:rPr/>
        <w:t>and</w:t>
      </w:r>
      <w:r>
        <w:rPr>
          <w:spacing w:val="-1"/>
        </w:rPr>
        <w:t> </w:t>
      </w:r>
      <w:r>
        <w:rPr/>
        <w:t>first</w:t>
      </w:r>
      <w:r>
        <w:rPr>
          <w:spacing w:val="-1"/>
        </w:rPr>
        <w:t> </w:t>
      </w:r>
      <w:r>
        <w:rPr/>
        <w:t>proposal</w:t>
      </w:r>
      <w:r>
        <w:rPr>
          <w:spacing w:val="-1"/>
        </w:rPr>
        <w:t> </w:t>
      </w:r>
      <w:r>
        <w:rPr/>
        <w:t>of</w:t>
      </w:r>
      <w:r>
        <w:rPr>
          <w:spacing w:val="-2"/>
        </w:rPr>
        <w:t> </w:t>
      </w:r>
      <w:r>
        <w:rPr/>
        <w:t>water</w:t>
      </w:r>
      <w:r>
        <w:rPr>
          <w:spacing w:val="-2"/>
        </w:rPr>
        <w:t> </w:t>
      </w:r>
      <w:r>
        <w:rPr/>
        <w:t>poverty</w:t>
      </w:r>
      <w:r>
        <w:rPr>
          <w:spacing w:val="-1"/>
        </w:rPr>
        <w:t> </w:t>
      </w:r>
      <w:r>
        <w:rPr>
          <w:spacing w:val="-2"/>
        </w:rPr>
        <w:t>indicators</w:t>
      </w:r>
    </w:p>
    <w:p>
      <w:pPr>
        <w:pStyle w:val="BodyText"/>
        <w:spacing w:before="17"/>
        <w:rPr>
          <w:b/>
        </w:rPr>
      </w:pPr>
    </w:p>
    <w:p>
      <w:pPr>
        <w:pStyle w:val="BodyText"/>
        <w:spacing w:line="480" w:lineRule="auto"/>
        <w:ind w:left="267" w:right="724"/>
        <w:jc w:val="both"/>
      </w:pPr>
      <w:r>
        <w:rPr/>
        <w:t>This involves defining whether the compiled water poverty indicators are relevant. At this stage relevant information required for good decision making is rarely available (Feitelson and Chenoweth, 2002) and in most cases an ad-hoc selection of indicators due to data availability</w:t>
      </w:r>
      <w:r>
        <w:rPr>
          <w:spacing w:val="-10"/>
        </w:rPr>
        <w:t> </w:t>
      </w:r>
      <w:r>
        <w:rPr/>
        <w:t>might</w:t>
      </w:r>
      <w:r>
        <w:rPr>
          <w:spacing w:val="-4"/>
        </w:rPr>
        <w:t> </w:t>
      </w:r>
      <w:r>
        <w:rPr/>
        <w:t>be</w:t>
      </w:r>
      <w:r>
        <w:rPr>
          <w:spacing w:val="-6"/>
        </w:rPr>
        <w:t> </w:t>
      </w:r>
      <w:r>
        <w:rPr/>
        <w:t>the</w:t>
      </w:r>
      <w:r>
        <w:rPr>
          <w:spacing w:val="-1"/>
        </w:rPr>
        <w:t> </w:t>
      </w:r>
      <w:r>
        <w:rPr/>
        <w:t>most</w:t>
      </w:r>
      <w:r>
        <w:rPr>
          <w:spacing w:val="-4"/>
        </w:rPr>
        <w:t> </w:t>
      </w:r>
      <w:r>
        <w:rPr/>
        <w:t>cost-effective</w:t>
      </w:r>
      <w:r>
        <w:rPr>
          <w:spacing w:val="-4"/>
        </w:rPr>
        <w:t> </w:t>
      </w:r>
      <w:r>
        <w:rPr/>
        <w:t>solution</w:t>
      </w:r>
      <w:r>
        <w:rPr>
          <w:spacing w:val="-4"/>
        </w:rPr>
        <w:t> </w:t>
      </w:r>
      <w:r>
        <w:rPr/>
        <w:t>(Garriga</w:t>
      </w:r>
      <w:r>
        <w:rPr>
          <w:spacing w:val="-4"/>
        </w:rPr>
        <w:t> </w:t>
      </w:r>
      <w:r>
        <w:rPr/>
        <w:t>and</w:t>
      </w:r>
      <w:r>
        <w:rPr>
          <w:spacing w:val="-3"/>
        </w:rPr>
        <w:t> </w:t>
      </w:r>
      <w:r>
        <w:rPr/>
        <w:t>Foguet,</w:t>
      </w:r>
      <w:r>
        <w:rPr>
          <w:spacing w:val="-2"/>
        </w:rPr>
        <w:t> </w:t>
      </w:r>
      <w:r>
        <w:rPr/>
        <w:t>2010).</w:t>
      </w:r>
      <w:r>
        <w:rPr>
          <w:spacing w:val="-3"/>
        </w:rPr>
        <w:t> </w:t>
      </w:r>
      <w:r>
        <w:rPr/>
        <w:t>In</w:t>
      </w:r>
      <w:r>
        <w:rPr>
          <w:spacing w:val="-3"/>
        </w:rPr>
        <w:t> </w:t>
      </w:r>
      <w:r>
        <w:rPr/>
        <w:t>view</w:t>
      </w:r>
      <w:r>
        <w:rPr>
          <w:spacing w:val="-4"/>
        </w:rPr>
        <w:t> </w:t>
      </w:r>
      <w:r>
        <w:rPr/>
        <w:t>of the above, it has been suggested that the proposed indicators must satisfy the following standard criteria (OECD, 1993; Feitelson and Chenoweth, 2002; Jimenez </w:t>
      </w:r>
      <w:r>
        <w:rPr>
          <w:i/>
        </w:rPr>
        <w:t>et al.</w:t>
      </w:r>
      <w:r>
        <w:rPr/>
        <w:t>, 2008):available (measurable at no reasonable cost), understandable (well defined as to be easily</w:t>
      </w:r>
      <w:r>
        <w:rPr>
          <w:spacing w:val="35"/>
        </w:rPr>
        <w:t> </w:t>
      </w:r>
      <w:r>
        <w:rPr/>
        <w:t>accepted</w:t>
      </w:r>
      <w:r>
        <w:rPr>
          <w:spacing w:val="42"/>
        </w:rPr>
        <w:t> </w:t>
      </w:r>
      <w:r>
        <w:rPr/>
        <w:t>by</w:t>
      </w:r>
      <w:r>
        <w:rPr>
          <w:spacing w:val="35"/>
        </w:rPr>
        <w:t> </w:t>
      </w:r>
      <w:r>
        <w:rPr/>
        <w:t>likely</w:t>
      </w:r>
      <w:r>
        <w:rPr>
          <w:spacing w:val="38"/>
        </w:rPr>
        <w:t> </w:t>
      </w:r>
      <w:r>
        <w:rPr/>
        <w:t>users),</w:t>
      </w:r>
      <w:r>
        <w:rPr>
          <w:spacing w:val="42"/>
        </w:rPr>
        <w:t> </w:t>
      </w:r>
      <w:r>
        <w:rPr/>
        <w:t>accurate(supported</w:t>
      </w:r>
      <w:r>
        <w:rPr>
          <w:spacing w:val="40"/>
        </w:rPr>
        <w:t> </w:t>
      </w:r>
      <w:r>
        <w:rPr/>
        <w:t>by</w:t>
      </w:r>
      <w:r>
        <w:rPr>
          <w:spacing w:val="38"/>
        </w:rPr>
        <w:t> </w:t>
      </w:r>
      <w:r>
        <w:rPr/>
        <w:t>reliable</w:t>
      </w:r>
      <w:r>
        <w:rPr>
          <w:spacing w:val="42"/>
        </w:rPr>
        <w:t> </w:t>
      </w:r>
      <w:r>
        <w:rPr/>
        <w:t>information),</w:t>
      </w:r>
      <w:r>
        <w:rPr>
          <w:spacing w:val="39"/>
        </w:rPr>
        <w:t> </w:t>
      </w:r>
      <w:r>
        <w:rPr/>
        <w:t>scalable</w:t>
      </w:r>
      <w:r>
        <w:rPr>
          <w:spacing w:val="41"/>
        </w:rPr>
        <w:t> </w:t>
      </w:r>
      <w:r>
        <w:rPr>
          <w:spacing w:val="-5"/>
        </w:rPr>
        <w:t>at</w:t>
      </w:r>
    </w:p>
    <w:p>
      <w:pPr>
        <w:spacing w:after="0" w:line="480" w:lineRule="auto"/>
        <w:jc w:val="both"/>
        <w:sectPr>
          <w:pgSz w:w="12240" w:h="15840"/>
          <w:pgMar w:header="0" w:footer="1068" w:top="1420" w:bottom="1260" w:left="1720" w:right="680"/>
        </w:sectPr>
      </w:pPr>
    </w:p>
    <w:p>
      <w:pPr>
        <w:pStyle w:val="BodyText"/>
        <w:spacing w:line="480" w:lineRule="auto" w:before="63"/>
        <w:ind w:left="267" w:right="732"/>
        <w:jc w:val="both"/>
      </w:pPr>
      <w:r>
        <w:rPr/>
        <w:t>different administrative levels, relevant (responsive to changes), regularly updateable and integrative among environmental, social and economic aspects.</w:t>
      </w:r>
    </w:p>
    <w:p>
      <w:pPr>
        <w:pStyle w:val="Heading1"/>
        <w:numPr>
          <w:ilvl w:val="3"/>
          <w:numId w:val="6"/>
        </w:numPr>
        <w:tabs>
          <w:tab w:pos="1106" w:val="left" w:leader="none"/>
        </w:tabs>
        <w:spacing w:line="240" w:lineRule="auto" w:before="8" w:after="0"/>
        <w:ind w:left="1106" w:right="0" w:hanging="839"/>
        <w:jc w:val="left"/>
      </w:pPr>
      <w:r>
        <w:rPr/>
        <w:t>Classification</w:t>
      </w:r>
      <w:r>
        <w:rPr>
          <w:spacing w:val="-2"/>
        </w:rPr>
        <w:t> </w:t>
      </w:r>
      <w:r>
        <w:rPr/>
        <w:t>of</w:t>
      </w:r>
      <w:r>
        <w:rPr>
          <w:spacing w:val="-1"/>
        </w:rPr>
        <w:t> </w:t>
      </w:r>
      <w:r>
        <w:rPr/>
        <w:t>water</w:t>
      </w:r>
      <w:r>
        <w:rPr>
          <w:spacing w:val="-3"/>
        </w:rPr>
        <w:t> </w:t>
      </w:r>
      <w:r>
        <w:rPr/>
        <w:t>poverty</w:t>
      </w:r>
      <w:r>
        <w:rPr>
          <w:spacing w:val="-2"/>
        </w:rPr>
        <w:t> </w:t>
      </w:r>
      <w:r>
        <w:rPr/>
        <w:t>indicators</w:t>
      </w:r>
      <w:r>
        <w:rPr>
          <w:spacing w:val="-1"/>
        </w:rPr>
        <w:t> </w:t>
      </w:r>
      <w:r>
        <w:rPr/>
        <w:t>based</w:t>
      </w:r>
      <w:r>
        <w:rPr>
          <w:spacing w:val="-2"/>
        </w:rPr>
        <w:t> </w:t>
      </w:r>
      <w:r>
        <w:rPr/>
        <w:t>on</w:t>
      </w:r>
      <w:r>
        <w:rPr>
          <w:spacing w:val="-2"/>
        </w:rPr>
        <w:t> </w:t>
      </w:r>
      <w:r>
        <w:rPr/>
        <w:t>conceptual</w:t>
      </w:r>
      <w:r>
        <w:rPr>
          <w:spacing w:val="-1"/>
        </w:rPr>
        <w:t> </w:t>
      </w:r>
      <w:r>
        <w:rPr>
          <w:spacing w:val="-2"/>
        </w:rPr>
        <w:t>framework</w:t>
      </w:r>
    </w:p>
    <w:p>
      <w:pPr>
        <w:pStyle w:val="BodyText"/>
        <w:spacing w:before="14"/>
        <w:rPr>
          <w:b/>
        </w:rPr>
      </w:pPr>
    </w:p>
    <w:p>
      <w:pPr>
        <w:pStyle w:val="BodyText"/>
        <w:spacing w:line="480" w:lineRule="auto"/>
        <w:ind w:left="267" w:right="726"/>
        <w:jc w:val="both"/>
      </w:pPr>
      <w:r>
        <w:rPr/>
        <w:t>As noted by Garriga and Foguet, (2010) this entails the classification of all the proposed indicators along the five dimension of water poverty index (resource, use, capacity, access and</w:t>
      </w:r>
      <w:r>
        <w:rPr>
          <w:spacing w:val="-8"/>
        </w:rPr>
        <w:t> </w:t>
      </w:r>
      <w:r>
        <w:rPr/>
        <w:t>environment)</w:t>
      </w:r>
      <w:r>
        <w:rPr>
          <w:spacing w:val="-6"/>
        </w:rPr>
        <w:t> </w:t>
      </w:r>
      <w:r>
        <w:rPr/>
        <w:t>and</w:t>
      </w:r>
      <w:r>
        <w:rPr>
          <w:spacing w:val="-8"/>
        </w:rPr>
        <w:t> </w:t>
      </w:r>
      <w:r>
        <w:rPr/>
        <w:t>its</w:t>
      </w:r>
      <w:r>
        <w:rPr>
          <w:spacing w:val="-6"/>
        </w:rPr>
        <w:t> </w:t>
      </w:r>
      <w:r>
        <w:rPr/>
        <w:t>sub-components,</w:t>
      </w:r>
      <w:r>
        <w:rPr>
          <w:spacing w:val="-8"/>
        </w:rPr>
        <w:t> </w:t>
      </w:r>
      <w:r>
        <w:rPr/>
        <w:t>which</w:t>
      </w:r>
      <w:r>
        <w:rPr>
          <w:spacing w:val="-8"/>
        </w:rPr>
        <w:t> </w:t>
      </w:r>
      <w:r>
        <w:rPr/>
        <w:t>is</w:t>
      </w:r>
      <w:r>
        <w:rPr>
          <w:spacing w:val="-8"/>
        </w:rPr>
        <w:t> </w:t>
      </w:r>
      <w:r>
        <w:rPr/>
        <w:t>a</w:t>
      </w:r>
      <w:r>
        <w:rPr>
          <w:spacing w:val="-9"/>
        </w:rPr>
        <w:t> </w:t>
      </w:r>
      <w:r>
        <w:rPr/>
        <w:t>holistic</w:t>
      </w:r>
      <w:r>
        <w:rPr>
          <w:spacing w:val="-9"/>
        </w:rPr>
        <w:t> </w:t>
      </w:r>
      <w:r>
        <w:rPr/>
        <w:t>and</w:t>
      </w:r>
      <w:r>
        <w:rPr>
          <w:spacing w:val="-8"/>
        </w:rPr>
        <w:t> </w:t>
      </w:r>
      <w:r>
        <w:rPr/>
        <w:t>multidimensional</w:t>
      </w:r>
      <w:r>
        <w:rPr>
          <w:spacing w:val="-8"/>
        </w:rPr>
        <w:t> </w:t>
      </w:r>
      <w:r>
        <w:rPr/>
        <w:t>measure for</w:t>
      </w:r>
      <w:r>
        <w:rPr>
          <w:spacing w:val="-4"/>
        </w:rPr>
        <w:t> </w:t>
      </w:r>
      <w:r>
        <w:rPr/>
        <w:t>describing</w:t>
      </w:r>
      <w:r>
        <w:rPr>
          <w:spacing w:val="-2"/>
        </w:rPr>
        <w:t> </w:t>
      </w:r>
      <w:r>
        <w:rPr/>
        <w:t>the</w:t>
      </w:r>
      <w:r>
        <w:rPr>
          <w:spacing w:val="-3"/>
        </w:rPr>
        <w:t> </w:t>
      </w:r>
      <w:r>
        <w:rPr/>
        <w:t>complexity</w:t>
      </w:r>
      <w:r>
        <w:rPr>
          <w:spacing w:val="-10"/>
        </w:rPr>
        <w:t> </w:t>
      </w:r>
      <w:r>
        <w:rPr/>
        <w:t>of</w:t>
      </w:r>
      <w:r>
        <w:rPr>
          <w:spacing w:val="-1"/>
        </w:rPr>
        <w:t> </w:t>
      </w:r>
      <w:r>
        <w:rPr/>
        <w:t>water</w:t>
      </w:r>
      <w:r>
        <w:rPr>
          <w:spacing w:val="-2"/>
        </w:rPr>
        <w:t> </w:t>
      </w:r>
      <w:r>
        <w:rPr/>
        <w:t>sector</w:t>
      </w:r>
      <w:r>
        <w:rPr>
          <w:spacing w:val="-2"/>
        </w:rPr>
        <w:t> </w:t>
      </w:r>
      <w:r>
        <w:rPr/>
        <w:t>in</w:t>
      </w:r>
      <w:r>
        <w:rPr>
          <w:spacing w:val="-2"/>
        </w:rPr>
        <w:t> </w:t>
      </w:r>
      <w:r>
        <w:rPr/>
        <w:t>an</w:t>
      </w:r>
      <w:r>
        <w:rPr>
          <w:spacing w:val="-2"/>
        </w:rPr>
        <w:t> </w:t>
      </w:r>
      <w:r>
        <w:rPr/>
        <w:t>integrated</w:t>
      </w:r>
      <w:r>
        <w:rPr>
          <w:spacing w:val="-2"/>
        </w:rPr>
        <w:t> </w:t>
      </w:r>
      <w:r>
        <w:rPr/>
        <w:t>manner.</w:t>
      </w:r>
      <w:r>
        <w:rPr>
          <w:spacing w:val="-2"/>
        </w:rPr>
        <w:t> </w:t>
      </w:r>
      <w:r>
        <w:rPr/>
        <w:t>Such</w:t>
      </w:r>
      <w:r>
        <w:rPr>
          <w:spacing w:val="-2"/>
        </w:rPr>
        <w:t> </w:t>
      </w:r>
      <w:r>
        <w:rPr/>
        <w:t>classification</w:t>
      </w:r>
      <w:r>
        <w:rPr>
          <w:spacing w:val="-2"/>
        </w:rPr>
        <w:t> </w:t>
      </w:r>
      <w:r>
        <w:rPr/>
        <w:t>of the</w:t>
      </w:r>
      <w:r>
        <w:rPr>
          <w:spacing w:val="-10"/>
        </w:rPr>
        <w:t> </w:t>
      </w:r>
      <w:r>
        <w:rPr/>
        <w:t>water</w:t>
      </w:r>
      <w:r>
        <w:rPr>
          <w:spacing w:val="-11"/>
        </w:rPr>
        <w:t> </w:t>
      </w:r>
      <w:r>
        <w:rPr/>
        <w:t>poverty</w:t>
      </w:r>
      <w:r>
        <w:rPr>
          <w:spacing w:val="-14"/>
        </w:rPr>
        <w:t> </w:t>
      </w:r>
      <w:r>
        <w:rPr/>
        <w:t>indicators</w:t>
      </w:r>
      <w:r>
        <w:rPr>
          <w:spacing w:val="-10"/>
        </w:rPr>
        <w:t> </w:t>
      </w:r>
      <w:r>
        <w:rPr/>
        <w:t>can</w:t>
      </w:r>
      <w:r>
        <w:rPr>
          <w:spacing w:val="-10"/>
        </w:rPr>
        <w:t> </w:t>
      </w:r>
      <w:r>
        <w:rPr/>
        <w:t>be</w:t>
      </w:r>
      <w:r>
        <w:rPr>
          <w:spacing w:val="-11"/>
        </w:rPr>
        <w:t> </w:t>
      </w:r>
      <w:r>
        <w:rPr/>
        <w:t>based</w:t>
      </w:r>
      <w:r>
        <w:rPr>
          <w:spacing w:val="-10"/>
        </w:rPr>
        <w:t> </w:t>
      </w:r>
      <w:r>
        <w:rPr/>
        <w:t>on</w:t>
      </w:r>
      <w:r>
        <w:rPr>
          <w:spacing w:val="-10"/>
        </w:rPr>
        <w:t> </w:t>
      </w:r>
      <w:r>
        <w:rPr/>
        <w:t>expert</w:t>
      </w:r>
      <w:r>
        <w:rPr>
          <w:spacing w:val="-9"/>
        </w:rPr>
        <w:t> </w:t>
      </w:r>
      <w:r>
        <w:rPr/>
        <w:t>opinion</w:t>
      </w:r>
      <w:r>
        <w:rPr>
          <w:spacing w:val="-9"/>
        </w:rPr>
        <w:t> </w:t>
      </w:r>
      <w:r>
        <w:rPr/>
        <w:t>such</w:t>
      </w:r>
      <w:r>
        <w:rPr>
          <w:spacing w:val="-10"/>
        </w:rPr>
        <w:t> </w:t>
      </w:r>
      <w:r>
        <w:rPr/>
        <w:t>as</w:t>
      </w:r>
      <w:r>
        <w:rPr>
          <w:spacing w:val="-9"/>
        </w:rPr>
        <w:t> </w:t>
      </w:r>
      <w:r>
        <w:rPr/>
        <w:t>the</w:t>
      </w:r>
      <w:r>
        <w:rPr>
          <w:spacing w:val="-10"/>
        </w:rPr>
        <w:t> </w:t>
      </w:r>
      <w:r>
        <w:rPr/>
        <w:t>Delphi</w:t>
      </w:r>
      <w:r>
        <w:rPr>
          <w:spacing w:val="-9"/>
        </w:rPr>
        <w:t> </w:t>
      </w:r>
      <w:r>
        <w:rPr/>
        <w:t>method</w:t>
      </w:r>
      <w:r>
        <w:rPr>
          <w:spacing w:val="-10"/>
        </w:rPr>
        <w:t> </w:t>
      </w:r>
      <w:r>
        <w:rPr/>
        <w:t>(Korc and</w:t>
      </w:r>
      <w:r>
        <w:rPr>
          <w:spacing w:val="-8"/>
        </w:rPr>
        <w:t> </w:t>
      </w:r>
      <w:r>
        <w:rPr/>
        <w:t>Ford,</w:t>
      </w:r>
      <w:r>
        <w:rPr>
          <w:spacing w:val="-7"/>
        </w:rPr>
        <w:t> </w:t>
      </w:r>
      <w:r>
        <w:rPr/>
        <w:t>2013)</w:t>
      </w:r>
      <w:r>
        <w:rPr>
          <w:spacing w:val="-9"/>
        </w:rPr>
        <w:t> </w:t>
      </w:r>
      <w:r>
        <w:rPr/>
        <w:t>or</w:t>
      </w:r>
      <w:r>
        <w:rPr>
          <w:spacing w:val="-9"/>
        </w:rPr>
        <w:t> </w:t>
      </w:r>
      <w:r>
        <w:rPr/>
        <w:t>different</w:t>
      </w:r>
      <w:r>
        <w:rPr>
          <w:spacing w:val="-8"/>
        </w:rPr>
        <w:t> </w:t>
      </w:r>
      <w:r>
        <w:rPr/>
        <w:t>analytical</w:t>
      </w:r>
      <w:r>
        <w:rPr>
          <w:spacing w:val="-8"/>
        </w:rPr>
        <w:t> </w:t>
      </w:r>
      <w:r>
        <w:rPr/>
        <w:t>techniques</w:t>
      </w:r>
      <w:r>
        <w:rPr>
          <w:spacing w:val="-6"/>
        </w:rPr>
        <w:t> </w:t>
      </w:r>
      <w:r>
        <w:rPr/>
        <w:t>such</w:t>
      </w:r>
      <w:r>
        <w:rPr>
          <w:spacing w:val="-8"/>
        </w:rPr>
        <w:t> </w:t>
      </w:r>
      <w:r>
        <w:rPr/>
        <w:t>as</w:t>
      </w:r>
      <w:r>
        <w:rPr>
          <w:spacing w:val="-8"/>
        </w:rPr>
        <w:t> </w:t>
      </w:r>
      <w:r>
        <w:rPr/>
        <w:t>multivariate</w:t>
      </w:r>
      <w:r>
        <w:rPr>
          <w:spacing w:val="-9"/>
        </w:rPr>
        <w:t> </w:t>
      </w:r>
      <w:r>
        <w:rPr/>
        <w:t>statistical</w:t>
      </w:r>
      <w:r>
        <w:rPr>
          <w:spacing w:val="-8"/>
        </w:rPr>
        <w:t> </w:t>
      </w:r>
      <w:r>
        <w:rPr/>
        <w:t>approach</w:t>
      </w:r>
      <w:r>
        <w:rPr>
          <w:spacing w:val="-8"/>
        </w:rPr>
        <w:t> </w:t>
      </w:r>
      <w:r>
        <w:rPr/>
        <w:t>to examine the statistical structure/ dimension of the indicators in the dataset (Booysen, 2002; Nardo </w:t>
      </w:r>
      <w:r>
        <w:rPr>
          <w:i/>
        </w:rPr>
        <w:t>et al.</w:t>
      </w:r>
      <w:r>
        <w:rPr/>
        <w:t>, 2008; Sullivan and Jemmali, 2014).</w:t>
      </w:r>
    </w:p>
    <w:p>
      <w:pPr>
        <w:pStyle w:val="BodyText"/>
        <w:spacing w:before="8"/>
      </w:pPr>
    </w:p>
    <w:p>
      <w:pPr>
        <w:pStyle w:val="Heading1"/>
        <w:numPr>
          <w:ilvl w:val="3"/>
          <w:numId w:val="6"/>
        </w:numPr>
        <w:tabs>
          <w:tab w:pos="1106" w:val="left" w:leader="none"/>
        </w:tabs>
        <w:spacing w:line="240" w:lineRule="auto" w:before="0" w:after="0"/>
        <w:ind w:left="1106" w:right="0" w:hanging="839"/>
        <w:jc w:val="left"/>
      </w:pPr>
      <w:r>
        <w:rPr/>
        <w:t>Preliminary</w:t>
      </w:r>
      <w:r>
        <w:rPr>
          <w:spacing w:val="-3"/>
        </w:rPr>
        <w:t> </w:t>
      </w:r>
      <w:r>
        <w:rPr/>
        <w:t>statistical</w:t>
      </w:r>
      <w:r>
        <w:rPr>
          <w:spacing w:val="-1"/>
        </w:rPr>
        <w:t> </w:t>
      </w:r>
      <w:r>
        <w:rPr/>
        <w:t>analysis</w:t>
      </w:r>
      <w:r>
        <w:rPr>
          <w:spacing w:val="-1"/>
        </w:rPr>
        <w:t> </w:t>
      </w:r>
      <w:r>
        <w:rPr/>
        <w:t>of the</w:t>
      </w:r>
      <w:r>
        <w:rPr>
          <w:spacing w:val="-4"/>
        </w:rPr>
        <w:t> </w:t>
      </w:r>
      <w:r>
        <w:rPr/>
        <w:t>water</w:t>
      </w:r>
      <w:r>
        <w:rPr>
          <w:spacing w:val="-2"/>
        </w:rPr>
        <w:t> </w:t>
      </w:r>
      <w:r>
        <w:rPr/>
        <w:t>poverty</w:t>
      </w:r>
      <w:r>
        <w:rPr>
          <w:spacing w:val="-1"/>
        </w:rPr>
        <w:t> </w:t>
      </w:r>
      <w:r>
        <w:rPr>
          <w:spacing w:val="-2"/>
        </w:rPr>
        <w:t>indicators</w:t>
      </w:r>
    </w:p>
    <w:p>
      <w:pPr>
        <w:pStyle w:val="BodyText"/>
        <w:spacing w:before="15"/>
        <w:rPr>
          <w:b/>
        </w:rPr>
      </w:pPr>
    </w:p>
    <w:p>
      <w:pPr>
        <w:pStyle w:val="BodyText"/>
        <w:spacing w:line="480" w:lineRule="auto"/>
        <w:ind w:left="267" w:right="728"/>
        <w:jc w:val="both"/>
      </w:pPr>
      <w:r>
        <w:rPr/>
        <w:t>This</w:t>
      </w:r>
      <w:r>
        <w:rPr>
          <w:spacing w:val="-9"/>
        </w:rPr>
        <w:t> </w:t>
      </w:r>
      <w:r>
        <w:rPr/>
        <w:t>step</w:t>
      </w:r>
      <w:r>
        <w:rPr>
          <w:spacing w:val="-10"/>
        </w:rPr>
        <w:t> </w:t>
      </w:r>
      <w:r>
        <w:rPr/>
        <w:t>involves</w:t>
      </w:r>
      <w:r>
        <w:rPr>
          <w:spacing w:val="-9"/>
        </w:rPr>
        <w:t> </w:t>
      </w:r>
      <w:r>
        <w:rPr/>
        <w:t>a</w:t>
      </w:r>
      <w:r>
        <w:rPr>
          <w:spacing w:val="-8"/>
        </w:rPr>
        <w:t> </w:t>
      </w:r>
      <w:r>
        <w:rPr/>
        <w:t>preliminary</w:t>
      </w:r>
      <w:r>
        <w:rPr>
          <w:spacing w:val="-12"/>
        </w:rPr>
        <w:t> </w:t>
      </w:r>
      <w:r>
        <w:rPr/>
        <w:t>statistical</w:t>
      </w:r>
      <w:r>
        <w:rPr>
          <w:spacing w:val="-9"/>
        </w:rPr>
        <w:t> </w:t>
      </w:r>
      <w:r>
        <w:rPr/>
        <w:t>analysis</w:t>
      </w:r>
      <w:r>
        <w:rPr>
          <w:spacing w:val="-9"/>
        </w:rPr>
        <w:t> </w:t>
      </w:r>
      <w:r>
        <w:rPr/>
        <w:t>of</w:t>
      </w:r>
      <w:r>
        <w:rPr>
          <w:spacing w:val="-10"/>
        </w:rPr>
        <w:t> </w:t>
      </w:r>
      <w:r>
        <w:rPr/>
        <w:t>the</w:t>
      </w:r>
      <w:r>
        <w:rPr>
          <w:spacing w:val="-10"/>
        </w:rPr>
        <w:t> </w:t>
      </w:r>
      <w:r>
        <w:rPr/>
        <w:t>dataset</w:t>
      </w:r>
      <w:r>
        <w:rPr>
          <w:spacing w:val="-7"/>
        </w:rPr>
        <w:t> </w:t>
      </w:r>
      <w:r>
        <w:rPr/>
        <w:t>on</w:t>
      </w:r>
      <w:r>
        <w:rPr>
          <w:spacing w:val="-10"/>
        </w:rPr>
        <w:t> </w:t>
      </w:r>
      <w:r>
        <w:rPr/>
        <w:t>water</w:t>
      </w:r>
      <w:r>
        <w:rPr>
          <w:spacing w:val="-8"/>
        </w:rPr>
        <w:t> </w:t>
      </w:r>
      <w:r>
        <w:rPr/>
        <w:t>poverty</w:t>
      </w:r>
      <w:r>
        <w:rPr>
          <w:spacing w:val="-12"/>
        </w:rPr>
        <w:t> </w:t>
      </w:r>
      <w:r>
        <w:rPr/>
        <w:t>indicators at</w:t>
      </w:r>
      <w:r>
        <w:rPr>
          <w:spacing w:val="-2"/>
        </w:rPr>
        <w:t> </w:t>
      </w:r>
      <w:r>
        <w:rPr/>
        <w:t>component</w:t>
      </w:r>
      <w:r>
        <w:rPr>
          <w:spacing w:val="-2"/>
        </w:rPr>
        <w:t> </w:t>
      </w:r>
      <w:r>
        <w:rPr/>
        <w:t>(index)</w:t>
      </w:r>
      <w:r>
        <w:rPr>
          <w:spacing w:val="-2"/>
        </w:rPr>
        <w:t> </w:t>
      </w:r>
      <w:r>
        <w:rPr/>
        <w:t>and</w:t>
      </w:r>
      <w:r>
        <w:rPr>
          <w:spacing w:val="-2"/>
        </w:rPr>
        <w:t> </w:t>
      </w:r>
      <w:r>
        <w:rPr/>
        <w:t>sub-component</w:t>
      </w:r>
      <w:r>
        <w:rPr>
          <w:spacing w:val="-2"/>
        </w:rPr>
        <w:t> </w:t>
      </w:r>
      <w:r>
        <w:rPr/>
        <w:t>level</w:t>
      </w:r>
      <w:r>
        <w:rPr>
          <w:spacing w:val="-2"/>
        </w:rPr>
        <w:t> </w:t>
      </w:r>
      <w:r>
        <w:rPr/>
        <w:t>prior</w:t>
      </w:r>
      <w:r>
        <w:rPr>
          <w:spacing w:val="-2"/>
        </w:rPr>
        <w:t> </w:t>
      </w:r>
      <w:r>
        <w:rPr/>
        <w:t>to</w:t>
      </w:r>
      <w:r>
        <w:rPr>
          <w:spacing w:val="-2"/>
        </w:rPr>
        <w:t> </w:t>
      </w:r>
      <w:r>
        <w:rPr/>
        <w:t>the</w:t>
      </w:r>
      <w:r>
        <w:rPr>
          <w:spacing w:val="-2"/>
        </w:rPr>
        <w:t> </w:t>
      </w:r>
      <w:r>
        <w:rPr/>
        <w:t>final</w:t>
      </w:r>
      <w:r>
        <w:rPr>
          <w:spacing w:val="-2"/>
        </w:rPr>
        <w:t> </w:t>
      </w:r>
      <w:r>
        <w:rPr/>
        <w:t>selection</w:t>
      </w:r>
      <w:r>
        <w:rPr>
          <w:spacing w:val="-3"/>
        </w:rPr>
        <w:t> </w:t>
      </w:r>
      <w:r>
        <w:rPr/>
        <w:t>of</w:t>
      </w:r>
      <w:r>
        <w:rPr>
          <w:spacing w:val="-2"/>
        </w:rPr>
        <w:t> </w:t>
      </w:r>
      <w:r>
        <w:rPr/>
        <w:t>indicators.</w:t>
      </w:r>
      <w:r>
        <w:rPr>
          <w:spacing w:val="-2"/>
        </w:rPr>
        <w:t> </w:t>
      </w:r>
      <w:r>
        <w:rPr/>
        <w:t>The purpose of such analysis at the component level as noted by Korc and Ford (2013) is to determine the nature, appropriateness and robustness of the dataset as measure of water poverty. Similar preliminary</w:t>
      </w:r>
      <w:r>
        <w:rPr>
          <w:spacing w:val="-4"/>
        </w:rPr>
        <w:t> </w:t>
      </w:r>
      <w:r>
        <w:rPr/>
        <w:t>analysis should also be repeated at the sub-component level as the</w:t>
      </w:r>
      <w:r>
        <w:rPr>
          <w:spacing w:val="-1"/>
        </w:rPr>
        <w:t> </w:t>
      </w:r>
      <w:r>
        <w:rPr/>
        <w:t>underlying</w:t>
      </w:r>
      <w:r>
        <w:rPr>
          <w:spacing w:val="-3"/>
        </w:rPr>
        <w:t> </w:t>
      </w:r>
      <w:r>
        <w:rPr/>
        <w:t>nature</w:t>
      </w:r>
      <w:r>
        <w:rPr>
          <w:spacing w:val="-1"/>
        </w:rPr>
        <w:t> </w:t>
      </w:r>
      <w:r>
        <w:rPr/>
        <w:t>of the</w:t>
      </w:r>
      <w:r>
        <w:rPr>
          <w:spacing w:val="-1"/>
        </w:rPr>
        <w:t> </w:t>
      </w:r>
      <w:r>
        <w:rPr/>
        <w:t>indicators/variables</w:t>
      </w:r>
      <w:r>
        <w:rPr>
          <w:spacing w:val="-1"/>
        </w:rPr>
        <w:t> </w:t>
      </w:r>
      <w:r>
        <w:rPr/>
        <w:t>needs to be well analyzed before their</w:t>
      </w:r>
      <w:r>
        <w:rPr>
          <w:spacing w:val="-1"/>
        </w:rPr>
        <w:t> </w:t>
      </w:r>
      <w:r>
        <w:rPr/>
        <w:t>final </w:t>
      </w:r>
      <w:r>
        <w:rPr>
          <w:spacing w:val="-2"/>
        </w:rPr>
        <w:t>selection.</w:t>
      </w:r>
    </w:p>
    <w:p>
      <w:pPr>
        <w:pStyle w:val="BodyText"/>
        <w:spacing w:line="550" w:lineRule="atLeast" w:before="3"/>
        <w:ind w:left="267" w:right="730"/>
        <w:jc w:val="both"/>
      </w:pPr>
      <w:r>
        <w:rPr/>
        <w:t>This preliminary statistical analysis involves striking the right balance between comprehensiveness and avoidance of redundancy (Hajkowicz, 2006). In terms of comprehensiveness, Hajkowicz (2006) mentioned that the set of selected water poverty indicators</w:t>
      </w:r>
      <w:r>
        <w:rPr>
          <w:spacing w:val="-11"/>
        </w:rPr>
        <w:t> </w:t>
      </w:r>
      <w:r>
        <w:rPr/>
        <w:t>must</w:t>
      </w:r>
      <w:r>
        <w:rPr>
          <w:spacing w:val="-9"/>
        </w:rPr>
        <w:t> </w:t>
      </w:r>
      <w:r>
        <w:rPr/>
        <w:t>be</w:t>
      </w:r>
      <w:r>
        <w:rPr>
          <w:spacing w:val="-9"/>
        </w:rPr>
        <w:t> </w:t>
      </w:r>
      <w:r>
        <w:rPr/>
        <w:t>sufficient</w:t>
      </w:r>
      <w:r>
        <w:rPr>
          <w:spacing w:val="-9"/>
        </w:rPr>
        <w:t> </w:t>
      </w:r>
      <w:r>
        <w:rPr/>
        <w:t>enough</w:t>
      </w:r>
      <w:r>
        <w:rPr>
          <w:spacing w:val="-9"/>
        </w:rPr>
        <w:t> </w:t>
      </w:r>
      <w:r>
        <w:rPr/>
        <w:t>to</w:t>
      </w:r>
      <w:r>
        <w:rPr>
          <w:spacing w:val="-8"/>
        </w:rPr>
        <w:t> </w:t>
      </w:r>
      <w:r>
        <w:rPr/>
        <w:t>thoroughly</w:t>
      </w:r>
      <w:r>
        <w:rPr>
          <w:spacing w:val="-10"/>
        </w:rPr>
        <w:t> </w:t>
      </w:r>
      <w:r>
        <w:rPr/>
        <w:t>describe</w:t>
      </w:r>
      <w:r>
        <w:rPr>
          <w:spacing w:val="-10"/>
        </w:rPr>
        <w:t> </w:t>
      </w:r>
      <w:r>
        <w:rPr/>
        <w:t>the</w:t>
      </w:r>
      <w:r>
        <w:rPr>
          <w:spacing w:val="-9"/>
        </w:rPr>
        <w:t> </w:t>
      </w:r>
      <w:r>
        <w:rPr/>
        <w:t>phenomenon</w:t>
      </w:r>
      <w:r>
        <w:rPr>
          <w:spacing w:val="-7"/>
        </w:rPr>
        <w:t> </w:t>
      </w:r>
      <w:r>
        <w:rPr/>
        <w:t>to</w:t>
      </w:r>
      <w:r>
        <w:rPr>
          <w:spacing w:val="-9"/>
        </w:rPr>
        <w:t> </w:t>
      </w:r>
      <w:r>
        <w:rPr/>
        <w:t>be</w:t>
      </w:r>
      <w:r>
        <w:rPr>
          <w:spacing w:val="-9"/>
        </w:rPr>
        <w:t> </w:t>
      </w:r>
      <w:r>
        <w:rPr>
          <w:spacing w:val="-2"/>
        </w:rPr>
        <w:t>measured.</w:t>
      </w:r>
    </w:p>
    <w:p>
      <w:pPr>
        <w:spacing w:after="0" w:line="550" w:lineRule="atLeast"/>
        <w:jc w:val="both"/>
        <w:sectPr>
          <w:pgSz w:w="12240" w:h="15840"/>
          <w:pgMar w:header="0" w:footer="1068" w:top="1340" w:bottom="1260" w:left="1720" w:right="680"/>
        </w:sectPr>
      </w:pPr>
    </w:p>
    <w:p>
      <w:pPr>
        <w:pStyle w:val="BodyText"/>
        <w:spacing w:line="480" w:lineRule="auto" w:before="63"/>
        <w:ind w:left="267" w:right="729"/>
        <w:jc w:val="both"/>
      </w:pPr>
      <w:r>
        <w:rPr/>
        <w:t>A typical example of redundancy</w:t>
      </w:r>
      <w:r>
        <w:rPr>
          <w:spacing w:val="-4"/>
        </w:rPr>
        <w:t> </w:t>
      </w:r>
      <w:r>
        <w:rPr/>
        <w:t>is the case of multi-collinearity</w:t>
      </w:r>
      <w:r>
        <w:rPr>
          <w:spacing w:val="-4"/>
        </w:rPr>
        <w:t> </w:t>
      </w:r>
      <w:r>
        <w:rPr/>
        <w:t>of two or more</w:t>
      </w:r>
      <w:r>
        <w:rPr>
          <w:spacing w:val="-1"/>
        </w:rPr>
        <w:t> </w:t>
      </w:r>
      <w:r>
        <w:rPr/>
        <w:t>indicators. Generally,</w:t>
      </w:r>
      <w:r>
        <w:rPr>
          <w:spacing w:val="-1"/>
        </w:rPr>
        <w:t> </w:t>
      </w:r>
      <w:r>
        <w:rPr/>
        <w:t>a</w:t>
      </w:r>
      <w:r>
        <w:rPr>
          <w:spacing w:val="-2"/>
        </w:rPr>
        <w:t> </w:t>
      </w:r>
      <w:r>
        <w:rPr/>
        <w:t>lack</w:t>
      </w:r>
      <w:r>
        <w:rPr>
          <w:spacing w:val="-1"/>
        </w:rPr>
        <w:t> </w:t>
      </w:r>
      <w:r>
        <w:rPr/>
        <w:t>of</w:t>
      </w:r>
      <w:r>
        <w:rPr>
          <w:spacing w:val="-2"/>
        </w:rPr>
        <w:t> </w:t>
      </w:r>
      <w:r>
        <w:rPr/>
        <w:t>correlation</w:t>
      </w:r>
      <w:r>
        <w:rPr>
          <w:spacing w:val="-1"/>
        </w:rPr>
        <w:t> </w:t>
      </w:r>
      <w:r>
        <w:rPr/>
        <w:t>is</w:t>
      </w:r>
      <w:r>
        <w:rPr>
          <w:spacing w:val="-1"/>
        </w:rPr>
        <w:t> </w:t>
      </w:r>
      <w:r>
        <w:rPr/>
        <w:t>a</w:t>
      </w:r>
      <w:r>
        <w:rPr>
          <w:spacing w:val="-2"/>
        </w:rPr>
        <w:t> </w:t>
      </w:r>
      <w:r>
        <w:rPr/>
        <w:t>desirable</w:t>
      </w:r>
      <w:r>
        <w:rPr>
          <w:spacing w:val="-2"/>
        </w:rPr>
        <w:t> </w:t>
      </w:r>
      <w:r>
        <w:rPr/>
        <w:t>property,</w:t>
      </w:r>
      <w:r>
        <w:rPr>
          <w:spacing w:val="-1"/>
        </w:rPr>
        <w:t> </w:t>
      </w:r>
      <w:r>
        <w:rPr/>
        <w:t>as</w:t>
      </w:r>
      <w:r>
        <w:rPr>
          <w:spacing w:val="-1"/>
        </w:rPr>
        <w:t> </w:t>
      </w:r>
      <w:r>
        <w:rPr/>
        <w:t>the</w:t>
      </w:r>
      <w:r>
        <w:rPr>
          <w:spacing w:val="-2"/>
        </w:rPr>
        <w:t> </w:t>
      </w:r>
      <w:r>
        <w:rPr/>
        <w:t>presence</w:t>
      </w:r>
      <w:r>
        <w:rPr>
          <w:spacing w:val="-2"/>
        </w:rPr>
        <w:t> </w:t>
      </w:r>
      <w:r>
        <w:rPr/>
        <w:t>of</w:t>
      </w:r>
      <w:r>
        <w:rPr>
          <w:spacing w:val="-2"/>
        </w:rPr>
        <w:t> </w:t>
      </w:r>
      <w:r>
        <w:rPr/>
        <w:t>correlation</w:t>
      </w:r>
      <w:r>
        <w:rPr>
          <w:spacing w:val="-1"/>
        </w:rPr>
        <w:t> </w:t>
      </w:r>
      <w:r>
        <w:rPr/>
        <w:t>among the indicators at the sub-components may lead to redundancy and double counting- which bias the final index value.</w:t>
      </w:r>
    </w:p>
    <w:p>
      <w:pPr>
        <w:pStyle w:val="BodyText"/>
      </w:pPr>
    </w:p>
    <w:p>
      <w:pPr>
        <w:pStyle w:val="BodyText"/>
        <w:spacing w:line="480" w:lineRule="auto"/>
        <w:ind w:left="267" w:right="726"/>
        <w:jc w:val="both"/>
      </w:pPr>
      <w:r>
        <w:rPr/>
        <w:t>For the purpose of preliminary analysis of the water poverty indicators, Fenwick (2010) suggested that the dataset should first be screened for outliers (using box plots so as to account for sensitivity and improve the accuracy of the statistical analyses), normality (by employing histograms to assess whether the data are normally distributed) and linearity (through the use of scatter plots). Furthermore, the author noted that it is extremely</w:t>
      </w:r>
      <w:r>
        <w:rPr>
          <w:spacing w:val="-2"/>
        </w:rPr>
        <w:t> </w:t>
      </w:r>
      <w:r>
        <w:rPr/>
        <w:t>difficult to draw precise assumption about the relationship/association between the components/indicator scores and the final index value of the water poverty index without further statistical analyses, hence most case studies have adopted the use of pearsons correlation</w:t>
      </w:r>
      <w:r>
        <w:rPr>
          <w:spacing w:val="-15"/>
        </w:rPr>
        <w:t> </w:t>
      </w:r>
      <w:r>
        <w:rPr/>
        <w:t>matrices</w:t>
      </w:r>
      <w:r>
        <w:rPr>
          <w:spacing w:val="-15"/>
        </w:rPr>
        <w:t> </w:t>
      </w:r>
      <w:r>
        <w:rPr/>
        <w:t>as</w:t>
      </w:r>
      <w:r>
        <w:rPr>
          <w:spacing w:val="-15"/>
        </w:rPr>
        <w:t> </w:t>
      </w:r>
      <w:r>
        <w:rPr/>
        <w:t>a</w:t>
      </w:r>
      <w:r>
        <w:rPr>
          <w:spacing w:val="-15"/>
        </w:rPr>
        <w:t> </w:t>
      </w:r>
      <w:r>
        <w:rPr/>
        <w:t>measure</w:t>
      </w:r>
      <w:r>
        <w:rPr>
          <w:spacing w:val="-15"/>
        </w:rPr>
        <w:t> </w:t>
      </w:r>
      <w:r>
        <w:rPr/>
        <w:t>of</w:t>
      </w:r>
      <w:r>
        <w:rPr>
          <w:spacing w:val="-15"/>
        </w:rPr>
        <w:t> </w:t>
      </w:r>
      <w:r>
        <w:rPr/>
        <w:t>linearity.</w:t>
      </w:r>
      <w:r>
        <w:rPr>
          <w:spacing w:val="-15"/>
        </w:rPr>
        <w:t> </w:t>
      </w:r>
      <w:r>
        <w:rPr/>
        <w:t>Since</w:t>
      </w:r>
      <w:r>
        <w:rPr>
          <w:spacing w:val="-15"/>
        </w:rPr>
        <w:t> </w:t>
      </w:r>
      <w:r>
        <w:rPr/>
        <w:t>water</w:t>
      </w:r>
      <w:r>
        <w:rPr>
          <w:spacing w:val="-15"/>
        </w:rPr>
        <w:t> </w:t>
      </w:r>
      <w:r>
        <w:rPr/>
        <w:t>poverty</w:t>
      </w:r>
      <w:r>
        <w:rPr>
          <w:spacing w:val="-15"/>
        </w:rPr>
        <w:t> </w:t>
      </w:r>
      <w:r>
        <w:rPr/>
        <w:t>index</w:t>
      </w:r>
      <w:r>
        <w:rPr>
          <w:spacing w:val="-15"/>
        </w:rPr>
        <w:t> </w:t>
      </w:r>
      <w:r>
        <w:rPr/>
        <w:t>is</w:t>
      </w:r>
      <w:r>
        <w:rPr>
          <w:spacing w:val="-15"/>
        </w:rPr>
        <w:t> </w:t>
      </w:r>
      <w:r>
        <w:rPr/>
        <w:t>a</w:t>
      </w:r>
      <w:r>
        <w:rPr>
          <w:spacing w:val="-15"/>
        </w:rPr>
        <w:t> </w:t>
      </w:r>
      <w:r>
        <w:rPr/>
        <w:t>composite</w:t>
      </w:r>
      <w:r>
        <w:rPr>
          <w:spacing w:val="-15"/>
        </w:rPr>
        <w:t> </w:t>
      </w:r>
      <w:r>
        <w:rPr/>
        <w:t>index, an increment in a component’s score will lead to a corresponding increase in water poverty score. Therefore, such relationship is considered linear, and pearsons correlation can be employed to describe the strength (r) of each component’s relationship with respect to the water poverty</w:t>
      </w:r>
      <w:r>
        <w:rPr>
          <w:spacing w:val="-3"/>
        </w:rPr>
        <w:t> </w:t>
      </w:r>
      <w:r>
        <w:rPr/>
        <w:t>index. However, similar approach might not be applicable in the relationship among</w:t>
      </w:r>
      <w:r>
        <w:rPr>
          <w:spacing w:val="-15"/>
        </w:rPr>
        <w:t> </w:t>
      </w:r>
      <w:r>
        <w:rPr/>
        <w:t>the</w:t>
      </w:r>
      <w:r>
        <w:rPr>
          <w:spacing w:val="-15"/>
        </w:rPr>
        <w:t> </w:t>
      </w:r>
      <w:r>
        <w:rPr/>
        <w:t>sub-components.</w:t>
      </w:r>
      <w:r>
        <w:rPr>
          <w:spacing w:val="-15"/>
        </w:rPr>
        <w:t> </w:t>
      </w:r>
      <w:r>
        <w:rPr/>
        <w:t>In</w:t>
      </w:r>
      <w:r>
        <w:rPr>
          <w:spacing w:val="-15"/>
        </w:rPr>
        <w:t> </w:t>
      </w:r>
      <w:r>
        <w:rPr/>
        <w:t>such</w:t>
      </w:r>
      <w:r>
        <w:rPr>
          <w:spacing w:val="-15"/>
        </w:rPr>
        <w:t> </w:t>
      </w:r>
      <w:r>
        <w:rPr/>
        <w:t>cases,</w:t>
      </w:r>
      <w:r>
        <w:rPr>
          <w:spacing w:val="-15"/>
        </w:rPr>
        <w:t> </w:t>
      </w:r>
      <w:r>
        <w:rPr/>
        <w:t>the</w:t>
      </w:r>
      <w:r>
        <w:rPr>
          <w:spacing w:val="-15"/>
        </w:rPr>
        <w:t> </w:t>
      </w:r>
      <w:r>
        <w:rPr/>
        <w:t>data</w:t>
      </w:r>
      <w:r>
        <w:rPr>
          <w:spacing w:val="-15"/>
        </w:rPr>
        <w:t> </w:t>
      </w:r>
      <w:r>
        <w:rPr/>
        <w:t>must</w:t>
      </w:r>
      <w:r>
        <w:rPr>
          <w:spacing w:val="-15"/>
        </w:rPr>
        <w:t> </w:t>
      </w:r>
      <w:r>
        <w:rPr/>
        <w:t>be</w:t>
      </w:r>
      <w:r>
        <w:rPr>
          <w:spacing w:val="-15"/>
        </w:rPr>
        <w:t> </w:t>
      </w:r>
      <w:r>
        <w:rPr/>
        <w:t>assessed</w:t>
      </w:r>
      <w:r>
        <w:rPr>
          <w:spacing w:val="-15"/>
        </w:rPr>
        <w:t> </w:t>
      </w:r>
      <w:r>
        <w:rPr/>
        <w:t>first</w:t>
      </w:r>
      <w:r>
        <w:rPr>
          <w:spacing w:val="-15"/>
        </w:rPr>
        <w:t> </w:t>
      </w:r>
      <w:r>
        <w:rPr/>
        <w:t>for</w:t>
      </w:r>
      <w:r>
        <w:rPr>
          <w:spacing w:val="-15"/>
        </w:rPr>
        <w:t> </w:t>
      </w:r>
      <w:r>
        <w:rPr/>
        <w:t>linearity</w:t>
      </w:r>
      <w:r>
        <w:rPr>
          <w:spacing w:val="-15"/>
        </w:rPr>
        <w:t> </w:t>
      </w:r>
      <w:r>
        <w:rPr/>
        <w:t>through their scatter plots, before examining their linear correlations using pearsons correlations. They</w:t>
      </w:r>
      <w:r>
        <w:rPr>
          <w:spacing w:val="-3"/>
        </w:rPr>
        <w:t> </w:t>
      </w:r>
      <w:r>
        <w:rPr/>
        <w:t>cautioned that if</w:t>
      </w:r>
      <w:r>
        <w:rPr>
          <w:spacing w:val="-1"/>
        </w:rPr>
        <w:t> </w:t>
      </w:r>
      <w:r>
        <w:rPr/>
        <w:t>a</w:t>
      </w:r>
      <w:r>
        <w:rPr>
          <w:spacing w:val="-1"/>
        </w:rPr>
        <w:t> </w:t>
      </w:r>
      <w:r>
        <w:rPr/>
        <w:t>linear</w:t>
      </w:r>
      <w:r>
        <w:rPr>
          <w:spacing w:val="-1"/>
        </w:rPr>
        <w:t> </w:t>
      </w:r>
      <w:r>
        <w:rPr/>
        <w:t>relationship among the</w:t>
      </w:r>
      <w:r>
        <w:rPr>
          <w:spacing w:val="-1"/>
        </w:rPr>
        <w:t> </w:t>
      </w:r>
      <w:r>
        <w:rPr/>
        <w:t>sub-components does not exist</w:t>
      </w:r>
      <w:r>
        <w:rPr>
          <w:spacing w:val="-2"/>
        </w:rPr>
        <w:t> </w:t>
      </w:r>
      <w:r>
        <w:rPr/>
        <w:t>on the basis of their scatter plots, pearsons correlation should not be employed.</w:t>
      </w:r>
    </w:p>
    <w:p>
      <w:pPr>
        <w:pStyle w:val="BodyText"/>
        <w:spacing w:line="480" w:lineRule="auto"/>
        <w:ind w:left="267" w:right="730"/>
        <w:jc w:val="both"/>
      </w:pPr>
      <w:r>
        <w:rPr/>
        <w:t>An</w:t>
      </w:r>
      <w:r>
        <w:rPr>
          <w:spacing w:val="-2"/>
        </w:rPr>
        <w:t> </w:t>
      </w:r>
      <w:r>
        <w:rPr/>
        <w:t>alternative approach which</w:t>
      </w:r>
      <w:r>
        <w:rPr>
          <w:spacing w:val="-1"/>
        </w:rPr>
        <w:t> </w:t>
      </w:r>
      <w:r>
        <w:rPr/>
        <w:t>is</w:t>
      </w:r>
      <w:r>
        <w:rPr>
          <w:spacing w:val="-1"/>
        </w:rPr>
        <w:t> </w:t>
      </w:r>
      <w:r>
        <w:rPr/>
        <w:t>often</w:t>
      </w:r>
      <w:r>
        <w:rPr>
          <w:spacing w:val="-1"/>
        </w:rPr>
        <w:t> </w:t>
      </w:r>
      <w:r>
        <w:rPr/>
        <w:t>employed to</w:t>
      </w:r>
      <w:r>
        <w:rPr>
          <w:spacing w:val="-1"/>
        </w:rPr>
        <w:t> </w:t>
      </w:r>
      <w:r>
        <w:rPr/>
        <w:t>ensure</w:t>
      </w:r>
      <w:r>
        <w:rPr>
          <w:spacing w:val="-3"/>
        </w:rPr>
        <w:t> </w:t>
      </w:r>
      <w:r>
        <w:rPr/>
        <w:t>that</w:t>
      </w:r>
      <w:r>
        <w:rPr>
          <w:spacing w:val="-1"/>
        </w:rPr>
        <w:t> </w:t>
      </w:r>
      <w:r>
        <w:rPr/>
        <w:t>dataset</w:t>
      </w:r>
      <w:r>
        <w:rPr>
          <w:spacing w:val="-1"/>
        </w:rPr>
        <w:t> </w:t>
      </w:r>
      <w:r>
        <w:rPr/>
        <w:t>of</w:t>
      </w:r>
      <w:r>
        <w:rPr>
          <w:spacing w:val="-2"/>
        </w:rPr>
        <w:t> </w:t>
      </w:r>
      <w:r>
        <w:rPr/>
        <w:t>the</w:t>
      </w:r>
      <w:r>
        <w:rPr>
          <w:spacing w:val="-2"/>
        </w:rPr>
        <w:t> </w:t>
      </w:r>
      <w:r>
        <w:rPr/>
        <w:t>water</w:t>
      </w:r>
      <w:r>
        <w:rPr>
          <w:spacing w:val="-3"/>
        </w:rPr>
        <w:t> </w:t>
      </w:r>
      <w:r>
        <w:rPr/>
        <w:t>poverty indicators</w:t>
      </w:r>
      <w:r>
        <w:rPr>
          <w:spacing w:val="-4"/>
        </w:rPr>
        <w:t> </w:t>
      </w:r>
      <w:r>
        <w:rPr/>
        <w:t>is</w:t>
      </w:r>
      <w:r>
        <w:rPr>
          <w:spacing w:val="-2"/>
        </w:rPr>
        <w:t> </w:t>
      </w:r>
      <w:r>
        <w:rPr/>
        <w:t>well-balance</w:t>
      </w:r>
      <w:r>
        <w:rPr>
          <w:spacing w:val="-3"/>
        </w:rPr>
        <w:t> </w:t>
      </w:r>
      <w:r>
        <w:rPr/>
        <w:t>(reduce</w:t>
      </w:r>
      <w:r>
        <w:rPr>
          <w:spacing w:val="-1"/>
        </w:rPr>
        <w:t> </w:t>
      </w:r>
      <w:r>
        <w:rPr/>
        <w:t>redundancy</w:t>
      </w:r>
      <w:r>
        <w:rPr>
          <w:spacing w:val="-9"/>
        </w:rPr>
        <w:t> </w:t>
      </w:r>
      <w:r>
        <w:rPr/>
        <w:t>without</w:t>
      </w:r>
      <w:r>
        <w:rPr>
          <w:spacing w:val="-2"/>
        </w:rPr>
        <w:t> </w:t>
      </w:r>
      <w:r>
        <w:rPr/>
        <w:t>sacrificing</w:t>
      </w:r>
      <w:r>
        <w:rPr>
          <w:spacing w:val="-6"/>
        </w:rPr>
        <w:t> </w:t>
      </w:r>
      <w:r>
        <w:rPr/>
        <w:t>the</w:t>
      </w:r>
      <w:r>
        <w:rPr>
          <w:spacing w:val="-4"/>
        </w:rPr>
        <w:t> </w:t>
      </w:r>
      <w:r>
        <w:rPr/>
        <w:t>comprehensiveness)</w:t>
      </w:r>
      <w:r>
        <w:rPr>
          <w:spacing w:val="-1"/>
        </w:rPr>
        <w:t> </w:t>
      </w:r>
      <w:r>
        <w:rPr>
          <w:spacing w:val="-5"/>
        </w:rPr>
        <w:t>is</w:t>
      </w:r>
    </w:p>
    <w:p>
      <w:pPr>
        <w:spacing w:after="0" w:line="480" w:lineRule="auto"/>
        <w:jc w:val="both"/>
        <w:sectPr>
          <w:pgSz w:w="12240" w:h="15840"/>
          <w:pgMar w:header="0" w:footer="1068" w:top="1340" w:bottom="1260" w:left="1720" w:right="680"/>
        </w:sectPr>
      </w:pPr>
    </w:p>
    <w:p>
      <w:pPr>
        <w:pStyle w:val="BodyText"/>
        <w:spacing w:line="480" w:lineRule="auto" w:before="63"/>
        <w:ind w:left="267" w:right="728"/>
        <w:jc w:val="both"/>
      </w:pPr>
      <w:r>
        <w:rPr/>
        <w:t>the</w:t>
      </w:r>
      <w:r>
        <w:rPr>
          <w:spacing w:val="-4"/>
        </w:rPr>
        <w:t> </w:t>
      </w:r>
      <w:r>
        <w:rPr/>
        <w:t>multivariate</w:t>
      </w:r>
      <w:r>
        <w:rPr>
          <w:spacing w:val="-5"/>
        </w:rPr>
        <w:t> </w:t>
      </w:r>
      <w:r>
        <w:rPr/>
        <w:t>technique</w:t>
      </w:r>
      <w:r>
        <w:rPr>
          <w:spacing w:val="-5"/>
        </w:rPr>
        <w:t> </w:t>
      </w:r>
      <w:r>
        <w:rPr/>
        <w:t>(Principal</w:t>
      </w:r>
      <w:r>
        <w:rPr>
          <w:spacing w:val="-4"/>
        </w:rPr>
        <w:t> </w:t>
      </w:r>
      <w:r>
        <w:rPr/>
        <w:t>Component</w:t>
      </w:r>
      <w:r>
        <w:rPr>
          <w:spacing w:val="-4"/>
        </w:rPr>
        <w:t> </w:t>
      </w:r>
      <w:r>
        <w:rPr/>
        <w:t>Analysis).</w:t>
      </w:r>
      <w:r>
        <w:rPr>
          <w:spacing w:val="-4"/>
        </w:rPr>
        <w:t> </w:t>
      </w:r>
      <w:r>
        <w:rPr/>
        <w:t>The</w:t>
      </w:r>
      <w:r>
        <w:rPr>
          <w:spacing w:val="-2"/>
        </w:rPr>
        <w:t> </w:t>
      </w:r>
      <w:r>
        <w:rPr/>
        <w:t>use</w:t>
      </w:r>
      <w:r>
        <w:rPr>
          <w:spacing w:val="-5"/>
        </w:rPr>
        <w:t> </w:t>
      </w:r>
      <w:r>
        <w:rPr/>
        <w:t>of</w:t>
      </w:r>
      <w:r>
        <w:rPr>
          <w:spacing w:val="-4"/>
        </w:rPr>
        <w:t> </w:t>
      </w:r>
      <w:r>
        <w:rPr/>
        <w:t>principal</w:t>
      </w:r>
      <w:r>
        <w:rPr>
          <w:spacing w:val="-4"/>
        </w:rPr>
        <w:t> </w:t>
      </w:r>
      <w:r>
        <w:rPr/>
        <w:t>component analysis for preliminary</w:t>
      </w:r>
      <w:r>
        <w:rPr>
          <w:spacing w:val="-1"/>
        </w:rPr>
        <w:t> </w:t>
      </w:r>
      <w:r>
        <w:rPr/>
        <w:t>analysis at component and sub-components will reduce large set of correlated variables to small dataset of uncorrelated data without the loss of much </w:t>
      </w:r>
      <w:r>
        <w:rPr>
          <w:spacing w:val="-2"/>
        </w:rPr>
        <w:t>information.</w:t>
      </w:r>
    </w:p>
    <w:p>
      <w:pPr>
        <w:pStyle w:val="Heading1"/>
        <w:numPr>
          <w:ilvl w:val="3"/>
          <w:numId w:val="6"/>
        </w:numPr>
        <w:tabs>
          <w:tab w:pos="1106" w:val="left" w:leader="none"/>
        </w:tabs>
        <w:spacing w:line="240" w:lineRule="auto" w:before="8" w:after="0"/>
        <w:ind w:left="1106" w:right="0" w:hanging="839"/>
        <w:jc w:val="both"/>
      </w:pPr>
      <w:r>
        <w:rPr/>
        <w:t>Selection</w:t>
      </w:r>
      <w:r>
        <w:rPr>
          <w:spacing w:val="-1"/>
        </w:rPr>
        <w:t> </w:t>
      </w:r>
      <w:r>
        <w:rPr/>
        <w:t>of indicators</w:t>
      </w:r>
      <w:r>
        <w:rPr>
          <w:spacing w:val="-1"/>
        </w:rPr>
        <w:t> </w:t>
      </w:r>
      <w:r>
        <w:rPr/>
        <w:t>at</w:t>
      </w:r>
      <w:r>
        <w:rPr>
          <w:spacing w:val="-1"/>
        </w:rPr>
        <w:t> </w:t>
      </w:r>
      <w:r>
        <w:rPr/>
        <w:t>sub-</w:t>
      </w:r>
      <w:r>
        <w:rPr>
          <w:spacing w:val="-2"/>
        </w:rPr>
        <w:t> </w:t>
      </w:r>
      <w:r>
        <w:rPr/>
        <w:t>component</w:t>
      </w:r>
      <w:r>
        <w:rPr>
          <w:spacing w:val="-1"/>
        </w:rPr>
        <w:t> </w:t>
      </w:r>
      <w:r>
        <w:rPr>
          <w:spacing w:val="-4"/>
        </w:rPr>
        <w:t>level</w:t>
      </w:r>
    </w:p>
    <w:p>
      <w:pPr>
        <w:pStyle w:val="BodyText"/>
        <w:spacing w:before="14"/>
        <w:rPr>
          <w:b/>
        </w:rPr>
      </w:pPr>
    </w:p>
    <w:p>
      <w:pPr>
        <w:pStyle w:val="BodyText"/>
        <w:ind w:left="267"/>
        <w:jc w:val="both"/>
      </w:pPr>
      <w:r>
        <w:rPr/>
        <w:t>The</w:t>
      </w:r>
      <w:r>
        <w:rPr>
          <w:spacing w:val="16"/>
        </w:rPr>
        <w:t> </w:t>
      </w:r>
      <w:r>
        <w:rPr/>
        <w:t>preliminary</w:t>
      </w:r>
      <w:r>
        <w:rPr>
          <w:spacing w:val="14"/>
        </w:rPr>
        <w:t> </w:t>
      </w:r>
      <w:r>
        <w:rPr/>
        <w:t>evaluation</w:t>
      </w:r>
      <w:r>
        <w:rPr>
          <w:spacing w:val="18"/>
        </w:rPr>
        <w:t> </w:t>
      </w:r>
      <w:r>
        <w:rPr/>
        <w:t>of</w:t>
      </w:r>
      <w:r>
        <w:rPr>
          <w:spacing w:val="17"/>
        </w:rPr>
        <w:t> </w:t>
      </w:r>
      <w:r>
        <w:rPr/>
        <w:t>the</w:t>
      </w:r>
      <w:r>
        <w:rPr>
          <w:spacing w:val="18"/>
        </w:rPr>
        <w:t> </w:t>
      </w:r>
      <w:r>
        <w:rPr/>
        <w:t>datasets</w:t>
      </w:r>
      <w:r>
        <w:rPr>
          <w:spacing w:val="19"/>
        </w:rPr>
        <w:t> </w:t>
      </w:r>
      <w:r>
        <w:rPr/>
        <w:t>using</w:t>
      </w:r>
      <w:r>
        <w:rPr>
          <w:spacing w:val="17"/>
        </w:rPr>
        <w:t> </w:t>
      </w:r>
      <w:r>
        <w:rPr/>
        <w:t>the</w:t>
      </w:r>
      <w:r>
        <w:rPr>
          <w:spacing w:val="18"/>
        </w:rPr>
        <w:t> </w:t>
      </w:r>
      <w:r>
        <w:rPr/>
        <w:t>varied</w:t>
      </w:r>
      <w:r>
        <w:rPr>
          <w:spacing w:val="21"/>
        </w:rPr>
        <w:t> </w:t>
      </w:r>
      <w:r>
        <w:rPr/>
        <w:t>approaches</w:t>
      </w:r>
      <w:r>
        <w:rPr>
          <w:spacing w:val="18"/>
        </w:rPr>
        <w:t> </w:t>
      </w:r>
      <w:r>
        <w:rPr/>
        <w:t>mention</w:t>
      </w:r>
      <w:r>
        <w:rPr>
          <w:spacing w:val="18"/>
        </w:rPr>
        <w:t> </w:t>
      </w:r>
      <w:r>
        <w:rPr/>
        <w:t>in</w:t>
      </w:r>
      <w:r>
        <w:rPr>
          <w:spacing w:val="19"/>
        </w:rPr>
        <w:t> </w:t>
      </w:r>
      <w:r>
        <w:rPr>
          <w:spacing w:val="-2"/>
        </w:rPr>
        <w:t>section</w:t>
      </w:r>
    </w:p>
    <w:p>
      <w:pPr>
        <w:pStyle w:val="BodyText"/>
      </w:pPr>
    </w:p>
    <w:p>
      <w:pPr>
        <w:pStyle w:val="BodyText"/>
        <w:ind w:left="267"/>
        <w:jc w:val="both"/>
      </w:pPr>
      <w:r>
        <w:rPr/>
        <w:t>2.7.1.4</w:t>
      </w:r>
      <w:r>
        <w:rPr>
          <w:spacing w:val="6"/>
        </w:rPr>
        <w:t> </w:t>
      </w:r>
      <w:r>
        <w:rPr/>
        <w:t>will</w:t>
      </w:r>
      <w:r>
        <w:rPr>
          <w:spacing w:val="12"/>
        </w:rPr>
        <w:t> </w:t>
      </w:r>
      <w:r>
        <w:rPr/>
        <w:t>yield</w:t>
      </w:r>
      <w:r>
        <w:rPr>
          <w:spacing w:val="8"/>
        </w:rPr>
        <w:t> </w:t>
      </w:r>
      <w:r>
        <w:rPr/>
        <w:t>the</w:t>
      </w:r>
      <w:r>
        <w:rPr>
          <w:spacing w:val="8"/>
        </w:rPr>
        <w:t> </w:t>
      </w:r>
      <w:r>
        <w:rPr/>
        <w:t>final</w:t>
      </w:r>
      <w:r>
        <w:rPr>
          <w:spacing w:val="8"/>
        </w:rPr>
        <w:t> </w:t>
      </w:r>
      <w:r>
        <w:rPr/>
        <w:t>water</w:t>
      </w:r>
      <w:r>
        <w:rPr>
          <w:spacing w:val="8"/>
        </w:rPr>
        <w:t> </w:t>
      </w:r>
      <w:r>
        <w:rPr/>
        <w:t>poverty</w:t>
      </w:r>
      <w:r>
        <w:rPr>
          <w:spacing w:val="3"/>
        </w:rPr>
        <w:t> </w:t>
      </w:r>
      <w:r>
        <w:rPr/>
        <w:t>indicators</w:t>
      </w:r>
      <w:r>
        <w:rPr>
          <w:spacing w:val="9"/>
        </w:rPr>
        <w:t> </w:t>
      </w:r>
      <w:r>
        <w:rPr/>
        <w:t>to</w:t>
      </w:r>
      <w:r>
        <w:rPr>
          <w:spacing w:val="8"/>
        </w:rPr>
        <w:t> </w:t>
      </w:r>
      <w:r>
        <w:rPr/>
        <w:t>be</w:t>
      </w:r>
      <w:r>
        <w:rPr>
          <w:spacing w:val="8"/>
        </w:rPr>
        <w:t> </w:t>
      </w:r>
      <w:r>
        <w:rPr/>
        <w:t>selected</w:t>
      </w:r>
      <w:r>
        <w:rPr>
          <w:spacing w:val="7"/>
        </w:rPr>
        <w:t> </w:t>
      </w:r>
      <w:r>
        <w:rPr/>
        <w:t>the</w:t>
      </w:r>
      <w:r>
        <w:rPr>
          <w:spacing w:val="8"/>
        </w:rPr>
        <w:t> </w:t>
      </w:r>
      <w:r>
        <w:rPr/>
        <w:t>sub-component</w:t>
      </w:r>
      <w:r>
        <w:rPr>
          <w:spacing w:val="9"/>
        </w:rPr>
        <w:t> </w:t>
      </w:r>
      <w:r>
        <w:rPr>
          <w:spacing w:val="-2"/>
        </w:rPr>
        <w:t>level.</w:t>
      </w:r>
    </w:p>
    <w:p>
      <w:pPr>
        <w:pStyle w:val="BodyText"/>
        <w:spacing w:before="1"/>
      </w:pPr>
    </w:p>
    <w:p>
      <w:pPr>
        <w:pStyle w:val="BodyText"/>
        <w:spacing w:line="480" w:lineRule="auto"/>
        <w:ind w:left="267" w:right="729"/>
        <w:jc w:val="both"/>
      </w:pPr>
      <w:r>
        <w:rPr/>
        <w:t>It</w:t>
      </w:r>
      <w:r>
        <w:rPr>
          <w:spacing w:val="-1"/>
        </w:rPr>
        <w:t> </w:t>
      </w:r>
      <w:r>
        <w:rPr/>
        <w:t>has</w:t>
      </w:r>
      <w:r>
        <w:rPr>
          <w:spacing w:val="-1"/>
        </w:rPr>
        <w:t> </w:t>
      </w:r>
      <w:r>
        <w:rPr/>
        <w:t>however</w:t>
      </w:r>
      <w:r>
        <w:rPr>
          <w:spacing w:val="-2"/>
        </w:rPr>
        <w:t> </w:t>
      </w:r>
      <w:r>
        <w:rPr/>
        <w:t>been</w:t>
      </w:r>
      <w:r>
        <w:rPr>
          <w:spacing w:val="-1"/>
        </w:rPr>
        <w:t> </w:t>
      </w:r>
      <w:r>
        <w:rPr/>
        <w:t>mentioned</w:t>
      </w:r>
      <w:r>
        <w:rPr>
          <w:spacing w:val="-2"/>
        </w:rPr>
        <w:t> </w:t>
      </w:r>
      <w:r>
        <w:rPr/>
        <w:t>that</w:t>
      </w:r>
      <w:r>
        <w:rPr>
          <w:spacing w:val="-1"/>
        </w:rPr>
        <w:t> </w:t>
      </w:r>
      <w:r>
        <w:rPr/>
        <w:t>the</w:t>
      </w:r>
      <w:r>
        <w:rPr>
          <w:spacing w:val="-2"/>
        </w:rPr>
        <w:t> </w:t>
      </w:r>
      <w:r>
        <w:rPr/>
        <w:t>final</w:t>
      </w:r>
      <w:r>
        <w:rPr>
          <w:spacing w:val="-1"/>
        </w:rPr>
        <w:t> </w:t>
      </w:r>
      <w:r>
        <w:rPr/>
        <w:t>choice</w:t>
      </w:r>
      <w:r>
        <w:rPr>
          <w:spacing w:val="-2"/>
        </w:rPr>
        <w:t> </w:t>
      </w:r>
      <w:r>
        <w:rPr/>
        <w:t>of the</w:t>
      </w:r>
      <w:r>
        <w:rPr>
          <w:spacing w:val="-2"/>
        </w:rPr>
        <w:t> </w:t>
      </w:r>
      <w:r>
        <w:rPr/>
        <w:t>indicators</w:t>
      </w:r>
      <w:r>
        <w:rPr>
          <w:spacing w:val="-1"/>
        </w:rPr>
        <w:t> </w:t>
      </w:r>
      <w:r>
        <w:rPr/>
        <w:t>for</w:t>
      </w:r>
      <w:r>
        <w:rPr>
          <w:spacing w:val="-3"/>
        </w:rPr>
        <w:t> </w:t>
      </w:r>
      <w:r>
        <w:rPr/>
        <w:t>selection</w:t>
      </w:r>
      <w:r>
        <w:rPr>
          <w:spacing w:val="-1"/>
        </w:rPr>
        <w:t> </w:t>
      </w:r>
      <w:r>
        <w:rPr/>
        <w:t>should</w:t>
      </w:r>
      <w:r>
        <w:rPr>
          <w:spacing w:val="-1"/>
        </w:rPr>
        <w:t> </w:t>
      </w:r>
      <w:r>
        <w:rPr/>
        <w:t>be premised</w:t>
      </w:r>
      <w:r>
        <w:rPr>
          <w:spacing w:val="-11"/>
        </w:rPr>
        <w:t> </w:t>
      </w:r>
      <w:r>
        <w:rPr/>
        <w:t>on</w:t>
      </w:r>
      <w:r>
        <w:rPr>
          <w:spacing w:val="-8"/>
        </w:rPr>
        <w:t> </w:t>
      </w:r>
      <w:r>
        <w:rPr/>
        <w:t>accurate</w:t>
      </w:r>
      <w:r>
        <w:rPr>
          <w:spacing w:val="-9"/>
        </w:rPr>
        <w:t> </w:t>
      </w:r>
      <w:r>
        <w:rPr/>
        <w:t>qualitative</w:t>
      </w:r>
      <w:r>
        <w:rPr>
          <w:spacing w:val="-11"/>
        </w:rPr>
        <w:t> </w:t>
      </w:r>
      <w:r>
        <w:rPr/>
        <w:t>and</w:t>
      </w:r>
      <w:r>
        <w:rPr>
          <w:spacing w:val="-11"/>
        </w:rPr>
        <w:t> </w:t>
      </w:r>
      <w:r>
        <w:rPr/>
        <w:t>theoretical</w:t>
      </w:r>
      <w:r>
        <w:rPr>
          <w:spacing w:val="-10"/>
        </w:rPr>
        <w:t> </w:t>
      </w:r>
      <w:r>
        <w:rPr/>
        <w:t>understanding</w:t>
      </w:r>
      <w:r>
        <w:rPr>
          <w:spacing w:val="-13"/>
        </w:rPr>
        <w:t> </w:t>
      </w:r>
      <w:r>
        <w:rPr/>
        <w:t>of</w:t>
      </w:r>
      <w:r>
        <w:rPr>
          <w:spacing w:val="-9"/>
        </w:rPr>
        <w:t> </w:t>
      </w:r>
      <w:r>
        <w:rPr/>
        <w:t>the</w:t>
      </w:r>
      <w:r>
        <w:rPr>
          <w:spacing w:val="-11"/>
        </w:rPr>
        <w:t> </w:t>
      </w:r>
      <w:r>
        <w:rPr/>
        <w:t>phenomena</w:t>
      </w:r>
      <w:r>
        <w:rPr>
          <w:spacing w:val="-12"/>
        </w:rPr>
        <w:t> </w:t>
      </w:r>
      <w:r>
        <w:rPr/>
        <w:t>in</w:t>
      </w:r>
      <w:r>
        <w:rPr>
          <w:spacing w:val="-10"/>
        </w:rPr>
        <w:t> </w:t>
      </w:r>
      <w:r>
        <w:rPr/>
        <w:t>question (Booysen,</w:t>
      </w:r>
      <w:r>
        <w:rPr>
          <w:spacing w:val="-4"/>
        </w:rPr>
        <w:t> </w:t>
      </w:r>
      <w:r>
        <w:rPr/>
        <w:t>2002;</w:t>
      </w:r>
      <w:r>
        <w:rPr>
          <w:spacing w:val="-5"/>
        </w:rPr>
        <w:t> </w:t>
      </w:r>
      <w:r>
        <w:rPr/>
        <w:t>Saisana</w:t>
      </w:r>
      <w:r>
        <w:rPr>
          <w:spacing w:val="-4"/>
        </w:rPr>
        <w:t> </w:t>
      </w:r>
      <w:r>
        <w:rPr/>
        <w:t>and</w:t>
      </w:r>
      <w:r>
        <w:rPr>
          <w:spacing w:val="-6"/>
        </w:rPr>
        <w:t> </w:t>
      </w:r>
      <w:r>
        <w:rPr/>
        <w:t>Tarantola,</w:t>
      </w:r>
      <w:r>
        <w:rPr>
          <w:spacing w:val="-6"/>
        </w:rPr>
        <w:t> </w:t>
      </w:r>
      <w:r>
        <w:rPr/>
        <w:t>2002).</w:t>
      </w:r>
      <w:r>
        <w:rPr>
          <w:spacing w:val="-7"/>
        </w:rPr>
        <w:t> </w:t>
      </w:r>
      <w:r>
        <w:rPr/>
        <w:t>A</w:t>
      </w:r>
      <w:r>
        <w:rPr>
          <w:spacing w:val="-4"/>
        </w:rPr>
        <w:t> </w:t>
      </w:r>
      <w:r>
        <w:rPr/>
        <w:t>requisite</w:t>
      </w:r>
      <w:r>
        <w:rPr>
          <w:spacing w:val="-6"/>
        </w:rPr>
        <w:t> </w:t>
      </w:r>
      <w:r>
        <w:rPr/>
        <w:t>condition</w:t>
      </w:r>
      <w:r>
        <w:rPr>
          <w:spacing w:val="-5"/>
        </w:rPr>
        <w:t> </w:t>
      </w:r>
      <w:r>
        <w:rPr/>
        <w:t>after</w:t>
      </w:r>
      <w:r>
        <w:rPr>
          <w:spacing w:val="-7"/>
        </w:rPr>
        <w:t> </w:t>
      </w:r>
      <w:r>
        <w:rPr/>
        <w:t>the</w:t>
      </w:r>
      <w:r>
        <w:rPr>
          <w:spacing w:val="-7"/>
        </w:rPr>
        <w:t> </w:t>
      </w:r>
      <w:r>
        <w:rPr/>
        <w:t>final</w:t>
      </w:r>
      <w:r>
        <w:rPr>
          <w:spacing w:val="-3"/>
        </w:rPr>
        <w:t> </w:t>
      </w:r>
      <w:r>
        <w:rPr/>
        <w:t>selection of the water poverty indicators is its normalization as explained in the next sub-section.</w:t>
      </w:r>
    </w:p>
    <w:p>
      <w:pPr>
        <w:pStyle w:val="BodyText"/>
        <w:spacing w:before="7"/>
      </w:pPr>
    </w:p>
    <w:p>
      <w:pPr>
        <w:pStyle w:val="Heading1"/>
        <w:numPr>
          <w:ilvl w:val="3"/>
          <w:numId w:val="6"/>
        </w:numPr>
        <w:tabs>
          <w:tab w:pos="1106" w:val="left" w:leader="none"/>
        </w:tabs>
        <w:spacing w:line="240" w:lineRule="auto" w:before="0" w:after="0"/>
        <w:ind w:left="1106" w:right="0" w:hanging="839"/>
        <w:jc w:val="both"/>
      </w:pPr>
      <w:r>
        <w:rPr/>
        <w:t>Normalization</w:t>
      </w:r>
      <w:r>
        <w:rPr>
          <w:spacing w:val="-1"/>
        </w:rPr>
        <w:t> </w:t>
      </w:r>
      <w:r>
        <w:rPr/>
        <w:t>of</w:t>
      </w:r>
      <w:r>
        <w:rPr>
          <w:spacing w:val="1"/>
        </w:rPr>
        <w:t> </w:t>
      </w:r>
      <w:r>
        <w:rPr/>
        <w:t>water</w:t>
      </w:r>
      <w:r>
        <w:rPr>
          <w:spacing w:val="-3"/>
        </w:rPr>
        <w:t> </w:t>
      </w:r>
      <w:r>
        <w:rPr/>
        <w:t>poverty</w:t>
      </w:r>
      <w:r>
        <w:rPr>
          <w:spacing w:val="-1"/>
        </w:rPr>
        <w:t> </w:t>
      </w:r>
      <w:r>
        <w:rPr>
          <w:spacing w:val="-2"/>
        </w:rPr>
        <w:t>indicators</w:t>
      </w:r>
    </w:p>
    <w:p>
      <w:pPr>
        <w:pStyle w:val="BodyText"/>
        <w:spacing w:before="15"/>
        <w:rPr>
          <w:b/>
        </w:rPr>
      </w:pPr>
    </w:p>
    <w:p>
      <w:pPr>
        <w:pStyle w:val="BodyText"/>
        <w:spacing w:line="482" w:lineRule="auto"/>
        <w:ind w:left="267" w:right="723"/>
        <w:jc w:val="both"/>
      </w:pPr>
      <w:r>
        <w:rPr/>
        <w:t>Most water poverty studies (Fenwick, 2010; Sullivan and Jemmali, 2014) normalized the data</w:t>
      </w:r>
      <w:r>
        <w:rPr>
          <w:spacing w:val="-10"/>
        </w:rPr>
        <w:t> </w:t>
      </w:r>
      <w:r>
        <w:rPr/>
        <w:t>on</w:t>
      </w:r>
      <w:r>
        <w:rPr>
          <w:spacing w:val="-10"/>
        </w:rPr>
        <w:t> </w:t>
      </w:r>
      <w:r>
        <w:rPr/>
        <w:t>water</w:t>
      </w:r>
      <w:r>
        <w:rPr>
          <w:spacing w:val="-11"/>
        </w:rPr>
        <w:t> </w:t>
      </w:r>
      <w:r>
        <w:rPr/>
        <w:t>poverty</w:t>
      </w:r>
      <w:r>
        <w:rPr>
          <w:spacing w:val="-14"/>
        </w:rPr>
        <w:t> </w:t>
      </w:r>
      <w:r>
        <w:rPr/>
        <w:t>indicators</w:t>
      </w:r>
      <w:r>
        <w:rPr>
          <w:spacing w:val="-10"/>
        </w:rPr>
        <w:t> </w:t>
      </w:r>
      <w:r>
        <w:rPr/>
        <w:t>by</w:t>
      </w:r>
      <w:r>
        <w:rPr>
          <w:spacing w:val="-12"/>
        </w:rPr>
        <w:t> </w:t>
      </w:r>
      <w:r>
        <w:rPr/>
        <w:t>employing</w:t>
      </w:r>
      <w:r>
        <w:rPr>
          <w:spacing w:val="-12"/>
        </w:rPr>
        <w:t> </w:t>
      </w:r>
      <w:r>
        <w:rPr/>
        <w:t>the</w:t>
      </w:r>
      <w:r>
        <w:rPr>
          <w:spacing w:val="-8"/>
        </w:rPr>
        <w:t> </w:t>
      </w:r>
      <w:r>
        <w:rPr/>
        <w:t>minimum-maximum</w:t>
      </w:r>
      <w:r>
        <w:rPr>
          <w:spacing w:val="-9"/>
        </w:rPr>
        <w:t> </w:t>
      </w:r>
      <w:r>
        <w:rPr/>
        <w:t>(otherwise</w:t>
      </w:r>
      <w:r>
        <w:rPr>
          <w:spacing w:val="-10"/>
        </w:rPr>
        <w:t> </w:t>
      </w:r>
      <w:r>
        <w:rPr/>
        <w:t>known</w:t>
      </w:r>
      <w:r>
        <w:rPr>
          <w:spacing w:val="-10"/>
        </w:rPr>
        <w:t> </w:t>
      </w:r>
      <w:r>
        <w:rPr/>
        <w:t>as linear scaling) approach. This normalization procedure complies with the recommendation suggested</w:t>
      </w:r>
      <w:r>
        <w:rPr>
          <w:spacing w:val="-9"/>
        </w:rPr>
        <w:t> </w:t>
      </w:r>
      <w:r>
        <w:rPr/>
        <w:t>in</w:t>
      </w:r>
      <w:r>
        <w:rPr>
          <w:spacing w:val="-10"/>
        </w:rPr>
        <w:t> </w:t>
      </w:r>
      <w:r>
        <w:rPr/>
        <w:t>the</w:t>
      </w:r>
      <w:r>
        <w:rPr>
          <w:spacing w:val="-11"/>
        </w:rPr>
        <w:t> </w:t>
      </w:r>
      <w:r>
        <w:rPr/>
        <w:t>Handbook</w:t>
      </w:r>
      <w:r>
        <w:rPr>
          <w:spacing w:val="-11"/>
        </w:rPr>
        <w:t> </w:t>
      </w:r>
      <w:r>
        <w:rPr/>
        <w:t>on</w:t>
      </w:r>
      <w:r>
        <w:rPr>
          <w:spacing w:val="-11"/>
        </w:rPr>
        <w:t> </w:t>
      </w:r>
      <w:r>
        <w:rPr/>
        <w:t>Construction</w:t>
      </w:r>
      <w:r>
        <w:rPr>
          <w:spacing w:val="-11"/>
        </w:rPr>
        <w:t> </w:t>
      </w:r>
      <w:r>
        <w:rPr/>
        <w:t>of</w:t>
      </w:r>
      <w:r>
        <w:rPr>
          <w:spacing w:val="-11"/>
        </w:rPr>
        <w:t> </w:t>
      </w:r>
      <w:r>
        <w:rPr/>
        <w:t>Composite</w:t>
      </w:r>
      <w:r>
        <w:rPr>
          <w:spacing w:val="-9"/>
        </w:rPr>
        <w:t> </w:t>
      </w:r>
      <w:r>
        <w:rPr/>
        <w:t>Indicators</w:t>
      </w:r>
      <w:r>
        <w:rPr>
          <w:spacing w:val="-11"/>
        </w:rPr>
        <w:t> </w:t>
      </w:r>
      <w:r>
        <w:rPr/>
        <w:t>(Nardo</w:t>
      </w:r>
      <w:r>
        <w:rPr>
          <w:spacing w:val="-6"/>
        </w:rPr>
        <w:t> </w:t>
      </w:r>
      <w:r>
        <w:rPr>
          <w:i/>
        </w:rPr>
        <w:t>et</w:t>
      </w:r>
      <w:r>
        <w:rPr>
          <w:i/>
          <w:spacing w:val="-10"/>
        </w:rPr>
        <w:t> </w:t>
      </w:r>
      <w:r>
        <w:rPr>
          <w:i/>
        </w:rPr>
        <w:t>al.</w:t>
      </w:r>
      <w:r>
        <w:rPr/>
        <w:t>,</w:t>
      </w:r>
      <w:r>
        <w:rPr>
          <w:spacing w:val="-11"/>
        </w:rPr>
        <w:t> </w:t>
      </w:r>
      <w:r>
        <w:rPr/>
        <w:t>2008).</w:t>
      </w:r>
      <w:r>
        <w:rPr>
          <w:spacing w:val="-11"/>
        </w:rPr>
        <w:t> </w:t>
      </w:r>
      <w:r>
        <w:rPr/>
        <w:t>As stated by Nardo </w:t>
      </w:r>
      <w:r>
        <w:rPr>
          <w:i/>
        </w:rPr>
        <w:t>et al. </w:t>
      </w:r>
      <w:r>
        <w:rPr/>
        <w:t>(2008), normalization is necessary to render indicators/variables comparable when data are reported with different units or and scales. To standardize the indicators</w:t>
      </w:r>
      <w:r>
        <w:rPr>
          <w:spacing w:val="-12"/>
        </w:rPr>
        <w:t> </w:t>
      </w:r>
      <w:r>
        <w:rPr/>
        <w:t>into</w:t>
      </w:r>
      <w:r>
        <w:rPr>
          <w:spacing w:val="-12"/>
        </w:rPr>
        <w:t> </w:t>
      </w:r>
      <w:r>
        <w:rPr/>
        <w:t>comparable</w:t>
      </w:r>
      <w:r>
        <w:rPr>
          <w:spacing w:val="-13"/>
        </w:rPr>
        <w:t> </w:t>
      </w:r>
      <w:r>
        <w:rPr/>
        <w:t>using</w:t>
      </w:r>
      <w:r>
        <w:rPr>
          <w:spacing w:val="-14"/>
        </w:rPr>
        <w:t> </w:t>
      </w:r>
      <w:r>
        <w:rPr/>
        <w:t>the</w:t>
      </w:r>
      <w:r>
        <w:rPr>
          <w:spacing w:val="-13"/>
        </w:rPr>
        <w:t> </w:t>
      </w:r>
      <w:r>
        <w:rPr/>
        <w:t>min-max</w:t>
      </w:r>
      <w:r>
        <w:rPr>
          <w:spacing w:val="-10"/>
        </w:rPr>
        <w:t> </w:t>
      </w:r>
      <w:r>
        <w:rPr/>
        <w:t>approach,</w:t>
      </w:r>
      <w:r>
        <w:rPr>
          <w:spacing w:val="-12"/>
        </w:rPr>
        <w:t> </w:t>
      </w:r>
      <w:r>
        <w:rPr/>
        <w:t>each</w:t>
      </w:r>
      <w:r>
        <w:rPr>
          <w:spacing w:val="-12"/>
        </w:rPr>
        <w:t> </w:t>
      </w:r>
      <w:r>
        <w:rPr/>
        <w:t>indicator/variable</w:t>
      </w:r>
      <w:r>
        <w:rPr>
          <w:spacing w:val="-13"/>
        </w:rPr>
        <w:t> </w:t>
      </w:r>
      <w:r>
        <w:rPr/>
        <w:t>score</w:t>
      </w:r>
      <w:r>
        <w:rPr>
          <w:spacing w:val="40"/>
        </w:rPr>
        <w:t> </w:t>
      </w:r>
      <w:r>
        <w:rPr>
          <w:rFonts w:ascii="Cambria Math"/>
        </w:rPr>
        <w:t>V</w:t>
      </w:r>
      <w:r>
        <w:rPr>
          <w:rFonts w:ascii="Cambria Math"/>
          <w:vertAlign w:val="subscript"/>
        </w:rPr>
        <w:t>i</w:t>
      </w:r>
      <w:r>
        <w:rPr>
          <w:rFonts w:ascii="Cambria Math"/>
          <w:vertAlign w:val="superscript"/>
        </w:rPr>
        <w:t>t</w:t>
      </w:r>
      <w:r>
        <w:rPr>
          <w:rFonts w:ascii="Cambria Math"/>
          <w:vertAlign w:val="baseline"/>
        </w:rPr>
        <w:t> </w:t>
      </w:r>
      <w:r>
        <w:rPr>
          <w:vertAlign w:val="baseline"/>
        </w:rPr>
        <w:t>for a given locality (community or household) </w:t>
      </w:r>
      <w:r>
        <w:rPr>
          <w:rFonts w:ascii="Cambria Math"/>
          <w:vertAlign w:val="baseline"/>
        </w:rPr>
        <w:t>i </w:t>
      </w:r>
      <w:r>
        <w:rPr>
          <w:vertAlign w:val="baseline"/>
        </w:rPr>
        <w:t>at a given time </w:t>
      </w:r>
      <w:r>
        <w:rPr>
          <w:rFonts w:ascii="Cambria Math"/>
          <w:vertAlign w:val="baseline"/>
        </w:rPr>
        <w:t>t </w:t>
      </w:r>
      <w:r>
        <w:rPr>
          <w:vertAlign w:val="baseline"/>
        </w:rPr>
        <w:t>is given in equation 2.3 as:</w:t>
      </w:r>
    </w:p>
    <w:p>
      <w:pPr>
        <w:spacing w:after="0" w:line="482" w:lineRule="auto"/>
        <w:jc w:val="both"/>
        <w:sectPr>
          <w:pgSz w:w="12240" w:h="15840"/>
          <w:pgMar w:header="0" w:footer="1068" w:top="1340" w:bottom="1260" w:left="1720" w:right="680"/>
        </w:sectPr>
      </w:pPr>
    </w:p>
    <w:p>
      <w:pPr>
        <w:pStyle w:val="BodyText"/>
        <w:spacing w:before="181"/>
        <w:ind w:left="267"/>
        <w:rPr>
          <w:rFonts w:ascii="Cambria Math"/>
        </w:rPr>
      </w:pPr>
      <w:r>
        <w:rPr>
          <w:rFonts w:ascii="Cambria Math"/>
          <w:w w:val="110"/>
        </w:rPr>
        <w:t>V</w:t>
      </w:r>
      <w:r>
        <w:rPr>
          <w:rFonts w:ascii="Cambria Math"/>
          <w:w w:val="110"/>
          <w:vertAlign w:val="subscript"/>
        </w:rPr>
        <w:t>i</w:t>
      </w:r>
      <w:r>
        <w:rPr>
          <w:rFonts w:ascii="Cambria Math"/>
          <w:w w:val="110"/>
          <w:vertAlign w:val="superscript"/>
        </w:rPr>
        <w:t>t</w:t>
      </w:r>
      <w:r>
        <w:rPr>
          <w:rFonts w:ascii="Cambria Math"/>
          <w:spacing w:val="3"/>
          <w:w w:val="110"/>
          <w:vertAlign w:val="baseline"/>
        </w:rPr>
        <w:t> </w:t>
      </w:r>
      <w:r>
        <w:rPr>
          <w:rFonts w:ascii="Cambria Math"/>
          <w:spacing w:val="-26"/>
          <w:w w:val="110"/>
          <w:vertAlign w:val="baseline"/>
        </w:rPr>
        <w:t>=</w:t>
      </w:r>
    </w:p>
    <w:p>
      <w:pPr>
        <w:spacing w:before="4"/>
        <w:ind w:left="27" w:right="0" w:firstLine="0"/>
        <w:jc w:val="center"/>
        <w:rPr>
          <w:rFonts w:ascii="Cambria Math" w:hAnsi="Cambria Math" w:eastAsia="Cambria Math"/>
          <w:sz w:val="17"/>
        </w:rPr>
      </w:pPr>
      <w:r>
        <w:rPr/>
        <w:br w:type="column"/>
      </w:r>
      <w:r>
        <w:rPr>
          <w:rFonts w:ascii="Cambria Math" w:hAnsi="Cambria Math" w:eastAsia="Cambria Math"/>
          <w:w w:val="110"/>
          <w:sz w:val="17"/>
        </w:rPr>
        <w:t>x</w:t>
      </w:r>
      <w:r>
        <w:rPr>
          <w:rFonts w:ascii="Cambria Math" w:hAnsi="Cambria Math" w:eastAsia="Cambria Math"/>
          <w:w w:val="110"/>
          <w:position w:val="-3"/>
          <w:sz w:val="14"/>
        </w:rPr>
        <w:t>i</w:t>
      </w:r>
      <w:r>
        <w:rPr>
          <w:rFonts w:ascii="Cambria Math" w:hAnsi="Cambria Math" w:eastAsia="Cambria Math"/>
          <w:w w:val="110"/>
          <w:position w:val="6"/>
          <w:sz w:val="14"/>
        </w:rPr>
        <w:t>t </w:t>
      </w:r>
      <w:r>
        <w:rPr>
          <w:rFonts w:ascii="Cambria Math" w:hAnsi="Cambria Math" w:eastAsia="Cambria Math"/>
          <w:w w:val="110"/>
          <w:sz w:val="17"/>
        </w:rPr>
        <w:t>−minimum</w:t>
      </w:r>
      <w:r>
        <w:rPr>
          <w:rFonts w:ascii="Cambria Math" w:hAnsi="Cambria Math" w:eastAsia="Cambria Math"/>
          <w:w w:val="110"/>
          <w:position w:val="1"/>
          <w:sz w:val="17"/>
        </w:rPr>
        <w:t>〖(</w:t>
      </w:r>
      <w:r>
        <w:rPr>
          <w:rFonts w:ascii="Cambria Math" w:hAnsi="Cambria Math" w:eastAsia="Cambria Math"/>
          <w:w w:val="110"/>
          <w:sz w:val="17"/>
        </w:rPr>
        <w:t>x</w:t>
      </w:r>
      <w:r>
        <w:rPr>
          <w:rFonts w:ascii="Cambria Math" w:hAnsi="Cambria Math" w:eastAsia="Cambria Math"/>
          <w:w w:val="110"/>
          <w:position w:val="1"/>
          <w:sz w:val="17"/>
        </w:rPr>
        <w:t>〗</w:t>
      </w:r>
      <w:r>
        <w:rPr>
          <w:rFonts w:ascii="Cambria Math" w:hAnsi="Cambria Math" w:eastAsia="Cambria Math"/>
          <w:spacing w:val="-5"/>
          <w:w w:val="110"/>
          <w:position w:val="-3"/>
          <w:sz w:val="14"/>
        </w:rPr>
        <w:t>i</w:t>
      </w:r>
      <w:r>
        <w:rPr>
          <w:rFonts w:ascii="Cambria Math" w:hAnsi="Cambria Math" w:eastAsia="Cambria Math"/>
          <w:spacing w:val="-5"/>
          <w:w w:val="110"/>
          <w:position w:val="9"/>
          <w:sz w:val="14"/>
        </w:rPr>
        <w:t>t</w:t>
      </w:r>
      <w:r>
        <w:rPr>
          <w:rFonts w:ascii="Cambria Math" w:hAnsi="Cambria Math" w:eastAsia="Cambria Math"/>
          <w:spacing w:val="-5"/>
          <w:w w:val="110"/>
          <w:sz w:val="17"/>
        </w:rPr>
        <w:t>)</w:t>
      </w:r>
    </w:p>
    <w:p>
      <w:pPr>
        <w:pStyle w:val="BodyText"/>
        <w:spacing w:before="11"/>
        <w:rPr>
          <w:rFonts w:ascii="Cambria Math"/>
          <w:sz w:val="2"/>
        </w:rPr>
      </w:pPr>
    </w:p>
    <w:p>
      <w:pPr>
        <w:pStyle w:val="BodyText"/>
        <w:spacing w:line="20" w:lineRule="exact"/>
        <w:ind w:left="27" w:right="-58"/>
        <w:rPr>
          <w:rFonts w:ascii="Cambria Math"/>
          <w:sz w:val="2"/>
        </w:rPr>
      </w:pPr>
      <w:r>
        <w:rPr>
          <w:rFonts w:ascii="Cambria Math"/>
          <w:sz w:val="2"/>
        </w:rPr>
        <mc:AlternateContent>
          <mc:Choice Requires="wps">
            <w:drawing>
              <wp:inline distT="0" distB="0" distL="0" distR="0">
                <wp:extent cx="1804670" cy="10795"/>
                <wp:effectExtent l="0" t="0" r="0" b="0"/>
                <wp:docPr id="53" name="Group 53"/>
                <wp:cNvGraphicFramePr>
                  <a:graphicFrameLocks/>
                </wp:cNvGraphicFramePr>
                <a:graphic>
                  <a:graphicData uri="http://schemas.microsoft.com/office/word/2010/wordprocessingGroup">
                    <wpg:wgp>
                      <wpg:cNvPr id="53" name="Group 53"/>
                      <wpg:cNvGrpSpPr/>
                      <wpg:grpSpPr>
                        <a:xfrm>
                          <a:off x="0" y="0"/>
                          <a:ext cx="1804670" cy="10795"/>
                          <a:chExt cx="1804670" cy="10795"/>
                        </a:xfrm>
                      </wpg:grpSpPr>
                      <wps:wsp>
                        <wps:cNvPr id="54" name="Graphic 54"/>
                        <wps:cNvSpPr/>
                        <wps:spPr>
                          <a:xfrm>
                            <a:off x="0" y="0"/>
                            <a:ext cx="1804670" cy="10795"/>
                          </a:xfrm>
                          <a:custGeom>
                            <a:avLst/>
                            <a:gdLst/>
                            <a:ahLst/>
                            <a:cxnLst/>
                            <a:rect l="l" t="t" r="r" b="b"/>
                            <a:pathLst>
                              <a:path w="1804670" h="10795">
                                <a:moveTo>
                                  <a:pt x="1804669" y="0"/>
                                </a:moveTo>
                                <a:lnTo>
                                  <a:pt x="0" y="0"/>
                                </a:lnTo>
                                <a:lnTo>
                                  <a:pt x="0" y="10667"/>
                                </a:lnTo>
                                <a:lnTo>
                                  <a:pt x="1804669" y="10667"/>
                                </a:lnTo>
                                <a:lnTo>
                                  <a:pt x="18046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2.1pt;height:.85pt;mso-position-horizontal-relative:char;mso-position-vertical-relative:line" id="docshapegroup52" coordorigin="0,0" coordsize="2842,17">
                <v:rect style="position:absolute;left:0;top:0;width:2842;height:17" id="docshape53" filled="true" fillcolor="#000000" stroked="false">
                  <v:fill type="solid"/>
                </v:rect>
              </v:group>
            </w:pict>
          </mc:Fallback>
        </mc:AlternateContent>
      </w:r>
      <w:r>
        <w:rPr>
          <w:rFonts w:ascii="Cambria Math"/>
          <w:sz w:val="2"/>
        </w:rPr>
      </w:r>
    </w:p>
    <w:p>
      <w:pPr>
        <w:spacing w:before="0"/>
        <w:ind w:left="27" w:right="0" w:firstLine="0"/>
        <w:jc w:val="center"/>
        <w:rPr>
          <w:rFonts w:ascii="Cambria Math" w:hAnsi="Cambria Math" w:eastAsia="Cambria Math"/>
          <w:sz w:val="17"/>
        </w:rPr>
      </w:pPr>
      <w:r>
        <w:rPr>
          <w:rFonts w:ascii="Cambria Math" w:hAnsi="Cambria Math" w:eastAsia="Cambria Math"/>
          <w:spacing w:val="-2"/>
          <w:w w:val="110"/>
          <w:position w:val="1"/>
          <w:sz w:val="17"/>
        </w:rPr>
        <w:t>〖</w:t>
      </w:r>
      <w:r>
        <w:rPr>
          <w:rFonts w:ascii="Cambria Math" w:hAnsi="Cambria Math" w:eastAsia="Cambria Math"/>
          <w:spacing w:val="-2"/>
          <w:w w:val="110"/>
          <w:sz w:val="17"/>
        </w:rPr>
        <w:t>maximum</w:t>
      </w:r>
      <w:r>
        <w:rPr>
          <w:rFonts w:ascii="Cambria Math" w:hAnsi="Cambria Math" w:eastAsia="Cambria Math"/>
          <w:spacing w:val="7"/>
          <w:w w:val="110"/>
          <w:sz w:val="17"/>
        </w:rPr>
        <w:t> </w:t>
      </w:r>
      <w:r>
        <w:rPr>
          <w:rFonts w:ascii="Cambria Math" w:hAnsi="Cambria Math" w:eastAsia="Cambria Math"/>
          <w:spacing w:val="-2"/>
          <w:w w:val="110"/>
          <w:position w:val="1"/>
          <w:sz w:val="17"/>
        </w:rPr>
        <w:t>(</w:t>
      </w:r>
      <w:r>
        <w:rPr>
          <w:rFonts w:ascii="Cambria Math" w:hAnsi="Cambria Math" w:eastAsia="Cambria Math"/>
          <w:spacing w:val="-2"/>
          <w:w w:val="110"/>
          <w:sz w:val="17"/>
        </w:rPr>
        <w:t>x</w:t>
      </w:r>
      <w:r>
        <w:rPr>
          <w:rFonts w:ascii="Cambria Math" w:hAnsi="Cambria Math" w:eastAsia="Cambria Math"/>
          <w:spacing w:val="-2"/>
          <w:w w:val="110"/>
          <w:position w:val="-3"/>
          <w:sz w:val="14"/>
        </w:rPr>
        <w:t>i</w:t>
      </w:r>
      <w:r>
        <w:rPr>
          <w:rFonts w:ascii="Cambria Math" w:hAnsi="Cambria Math" w:eastAsia="Cambria Math"/>
          <w:spacing w:val="-2"/>
          <w:w w:val="110"/>
          <w:position w:val="1"/>
          <w:sz w:val="17"/>
        </w:rPr>
        <w:t>〗</w:t>
      </w:r>
      <w:r>
        <w:rPr>
          <w:rFonts w:ascii="Cambria Math" w:hAnsi="Cambria Math" w:eastAsia="Cambria Math"/>
          <w:spacing w:val="-2"/>
          <w:w w:val="110"/>
          <w:position w:val="5"/>
          <w:sz w:val="14"/>
        </w:rPr>
        <w:t>t</w:t>
      </w:r>
      <w:r>
        <w:rPr>
          <w:rFonts w:ascii="Cambria Math" w:hAnsi="Cambria Math" w:eastAsia="Cambria Math"/>
          <w:spacing w:val="13"/>
          <w:w w:val="110"/>
          <w:position w:val="5"/>
          <w:sz w:val="14"/>
        </w:rPr>
        <w:t> </w:t>
      </w:r>
      <w:r>
        <w:rPr>
          <w:rFonts w:ascii="Cambria Math" w:hAnsi="Cambria Math" w:eastAsia="Cambria Math"/>
          <w:spacing w:val="-2"/>
          <w:w w:val="110"/>
          <w:position w:val="1"/>
          <w:sz w:val="17"/>
        </w:rPr>
        <w:t>)</w:t>
      </w:r>
      <w:r>
        <w:rPr>
          <w:rFonts w:ascii="Cambria Math" w:hAnsi="Cambria Math" w:eastAsia="Cambria Math"/>
          <w:spacing w:val="-2"/>
          <w:w w:val="110"/>
          <w:sz w:val="17"/>
        </w:rPr>
        <w:t>−minimum</w:t>
      </w:r>
      <w:r>
        <w:rPr>
          <w:rFonts w:ascii="Cambria Math" w:hAnsi="Cambria Math" w:eastAsia="Cambria Math"/>
          <w:spacing w:val="-2"/>
          <w:w w:val="110"/>
          <w:position w:val="1"/>
          <w:sz w:val="17"/>
        </w:rPr>
        <w:t>〖(</w:t>
      </w:r>
      <w:r>
        <w:rPr>
          <w:rFonts w:ascii="Cambria Math" w:hAnsi="Cambria Math" w:eastAsia="Cambria Math"/>
          <w:spacing w:val="-2"/>
          <w:w w:val="110"/>
          <w:sz w:val="17"/>
        </w:rPr>
        <w:t>x</w:t>
      </w:r>
      <w:r>
        <w:rPr>
          <w:rFonts w:ascii="Cambria Math" w:hAnsi="Cambria Math" w:eastAsia="Cambria Math"/>
          <w:spacing w:val="-2"/>
          <w:w w:val="110"/>
          <w:position w:val="1"/>
          <w:sz w:val="17"/>
        </w:rPr>
        <w:t>〗</w:t>
      </w:r>
      <w:r>
        <w:rPr>
          <w:rFonts w:ascii="Cambria Math" w:hAnsi="Cambria Math" w:eastAsia="Cambria Math"/>
          <w:spacing w:val="-5"/>
          <w:w w:val="110"/>
          <w:position w:val="-3"/>
          <w:sz w:val="14"/>
        </w:rPr>
        <w:t>i</w:t>
      </w:r>
      <w:r>
        <w:rPr>
          <w:rFonts w:ascii="Cambria Math" w:hAnsi="Cambria Math" w:eastAsia="Cambria Math"/>
          <w:spacing w:val="-5"/>
          <w:w w:val="110"/>
          <w:position w:val="9"/>
          <w:sz w:val="14"/>
        </w:rPr>
        <w:t>t</w:t>
      </w:r>
      <w:r>
        <w:rPr>
          <w:rFonts w:ascii="Cambria Math" w:hAnsi="Cambria Math" w:eastAsia="Cambria Math"/>
          <w:spacing w:val="-5"/>
          <w:w w:val="110"/>
          <w:sz w:val="17"/>
        </w:rPr>
        <w:t>)</w:t>
      </w:r>
    </w:p>
    <w:p>
      <w:pPr>
        <w:pStyle w:val="BodyText"/>
        <w:tabs>
          <w:tab w:pos="4816" w:val="left" w:leader="none"/>
        </w:tabs>
        <w:spacing w:before="171"/>
        <w:ind w:left="104"/>
        <w:rPr>
          <w:rFonts w:ascii="Cambria Math"/>
        </w:rPr>
      </w:pPr>
      <w:r>
        <w:rPr/>
        <w:br w:type="column"/>
      </w:r>
      <w:r>
        <w:rPr>
          <w:rFonts w:ascii="Cambria Math"/>
        </w:rPr>
        <w:t>X</w:t>
      </w:r>
      <w:r>
        <w:rPr>
          <w:rFonts w:ascii="Cambria Math"/>
          <w:spacing w:val="-1"/>
        </w:rPr>
        <w:t> </w:t>
      </w:r>
      <w:r>
        <w:rPr>
          <w:rFonts w:ascii="Cambria Math"/>
          <w:spacing w:val="-5"/>
        </w:rPr>
        <w:t>100</w:t>
      </w:r>
      <w:r>
        <w:rPr>
          <w:rFonts w:ascii="Cambria Math"/>
        </w:rPr>
        <w:tab/>
      </w:r>
      <w:r>
        <w:rPr>
          <w:rFonts w:ascii="Cambria Math"/>
          <w:spacing w:val="-2"/>
          <w:position w:val="1"/>
        </w:rPr>
        <w:t>(</w:t>
      </w:r>
      <w:r>
        <w:rPr>
          <w:rFonts w:ascii="Cambria Math"/>
          <w:spacing w:val="-2"/>
        </w:rPr>
        <w:t>2.3</w:t>
      </w:r>
      <w:r>
        <w:rPr>
          <w:rFonts w:ascii="Cambria Math"/>
          <w:spacing w:val="-2"/>
          <w:position w:val="1"/>
        </w:rPr>
        <w:t>)</w:t>
      </w:r>
    </w:p>
    <w:p>
      <w:pPr>
        <w:spacing w:after="0"/>
        <w:rPr>
          <w:rFonts w:ascii="Cambria Math"/>
        </w:rPr>
        <w:sectPr>
          <w:type w:val="continuous"/>
          <w:pgSz w:w="12240" w:h="15840"/>
          <w:pgMar w:header="0" w:footer="1068" w:top="1340" w:bottom="1260" w:left="1720" w:right="680"/>
          <w:cols w:num="3" w:equalWidth="0">
            <w:col w:w="779" w:space="40"/>
            <w:col w:w="2873" w:space="39"/>
            <w:col w:w="6109"/>
          </w:cols>
        </w:sectPr>
      </w:pPr>
    </w:p>
    <w:p>
      <w:pPr>
        <w:pStyle w:val="BodyText"/>
        <w:spacing w:line="463" w:lineRule="auto" w:before="56"/>
        <w:ind w:left="267" w:right="727"/>
        <w:jc w:val="both"/>
      </w:pPr>
      <w:r>
        <w:rPr/>
        <w:t>Where</w:t>
      </w:r>
      <w:r>
        <w:rPr>
          <w:spacing w:val="80"/>
        </w:rPr>
        <w:t> </w:t>
      </w:r>
      <w:r>
        <w:rPr>
          <w:rFonts w:ascii="Cambria Math" w:eastAsia="Cambria Math"/>
          <w:position w:val="1"/>
        </w:rPr>
        <w:t>〖</w:t>
      </w:r>
      <w:r>
        <w:rPr>
          <w:rFonts w:ascii="Cambria Math" w:eastAsia="Cambria Math"/>
        </w:rPr>
        <w:t>minimum </w:t>
      </w:r>
      <w:r>
        <w:rPr>
          <w:rFonts w:ascii="Cambria Math" w:eastAsia="Cambria Math"/>
          <w:position w:val="1"/>
        </w:rPr>
        <w:t>(</w:t>
      </w:r>
      <w:r>
        <w:rPr>
          <w:rFonts w:ascii="Cambria Math" w:eastAsia="Cambria Math"/>
        </w:rPr>
        <w:t>x</w:t>
      </w:r>
      <w:r>
        <w:rPr>
          <w:rFonts w:ascii="Cambria Math" w:eastAsia="Cambria Math"/>
          <w:position w:val="-4"/>
          <w:sz w:val="17"/>
        </w:rPr>
        <w:t>i</w:t>
      </w:r>
      <w:r>
        <w:rPr>
          <w:rFonts w:ascii="Cambria Math" w:eastAsia="Cambria Math"/>
          <w:position w:val="1"/>
        </w:rPr>
        <w:t>〗</w:t>
      </w:r>
      <w:r>
        <w:rPr>
          <w:rFonts w:ascii="Cambria Math" w:eastAsia="Cambria Math"/>
          <w:position w:val="1"/>
          <w:vertAlign w:val="superscript"/>
        </w:rPr>
        <w:t>t</w:t>
      </w:r>
      <w:r>
        <w:rPr>
          <w:rFonts w:ascii="Cambria Math" w:eastAsia="Cambria Math"/>
          <w:spacing w:val="25"/>
          <w:position w:val="1"/>
          <w:vertAlign w:val="baseline"/>
        </w:rPr>
        <w:t> ) </w:t>
      </w:r>
      <w:r>
        <w:rPr>
          <w:vertAlign w:val="baseline"/>
        </w:rPr>
        <w:t>and</w:t>
      </w:r>
      <w:r>
        <w:rPr>
          <w:spacing w:val="80"/>
          <w:w w:val="150"/>
          <w:vertAlign w:val="baseline"/>
        </w:rPr>
        <w:t> </w:t>
      </w:r>
      <w:r>
        <w:rPr>
          <w:rFonts w:ascii="Cambria Math" w:eastAsia="Cambria Math"/>
          <w:position w:val="1"/>
          <w:vertAlign w:val="baseline"/>
        </w:rPr>
        <w:t>〖</w:t>
      </w:r>
      <w:r>
        <w:rPr>
          <w:rFonts w:ascii="Cambria Math" w:eastAsia="Cambria Math"/>
          <w:vertAlign w:val="baseline"/>
        </w:rPr>
        <w:t>maximum </w:t>
      </w:r>
      <w:r>
        <w:rPr>
          <w:rFonts w:ascii="Cambria Math" w:eastAsia="Cambria Math"/>
          <w:position w:val="1"/>
          <w:vertAlign w:val="baseline"/>
        </w:rPr>
        <w:t>(</w:t>
      </w:r>
      <w:r>
        <w:rPr>
          <w:rFonts w:ascii="Cambria Math" w:eastAsia="Cambria Math"/>
          <w:vertAlign w:val="baseline"/>
        </w:rPr>
        <w:t>x</w:t>
      </w:r>
      <w:r>
        <w:rPr>
          <w:rFonts w:ascii="Cambria Math" w:eastAsia="Cambria Math"/>
          <w:position w:val="-4"/>
          <w:sz w:val="17"/>
          <w:vertAlign w:val="baseline"/>
        </w:rPr>
        <w:t>i</w:t>
      </w:r>
      <w:r>
        <w:rPr>
          <w:rFonts w:ascii="Cambria Math" w:eastAsia="Cambria Math"/>
          <w:position w:val="1"/>
          <w:vertAlign w:val="baseline"/>
        </w:rPr>
        <w:t>〗</w:t>
      </w:r>
      <w:r>
        <w:rPr>
          <w:rFonts w:ascii="Cambria Math" w:eastAsia="Cambria Math"/>
          <w:position w:val="1"/>
          <w:vertAlign w:val="superscript"/>
        </w:rPr>
        <w:t>t</w:t>
      </w:r>
      <w:r>
        <w:rPr>
          <w:rFonts w:ascii="Cambria Math" w:eastAsia="Cambria Math"/>
          <w:spacing w:val="24"/>
          <w:position w:val="1"/>
          <w:vertAlign w:val="baseline"/>
        </w:rPr>
        <w:t> ) </w:t>
      </w:r>
      <w:r>
        <w:rPr>
          <w:vertAlign w:val="baseline"/>
        </w:rPr>
        <w:t>are the minimum and maximum indicator</w:t>
      </w:r>
      <w:r>
        <w:rPr>
          <w:spacing w:val="-2"/>
          <w:vertAlign w:val="baseline"/>
        </w:rPr>
        <w:t> </w:t>
      </w:r>
      <w:r>
        <w:rPr>
          <w:vertAlign w:val="baseline"/>
        </w:rPr>
        <w:t>values</w:t>
      </w:r>
      <w:r>
        <w:rPr>
          <w:spacing w:val="-2"/>
          <w:vertAlign w:val="baseline"/>
        </w:rPr>
        <w:t> </w:t>
      </w:r>
      <w:r>
        <w:rPr>
          <w:vertAlign w:val="baseline"/>
        </w:rPr>
        <w:t>across</w:t>
      </w:r>
      <w:r>
        <w:rPr>
          <w:spacing w:val="-2"/>
          <w:vertAlign w:val="baseline"/>
        </w:rPr>
        <w:t> </w:t>
      </w:r>
      <w:r>
        <w:rPr>
          <w:vertAlign w:val="baseline"/>
        </w:rPr>
        <w:t>the</w:t>
      </w:r>
      <w:r>
        <w:rPr>
          <w:spacing w:val="-2"/>
          <w:vertAlign w:val="baseline"/>
        </w:rPr>
        <w:t> </w:t>
      </w:r>
      <w:r>
        <w:rPr>
          <w:vertAlign w:val="baseline"/>
        </w:rPr>
        <w:t>household</w:t>
      </w:r>
      <w:r>
        <w:rPr>
          <w:spacing w:val="40"/>
          <w:vertAlign w:val="baseline"/>
        </w:rPr>
        <w:t> </w:t>
      </w:r>
      <w:r>
        <w:rPr>
          <w:rFonts w:ascii="Cambria Math" w:eastAsia="Cambria Math"/>
          <w:vertAlign w:val="baseline"/>
        </w:rPr>
        <w:t>i </w:t>
      </w:r>
      <w:r>
        <w:rPr>
          <w:vertAlign w:val="baseline"/>
        </w:rPr>
        <w:t>at</w:t>
      </w:r>
      <w:r>
        <w:rPr>
          <w:spacing w:val="-1"/>
          <w:vertAlign w:val="baseline"/>
        </w:rPr>
        <w:t> </w:t>
      </w:r>
      <w:r>
        <w:rPr>
          <w:vertAlign w:val="baseline"/>
        </w:rPr>
        <w:t>a</w:t>
      </w:r>
      <w:r>
        <w:rPr>
          <w:spacing w:val="-2"/>
          <w:vertAlign w:val="baseline"/>
        </w:rPr>
        <w:t> </w:t>
      </w:r>
      <w:r>
        <w:rPr>
          <w:vertAlign w:val="baseline"/>
        </w:rPr>
        <w:t>given</w:t>
      </w:r>
      <w:r>
        <w:rPr>
          <w:spacing w:val="-2"/>
          <w:vertAlign w:val="baseline"/>
        </w:rPr>
        <w:t> </w:t>
      </w:r>
      <w:r>
        <w:rPr>
          <w:vertAlign w:val="baseline"/>
        </w:rPr>
        <w:t>time</w:t>
      </w:r>
      <w:r>
        <w:rPr>
          <w:spacing w:val="-9"/>
          <w:vertAlign w:val="baseline"/>
        </w:rPr>
        <w:t> </w:t>
      </w:r>
      <w:r>
        <w:rPr>
          <w:rFonts w:ascii="Cambria Math" w:eastAsia="Cambria Math"/>
          <w:vertAlign w:val="baseline"/>
        </w:rPr>
        <w:t>t</w:t>
      </w:r>
      <w:r>
        <w:rPr>
          <w:spacing w:val="-1"/>
          <w:vertAlign w:val="baseline"/>
        </w:rPr>
        <w:t>. </w:t>
      </w:r>
      <w:r>
        <w:rPr>
          <w:vertAlign w:val="baseline"/>
        </w:rPr>
        <w:t>The</w:t>
      </w:r>
      <w:r>
        <w:rPr>
          <w:spacing w:val="-3"/>
          <w:vertAlign w:val="baseline"/>
        </w:rPr>
        <w:t> </w:t>
      </w:r>
      <w:r>
        <w:rPr>
          <w:vertAlign w:val="baseline"/>
        </w:rPr>
        <w:t>resultant</w:t>
      </w:r>
      <w:r>
        <w:rPr>
          <w:spacing w:val="-1"/>
          <w:vertAlign w:val="baseline"/>
        </w:rPr>
        <w:t> </w:t>
      </w:r>
      <w:r>
        <w:rPr>
          <w:vertAlign w:val="baseline"/>
        </w:rPr>
        <w:t>normalized</w:t>
      </w:r>
      <w:r>
        <w:rPr>
          <w:spacing w:val="-1"/>
          <w:vertAlign w:val="baseline"/>
        </w:rPr>
        <w:t> </w:t>
      </w:r>
      <w:r>
        <w:rPr>
          <w:vertAlign w:val="baseline"/>
        </w:rPr>
        <w:t>indicator score has a value between 0 (minimum score) and 100 (maximum score).</w:t>
      </w:r>
    </w:p>
    <w:p>
      <w:pPr>
        <w:pStyle w:val="BodyText"/>
        <w:spacing w:before="29"/>
      </w:pPr>
    </w:p>
    <w:p>
      <w:pPr>
        <w:pStyle w:val="Heading1"/>
        <w:numPr>
          <w:ilvl w:val="2"/>
          <w:numId w:val="6"/>
        </w:numPr>
        <w:tabs>
          <w:tab w:pos="926" w:val="left" w:leader="none"/>
        </w:tabs>
        <w:spacing w:line="240" w:lineRule="auto" w:before="0" w:after="0"/>
        <w:ind w:left="926" w:right="0" w:hanging="659"/>
        <w:jc w:val="both"/>
      </w:pPr>
      <w:r>
        <w:rPr/>
        <w:t>Construction</w:t>
      </w:r>
      <w:r>
        <w:rPr>
          <w:spacing w:val="-2"/>
        </w:rPr>
        <w:t> </w:t>
      </w:r>
      <w:r>
        <w:rPr/>
        <w:t>of water</w:t>
      </w:r>
      <w:r>
        <w:rPr>
          <w:spacing w:val="-2"/>
        </w:rPr>
        <w:t> </w:t>
      </w:r>
      <w:r>
        <w:rPr/>
        <w:t>poverty</w:t>
      </w:r>
      <w:r>
        <w:rPr>
          <w:spacing w:val="-1"/>
        </w:rPr>
        <w:t> </w:t>
      </w:r>
      <w:r>
        <w:rPr>
          <w:spacing w:val="-2"/>
        </w:rPr>
        <w:t>index</w:t>
      </w:r>
    </w:p>
    <w:p>
      <w:pPr>
        <w:pStyle w:val="BodyText"/>
        <w:spacing w:before="14"/>
        <w:rPr>
          <w:b/>
        </w:rPr>
      </w:pPr>
    </w:p>
    <w:p>
      <w:pPr>
        <w:pStyle w:val="BodyText"/>
        <w:spacing w:line="480" w:lineRule="auto"/>
        <w:ind w:left="267" w:right="728"/>
        <w:jc w:val="both"/>
      </w:pPr>
      <w:r>
        <w:rPr/>
        <w:t>This</w:t>
      </w:r>
      <w:r>
        <w:rPr>
          <w:spacing w:val="-4"/>
        </w:rPr>
        <w:t> </w:t>
      </w:r>
      <w:r>
        <w:rPr/>
        <w:t>is</w:t>
      </w:r>
      <w:r>
        <w:rPr>
          <w:spacing w:val="-4"/>
        </w:rPr>
        <w:t> </w:t>
      </w:r>
      <w:r>
        <w:rPr/>
        <w:t>the</w:t>
      </w:r>
      <w:r>
        <w:rPr>
          <w:spacing w:val="-5"/>
        </w:rPr>
        <w:t> </w:t>
      </w:r>
      <w:r>
        <w:rPr/>
        <w:t>second</w:t>
      </w:r>
      <w:r>
        <w:rPr>
          <w:spacing w:val="-5"/>
        </w:rPr>
        <w:t> </w:t>
      </w:r>
      <w:r>
        <w:rPr/>
        <w:t>stage</w:t>
      </w:r>
      <w:r>
        <w:rPr>
          <w:spacing w:val="-6"/>
        </w:rPr>
        <w:t> </w:t>
      </w:r>
      <w:r>
        <w:rPr/>
        <w:t>of</w:t>
      </w:r>
      <w:r>
        <w:rPr>
          <w:spacing w:val="-6"/>
        </w:rPr>
        <w:t> </w:t>
      </w:r>
      <w:r>
        <w:rPr/>
        <w:t>the</w:t>
      </w:r>
      <w:r>
        <w:rPr>
          <w:spacing w:val="-5"/>
        </w:rPr>
        <w:t> </w:t>
      </w:r>
      <w:r>
        <w:rPr/>
        <w:t>water</w:t>
      </w:r>
      <w:r>
        <w:rPr>
          <w:spacing w:val="-6"/>
        </w:rPr>
        <w:t> </w:t>
      </w:r>
      <w:r>
        <w:rPr/>
        <w:t>poverty</w:t>
      </w:r>
      <w:r>
        <w:rPr>
          <w:spacing w:val="-12"/>
        </w:rPr>
        <w:t> </w:t>
      </w:r>
      <w:r>
        <w:rPr/>
        <w:t>index</w:t>
      </w:r>
      <w:r>
        <w:rPr>
          <w:spacing w:val="-3"/>
        </w:rPr>
        <w:t> </w:t>
      </w:r>
      <w:r>
        <w:rPr/>
        <w:t>framework.</w:t>
      </w:r>
      <w:r>
        <w:rPr>
          <w:spacing w:val="-6"/>
        </w:rPr>
        <w:t> </w:t>
      </w:r>
      <w:r>
        <w:rPr/>
        <w:t>Basically,</w:t>
      </w:r>
      <w:r>
        <w:rPr>
          <w:spacing w:val="-5"/>
        </w:rPr>
        <w:t> </w:t>
      </w:r>
      <w:r>
        <w:rPr/>
        <w:t>it</w:t>
      </w:r>
      <w:r>
        <w:rPr>
          <w:spacing w:val="-4"/>
        </w:rPr>
        <w:t> </w:t>
      </w:r>
      <w:r>
        <w:rPr/>
        <w:t>involves</w:t>
      </w:r>
      <w:r>
        <w:rPr>
          <w:spacing w:val="-5"/>
        </w:rPr>
        <w:t> </w:t>
      </w:r>
      <w:r>
        <w:rPr/>
        <w:t>two</w:t>
      </w:r>
      <w:r>
        <w:rPr>
          <w:spacing w:val="-5"/>
        </w:rPr>
        <w:t> </w:t>
      </w:r>
      <w:r>
        <w:rPr/>
        <w:t>(2) sequential steps namely; assignment of weights for the sub-components and aggregation of sub-components. An explanation of the different weighting approaches and aggregation techniques employed in water poverty construct is provided next.</w:t>
      </w:r>
    </w:p>
    <w:p>
      <w:pPr>
        <w:pStyle w:val="Heading1"/>
        <w:numPr>
          <w:ilvl w:val="3"/>
          <w:numId w:val="6"/>
        </w:numPr>
        <w:tabs>
          <w:tab w:pos="1046" w:val="left" w:leader="none"/>
        </w:tabs>
        <w:spacing w:line="240" w:lineRule="auto" w:before="8" w:after="0"/>
        <w:ind w:left="1046" w:right="0" w:hanging="779"/>
        <w:jc w:val="both"/>
      </w:pPr>
      <w:r>
        <w:rPr/>
        <w:t>Weighting</w:t>
      </w:r>
      <w:r>
        <w:rPr>
          <w:spacing w:val="1"/>
        </w:rPr>
        <w:t> </w:t>
      </w:r>
      <w:r>
        <w:rPr>
          <w:spacing w:val="-2"/>
        </w:rPr>
        <w:t>methods</w:t>
      </w:r>
    </w:p>
    <w:p>
      <w:pPr>
        <w:pStyle w:val="BodyText"/>
        <w:spacing w:before="15"/>
        <w:rPr>
          <w:b/>
        </w:rPr>
      </w:pPr>
    </w:p>
    <w:p>
      <w:pPr>
        <w:pStyle w:val="BodyText"/>
        <w:spacing w:line="480" w:lineRule="auto"/>
        <w:ind w:left="267" w:right="727"/>
        <w:jc w:val="both"/>
      </w:pPr>
      <w:r>
        <w:rPr/>
        <w:t>In water poverty context, the relative importance of the five (5) components of the water poverty index is a reflection of the choice of weight assigned to their resultant normalized values (Garriga and Foguet, 2010). Generally, the weights are constrained to be a non- negative value which summed up to a value of one for all the five components of the water poverty</w:t>
      </w:r>
      <w:r>
        <w:rPr>
          <w:spacing w:val="-15"/>
        </w:rPr>
        <w:t> </w:t>
      </w:r>
      <w:r>
        <w:rPr/>
        <w:t>index</w:t>
      </w:r>
      <w:r>
        <w:rPr>
          <w:spacing w:val="-15"/>
        </w:rPr>
        <w:t> </w:t>
      </w:r>
      <w:r>
        <w:rPr/>
        <w:t>(Garriga</w:t>
      </w:r>
      <w:r>
        <w:rPr>
          <w:spacing w:val="-15"/>
        </w:rPr>
        <w:t> </w:t>
      </w:r>
      <w:r>
        <w:rPr/>
        <w:t>and</w:t>
      </w:r>
      <w:r>
        <w:rPr>
          <w:spacing w:val="-15"/>
        </w:rPr>
        <w:t> </w:t>
      </w:r>
      <w:r>
        <w:rPr/>
        <w:t>Foguet,</w:t>
      </w:r>
      <w:r>
        <w:rPr>
          <w:spacing w:val="-15"/>
        </w:rPr>
        <w:t> </w:t>
      </w:r>
      <w:r>
        <w:rPr/>
        <w:t>2010;</w:t>
      </w:r>
      <w:r>
        <w:rPr>
          <w:spacing w:val="-15"/>
        </w:rPr>
        <w:t> </w:t>
      </w:r>
      <w:r>
        <w:rPr/>
        <w:t>Korc</w:t>
      </w:r>
      <w:r>
        <w:rPr>
          <w:spacing w:val="-15"/>
        </w:rPr>
        <w:t> </w:t>
      </w:r>
      <w:r>
        <w:rPr/>
        <w:t>and</w:t>
      </w:r>
      <w:r>
        <w:rPr>
          <w:spacing w:val="-15"/>
        </w:rPr>
        <w:t> </w:t>
      </w:r>
      <w:r>
        <w:rPr/>
        <w:t>Ford,</w:t>
      </w:r>
      <w:r>
        <w:rPr>
          <w:spacing w:val="-15"/>
        </w:rPr>
        <w:t> </w:t>
      </w:r>
      <w:r>
        <w:rPr/>
        <w:t>2013;</w:t>
      </w:r>
      <w:r>
        <w:rPr>
          <w:spacing w:val="-15"/>
        </w:rPr>
        <w:t> </w:t>
      </w:r>
      <w:r>
        <w:rPr/>
        <w:t>Sullivan</w:t>
      </w:r>
      <w:r>
        <w:rPr>
          <w:spacing w:val="-15"/>
        </w:rPr>
        <w:t> </w:t>
      </w:r>
      <w:r>
        <w:rPr/>
        <w:t>and</w:t>
      </w:r>
      <w:r>
        <w:rPr>
          <w:spacing w:val="-15"/>
        </w:rPr>
        <w:t> </w:t>
      </w:r>
      <w:r>
        <w:rPr/>
        <w:t>Jemmali,</w:t>
      </w:r>
      <w:r>
        <w:rPr>
          <w:spacing w:val="-15"/>
        </w:rPr>
        <w:t> </w:t>
      </w:r>
      <w:r>
        <w:rPr/>
        <w:t>2014). Weights</w:t>
      </w:r>
      <w:r>
        <w:rPr>
          <w:spacing w:val="-4"/>
        </w:rPr>
        <w:t> </w:t>
      </w:r>
      <w:r>
        <w:rPr/>
        <w:t>of</w:t>
      </w:r>
      <w:r>
        <w:rPr>
          <w:spacing w:val="-4"/>
        </w:rPr>
        <w:t> </w:t>
      </w:r>
      <w:r>
        <w:rPr>
          <w:color w:val="221F1F"/>
        </w:rPr>
        <w:t>each</w:t>
      </w:r>
      <w:r>
        <w:rPr>
          <w:color w:val="221F1F"/>
          <w:spacing w:val="-4"/>
        </w:rPr>
        <w:t> </w:t>
      </w:r>
      <w:r>
        <w:rPr>
          <w:color w:val="221F1F"/>
        </w:rPr>
        <w:t>of</w:t>
      </w:r>
      <w:r>
        <w:rPr>
          <w:color w:val="221F1F"/>
          <w:spacing w:val="-4"/>
        </w:rPr>
        <w:t> </w:t>
      </w:r>
      <w:r>
        <w:rPr>
          <w:color w:val="221F1F"/>
        </w:rPr>
        <w:t>the</w:t>
      </w:r>
      <w:r>
        <w:rPr>
          <w:color w:val="221F1F"/>
          <w:spacing w:val="-6"/>
        </w:rPr>
        <w:t> </w:t>
      </w:r>
      <w:r>
        <w:rPr>
          <w:color w:val="221F1F"/>
        </w:rPr>
        <w:t>five</w:t>
      </w:r>
      <w:r>
        <w:rPr>
          <w:color w:val="221F1F"/>
          <w:spacing w:val="-5"/>
        </w:rPr>
        <w:t> </w:t>
      </w:r>
      <w:r>
        <w:rPr>
          <w:color w:val="221F1F"/>
        </w:rPr>
        <w:t>components</w:t>
      </w:r>
      <w:r>
        <w:rPr>
          <w:color w:val="221F1F"/>
          <w:spacing w:val="-4"/>
        </w:rPr>
        <w:t> </w:t>
      </w:r>
      <w:r>
        <w:rPr>
          <w:color w:val="221F1F"/>
        </w:rPr>
        <w:t>comprise</w:t>
      </w:r>
      <w:r>
        <w:rPr>
          <w:color w:val="221F1F"/>
          <w:spacing w:val="-4"/>
        </w:rPr>
        <w:t> </w:t>
      </w:r>
      <w:r>
        <w:rPr>
          <w:color w:val="221F1F"/>
        </w:rPr>
        <w:t>a</w:t>
      </w:r>
      <w:r>
        <w:rPr>
          <w:color w:val="221F1F"/>
          <w:spacing w:val="-6"/>
        </w:rPr>
        <w:t> </w:t>
      </w:r>
      <w:r>
        <w:rPr>
          <w:color w:val="221F1F"/>
        </w:rPr>
        <w:t>number</w:t>
      </w:r>
      <w:r>
        <w:rPr>
          <w:color w:val="221F1F"/>
          <w:spacing w:val="-6"/>
        </w:rPr>
        <w:t> </w:t>
      </w:r>
      <w:r>
        <w:rPr>
          <w:color w:val="221F1F"/>
        </w:rPr>
        <w:t>of</w:t>
      </w:r>
      <w:r>
        <w:rPr>
          <w:color w:val="221F1F"/>
          <w:spacing w:val="-4"/>
        </w:rPr>
        <w:t> </w:t>
      </w:r>
      <w:r>
        <w:rPr>
          <w:color w:val="221F1F"/>
        </w:rPr>
        <w:t>sub-components/indicators</w:t>
      </w:r>
      <w:r>
        <w:rPr>
          <w:color w:val="221F1F"/>
          <w:spacing w:val="-4"/>
        </w:rPr>
        <w:t> </w:t>
      </w:r>
      <w:r>
        <w:rPr>
          <w:color w:val="221F1F"/>
        </w:rPr>
        <w:t>is first combined using a particular technique in order to obtain the components weight.</w:t>
      </w:r>
    </w:p>
    <w:p>
      <w:pPr>
        <w:pStyle w:val="BodyText"/>
      </w:pPr>
    </w:p>
    <w:p>
      <w:pPr>
        <w:pStyle w:val="BodyText"/>
        <w:spacing w:line="480" w:lineRule="auto" w:before="1"/>
        <w:ind w:left="267" w:right="726"/>
        <w:jc w:val="both"/>
      </w:pPr>
      <w:r>
        <w:rPr/>
        <w:t>In</w:t>
      </w:r>
      <w:r>
        <w:rPr>
          <w:spacing w:val="-2"/>
        </w:rPr>
        <w:t> </w:t>
      </w:r>
      <w:r>
        <w:rPr/>
        <w:t>view</w:t>
      </w:r>
      <w:r>
        <w:rPr>
          <w:spacing w:val="-2"/>
        </w:rPr>
        <w:t> </w:t>
      </w:r>
      <w:r>
        <w:rPr/>
        <w:t>of</w:t>
      </w:r>
      <w:r>
        <w:rPr>
          <w:spacing w:val="-4"/>
        </w:rPr>
        <w:t> </w:t>
      </w:r>
      <w:r>
        <w:rPr/>
        <w:t>the</w:t>
      </w:r>
      <w:r>
        <w:rPr>
          <w:spacing w:val="-3"/>
        </w:rPr>
        <w:t> </w:t>
      </w:r>
      <w:r>
        <w:rPr/>
        <w:t>fact</w:t>
      </w:r>
      <w:r>
        <w:rPr>
          <w:spacing w:val="-2"/>
        </w:rPr>
        <w:t> </w:t>
      </w:r>
      <w:r>
        <w:rPr/>
        <w:t>that</w:t>
      </w:r>
      <w:r>
        <w:rPr>
          <w:spacing w:val="-2"/>
        </w:rPr>
        <w:t> </w:t>
      </w:r>
      <w:r>
        <w:rPr/>
        <w:t>the</w:t>
      </w:r>
      <w:r>
        <w:rPr>
          <w:spacing w:val="-3"/>
        </w:rPr>
        <w:t> </w:t>
      </w:r>
      <w:r>
        <w:rPr/>
        <w:t>weighting</w:t>
      </w:r>
      <w:r>
        <w:rPr>
          <w:spacing w:val="-5"/>
        </w:rPr>
        <w:t> </w:t>
      </w:r>
      <w:r>
        <w:rPr/>
        <w:t>techniques</w:t>
      </w:r>
      <w:r>
        <w:rPr>
          <w:spacing w:val="-1"/>
        </w:rPr>
        <w:t> </w:t>
      </w:r>
      <w:r>
        <w:rPr/>
        <w:t>impact</w:t>
      </w:r>
      <w:r>
        <w:rPr>
          <w:spacing w:val="-2"/>
        </w:rPr>
        <w:t> </w:t>
      </w:r>
      <w:r>
        <w:rPr/>
        <w:t>on</w:t>
      </w:r>
      <w:r>
        <w:rPr>
          <w:spacing w:val="-2"/>
        </w:rPr>
        <w:t> </w:t>
      </w:r>
      <w:r>
        <w:rPr/>
        <w:t>coherence</w:t>
      </w:r>
      <w:r>
        <w:rPr>
          <w:spacing w:val="-3"/>
        </w:rPr>
        <w:t> </w:t>
      </w:r>
      <w:r>
        <w:rPr/>
        <w:t>and interpretability</w:t>
      </w:r>
      <w:r>
        <w:rPr>
          <w:spacing w:val="-5"/>
        </w:rPr>
        <w:t> </w:t>
      </w:r>
      <w:r>
        <w:rPr/>
        <w:t>of the final values of the water poverty index (Nardo </w:t>
      </w:r>
      <w:r>
        <w:rPr>
          <w:i/>
        </w:rPr>
        <w:t>et al.</w:t>
      </w:r>
      <w:r>
        <w:rPr/>
        <w:t>, 2008), a variety of weighting techniques have therefore been developed in the construction of water poverty at the sub- index level. Examples include: expert /stakeholders’ opinion, equal average weighting, multiplicative approach to weighting and the statistical weighting scheme. However, the choice</w:t>
      </w:r>
      <w:r>
        <w:rPr>
          <w:spacing w:val="64"/>
        </w:rPr>
        <w:t> </w:t>
      </w:r>
      <w:r>
        <w:rPr/>
        <w:t>of</w:t>
      </w:r>
      <w:r>
        <w:rPr>
          <w:spacing w:val="67"/>
        </w:rPr>
        <w:t> </w:t>
      </w:r>
      <w:r>
        <w:rPr/>
        <w:t>the</w:t>
      </w:r>
      <w:r>
        <w:rPr>
          <w:spacing w:val="67"/>
        </w:rPr>
        <w:t> </w:t>
      </w:r>
      <w:r>
        <w:rPr/>
        <w:t>appropriate</w:t>
      </w:r>
      <w:r>
        <w:rPr>
          <w:spacing w:val="67"/>
        </w:rPr>
        <w:t> </w:t>
      </w:r>
      <w:r>
        <w:rPr/>
        <w:t>weighting</w:t>
      </w:r>
      <w:r>
        <w:rPr>
          <w:spacing w:val="65"/>
        </w:rPr>
        <w:t> </w:t>
      </w:r>
      <w:r>
        <w:rPr/>
        <w:t>technique</w:t>
      </w:r>
      <w:r>
        <w:rPr>
          <w:spacing w:val="70"/>
        </w:rPr>
        <w:t> </w:t>
      </w:r>
      <w:r>
        <w:rPr/>
        <w:t>has</w:t>
      </w:r>
      <w:r>
        <w:rPr>
          <w:spacing w:val="68"/>
        </w:rPr>
        <w:t> </w:t>
      </w:r>
      <w:r>
        <w:rPr/>
        <w:t>always</w:t>
      </w:r>
      <w:r>
        <w:rPr>
          <w:spacing w:val="68"/>
        </w:rPr>
        <w:t> </w:t>
      </w:r>
      <w:r>
        <w:rPr/>
        <w:t>been</w:t>
      </w:r>
      <w:r>
        <w:rPr>
          <w:spacing w:val="72"/>
        </w:rPr>
        <w:t> </w:t>
      </w:r>
      <w:r>
        <w:rPr/>
        <w:t>a</w:t>
      </w:r>
      <w:r>
        <w:rPr>
          <w:spacing w:val="68"/>
        </w:rPr>
        <w:t> </w:t>
      </w:r>
      <w:r>
        <w:rPr/>
        <w:t>major</w:t>
      </w:r>
      <w:r>
        <w:rPr>
          <w:spacing w:val="67"/>
        </w:rPr>
        <w:t> </w:t>
      </w:r>
      <w:r>
        <w:rPr/>
        <w:t>issue</w:t>
      </w:r>
      <w:r>
        <w:rPr>
          <w:spacing w:val="67"/>
        </w:rPr>
        <w:t> </w:t>
      </w:r>
      <w:r>
        <w:rPr/>
        <w:t>in</w:t>
      </w:r>
      <w:r>
        <w:rPr>
          <w:spacing w:val="68"/>
        </w:rPr>
        <w:t> </w:t>
      </w:r>
      <w:r>
        <w:rPr>
          <w:spacing w:val="-5"/>
        </w:rPr>
        <w:t>the</w:t>
      </w:r>
    </w:p>
    <w:p>
      <w:pPr>
        <w:spacing w:after="0" w:line="480" w:lineRule="auto"/>
        <w:jc w:val="both"/>
        <w:sectPr>
          <w:pgSz w:w="12240" w:h="15840"/>
          <w:pgMar w:header="0" w:footer="1068" w:top="1340" w:bottom="1260" w:left="1720" w:right="680"/>
        </w:sectPr>
      </w:pPr>
    </w:p>
    <w:p>
      <w:pPr>
        <w:pStyle w:val="BodyText"/>
        <w:spacing w:line="480" w:lineRule="auto" w:before="63"/>
        <w:ind w:left="267" w:right="737"/>
        <w:jc w:val="both"/>
      </w:pPr>
      <w:r>
        <w:rPr/>
        <w:t>construction of composite indicators given that no alternative technique is devoid of ardent criticism, coupled with the fact that different weighting schemes imply different results.</w:t>
      </w:r>
    </w:p>
    <w:p>
      <w:pPr>
        <w:pStyle w:val="BodyText"/>
      </w:pPr>
    </w:p>
    <w:p>
      <w:pPr>
        <w:pStyle w:val="BodyText"/>
        <w:spacing w:line="480" w:lineRule="auto"/>
        <w:ind w:left="267" w:right="729"/>
        <w:jc w:val="both"/>
      </w:pPr>
      <w:r>
        <w:rPr/>
        <w:t>In view of this, it has been mentioned in extant literature that the choice of the weighting scheme must be premised on the following criteria: First, it must be devoid of ambiguity (minimize overestimation) and eclipsing (overestimation). Ambiguity implied that the final index surpassed the critical level without any of the sub-components exceeding the critical level. On the other hand, eclipsing problem occurred when the final/composite index does not exceed the critical level, while one or more of its sub-components surpassed the critical levels (Swamee and Tiijagi, 2000). Secondly, the most appropriate weighting technique should be considered on the basis of simplicity and straight-forwardness of the technique when such weighting technique produced similar results due to ambiguity and eclipsing (Sullivan </w:t>
      </w:r>
      <w:r>
        <w:rPr>
          <w:i/>
        </w:rPr>
        <w:t>et al.</w:t>
      </w:r>
      <w:r>
        <w:rPr/>
        <w:t>, 2003). The different weighting</w:t>
      </w:r>
      <w:r>
        <w:rPr>
          <w:spacing w:val="-1"/>
        </w:rPr>
        <w:t> </w:t>
      </w:r>
      <w:r>
        <w:rPr/>
        <w:t>techniques used in the construction of water poverty index are presented in the next sub-sections.</w:t>
      </w:r>
    </w:p>
    <w:p>
      <w:pPr>
        <w:pStyle w:val="Heading1"/>
        <w:numPr>
          <w:ilvl w:val="3"/>
          <w:numId w:val="6"/>
        </w:numPr>
        <w:tabs>
          <w:tab w:pos="1106" w:val="left" w:leader="none"/>
        </w:tabs>
        <w:spacing w:line="240" w:lineRule="auto" w:before="9" w:after="0"/>
        <w:ind w:left="1106" w:right="0" w:hanging="839"/>
        <w:jc w:val="both"/>
      </w:pPr>
      <w:r>
        <w:rPr/>
        <w:t>Expert</w:t>
      </w:r>
      <w:r>
        <w:rPr>
          <w:spacing w:val="-1"/>
        </w:rPr>
        <w:t> </w:t>
      </w:r>
      <w:r>
        <w:rPr/>
        <w:t>/</w:t>
      </w:r>
      <w:r>
        <w:rPr>
          <w:spacing w:val="-2"/>
        </w:rPr>
        <w:t> </w:t>
      </w:r>
      <w:r>
        <w:rPr/>
        <w:t>stakeholder</w:t>
      </w:r>
      <w:r>
        <w:rPr>
          <w:spacing w:val="-1"/>
        </w:rPr>
        <w:t> </w:t>
      </w:r>
      <w:r>
        <w:rPr>
          <w:spacing w:val="-2"/>
        </w:rPr>
        <w:t>opinion</w:t>
      </w:r>
    </w:p>
    <w:p>
      <w:pPr>
        <w:pStyle w:val="BodyText"/>
        <w:spacing w:before="14"/>
        <w:rPr>
          <w:b/>
        </w:rPr>
      </w:pPr>
    </w:p>
    <w:p>
      <w:pPr>
        <w:pStyle w:val="BodyText"/>
        <w:spacing w:line="480" w:lineRule="auto" w:before="1"/>
        <w:ind w:left="267" w:right="725"/>
        <w:jc w:val="both"/>
      </w:pPr>
      <w:r>
        <w:rPr/>
        <w:t>This</w:t>
      </w:r>
      <w:r>
        <w:rPr>
          <w:spacing w:val="-15"/>
        </w:rPr>
        <w:t> </w:t>
      </w:r>
      <w:r>
        <w:rPr/>
        <w:t>is</w:t>
      </w:r>
      <w:r>
        <w:rPr>
          <w:spacing w:val="-15"/>
        </w:rPr>
        <w:t> </w:t>
      </w:r>
      <w:r>
        <w:rPr/>
        <w:t>a</w:t>
      </w:r>
      <w:r>
        <w:rPr>
          <w:spacing w:val="-15"/>
        </w:rPr>
        <w:t> </w:t>
      </w:r>
      <w:r>
        <w:rPr/>
        <w:t>conventional</w:t>
      </w:r>
      <w:r>
        <w:rPr>
          <w:spacing w:val="-14"/>
        </w:rPr>
        <w:t> </w:t>
      </w:r>
      <w:r>
        <w:rPr/>
        <w:t>approach</w:t>
      </w:r>
      <w:r>
        <w:rPr>
          <w:spacing w:val="-14"/>
        </w:rPr>
        <w:t> </w:t>
      </w:r>
      <w:r>
        <w:rPr/>
        <w:t>involving</w:t>
      </w:r>
      <w:r>
        <w:rPr>
          <w:spacing w:val="-15"/>
        </w:rPr>
        <w:t> </w:t>
      </w:r>
      <w:r>
        <w:rPr/>
        <w:t>the</w:t>
      </w:r>
      <w:r>
        <w:rPr>
          <w:spacing w:val="-15"/>
        </w:rPr>
        <w:t> </w:t>
      </w:r>
      <w:r>
        <w:rPr/>
        <w:t>selection</w:t>
      </w:r>
      <w:r>
        <w:rPr>
          <w:spacing w:val="-15"/>
        </w:rPr>
        <w:t> </w:t>
      </w:r>
      <w:r>
        <w:rPr/>
        <w:t>of</w:t>
      </w:r>
      <w:r>
        <w:rPr>
          <w:spacing w:val="-15"/>
        </w:rPr>
        <w:t> </w:t>
      </w:r>
      <w:r>
        <w:rPr/>
        <w:t>weights</w:t>
      </w:r>
      <w:r>
        <w:rPr>
          <w:spacing w:val="-15"/>
        </w:rPr>
        <w:t> </w:t>
      </w:r>
      <w:r>
        <w:rPr/>
        <w:t>based</w:t>
      </w:r>
      <w:r>
        <w:rPr>
          <w:spacing w:val="-15"/>
        </w:rPr>
        <w:t> </w:t>
      </w:r>
      <w:r>
        <w:rPr/>
        <w:t>on</w:t>
      </w:r>
      <w:r>
        <w:rPr>
          <w:spacing w:val="-9"/>
        </w:rPr>
        <w:t> </w:t>
      </w:r>
      <w:r>
        <w:rPr/>
        <w:t>consultation</w:t>
      </w:r>
      <w:r>
        <w:rPr>
          <w:spacing w:val="-15"/>
        </w:rPr>
        <w:t> </w:t>
      </w:r>
      <w:r>
        <w:rPr/>
        <w:t>with experts and or stakeholders within a particular locality. Analogous to that employed in the original</w:t>
      </w:r>
      <w:r>
        <w:rPr>
          <w:spacing w:val="-5"/>
        </w:rPr>
        <w:t> </w:t>
      </w:r>
      <w:r>
        <w:rPr/>
        <w:t>water</w:t>
      </w:r>
      <w:r>
        <w:rPr>
          <w:spacing w:val="-8"/>
        </w:rPr>
        <w:t> </w:t>
      </w:r>
      <w:r>
        <w:rPr/>
        <w:t>poverty</w:t>
      </w:r>
      <w:r>
        <w:rPr>
          <w:spacing w:val="-12"/>
        </w:rPr>
        <w:t> </w:t>
      </w:r>
      <w:r>
        <w:rPr/>
        <w:t>index</w:t>
      </w:r>
      <w:r>
        <w:rPr>
          <w:spacing w:val="-5"/>
        </w:rPr>
        <w:t> </w:t>
      </w:r>
      <w:r>
        <w:rPr/>
        <w:t>in</w:t>
      </w:r>
      <w:r>
        <w:rPr>
          <w:spacing w:val="-7"/>
        </w:rPr>
        <w:t> </w:t>
      </w:r>
      <w:r>
        <w:rPr/>
        <w:t>Sullivan</w:t>
      </w:r>
      <w:r>
        <w:rPr>
          <w:spacing w:val="-8"/>
        </w:rPr>
        <w:t> </w:t>
      </w:r>
      <w:r>
        <w:rPr/>
        <w:t>(2002),</w:t>
      </w:r>
      <w:r>
        <w:rPr>
          <w:spacing w:val="-8"/>
        </w:rPr>
        <w:t> </w:t>
      </w:r>
      <w:r>
        <w:rPr/>
        <w:t>this</w:t>
      </w:r>
      <w:r>
        <w:rPr>
          <w:spacing w:val="-7"/>
        </w:rPr>
        <w:t> </w:t>
      </w:r>
      <w:r>
        <w:rPr/>
        <w:t>approach</w:t>
      </w:r>
      <w:r>
        <w:rPr>
          <w:spacing w:val="-7"/>
        </w:rPr>
        <w:t> </w:t>
      </w:r>
      <w:r>
        <w:rPr/>
        <w:t>involves</w:t>
      </w:r>
      <w:r>
        <w:rPr>
          <w:spacing w:val="-7"/>
        </w:rPr>
        <w:t> </w:t>
      </w:r>
      <w:r>
        <w:rPr/>
        <w:t>the</w:t>
      </w:r>
      <w:r>
        <w:rPr>
          <w:spacing w:val="-6"/>
        </w:rPr>
        <w:t> </w:t>
      </w:r>
      <w:r>
        <w:rPr/>
        <w:t>calculation</w:t>
      </w:r>
      <w:r>
        <w:rPr>
          <w:spacing w:val="-7"/>
        </w:rPr>
        <w:t> </w:t>
      </w:r>
      <w:r>
        <w:rPr/>
        <w:t>of</w:t>
      </w:r>
      <w:r>
        <w:rPr>
          <w:spacing w:val="-6"/>
        </w:rPr>
        <w:t> </w:t>
      </w:r>
      <w:r>
        <w:rPr/>
        <w:t>the sub-components of the water poverty</w:t>
      </w:r>
      <w:r>
        <w:rPr>
          <w:spacing w:val="-3"/>
        </w:rPr>
        <w:t> </w:t>
      </w:r>
      <w:r>
        <w:rPr/>
        <w:t>index based on the average of all the indicators in the respective component (Garriga and Foguet, 2010).</w:t>
      </w:r>
    </w:p>
    <w:p>
      <w:pPr>
        <w:pStyle w:val="BodyText"/>
        <w:spacing w:line="480" w:lineRule="auto"/>
        <w:ind w:left="267" w:right="726"/>
        <w:jc w:val="both"/>
      </w:pPr>
      <w:r>
        <w:rPr/>
        <w:t>From a practical viewpoint, Sullivan and Jemmali (2014) noted that weights should be established based on consensus opinion of the stakeholders and, argued that the choice of weight attached to the sub-components is an indication of the respective importance of the sub-components, and that such issue is political rather than scientific.</w:t>
      </w:r>
    </w:p>
    <w:p>
      <w:pPr>
        <w:spacing w:after="0" w:line="480" w:lineRule="auto"/>
        <w:jc w:val="both"/>
        <w:sectPr>
          <w:pgSz w:w="12240" w:h="15840"/>
          <w:pgMar w:header="0" w:footer="1068" w:top="1340" w:bottom="1260" w:left="1720" w:right="680"/>
        </w:sectPr>
      </w:pPr>
    </w:p>
    <w:p>
      <w:pPr>
        <w:pStyle w:val="BodyText"/>
        <w:spacing w:line="480" w:lineRule="auto" w:before="79"/>
        <w:ind w:left="267" w:right="726"/>
        <w:jc w:val="both"/>
      </w:pPr>
      <w:r>
        <w:rPr/>
        <w:t>From an empirical viewpoint, studies (Lawrence </w:t>
      </w:r>
      <w:r>
        <w:rPr>
          <w:i/>
        </w:rPr>
        <w:t>et al.</w:t>
      </w:r>
      <w:r>
        <w:rPr/>
        <w:t>, 2002; Sullivan </w:t>
      </w:r>
      <w:r>
        <w:rPr>
          <w:i/>
        </w:rPr>
        <w:t>et al.</w:t>
      </w:r>
      <w:r>
        <w:rPr/>
        <w:t>, 2003) have employed expert opinion in weighting the water poverty indicators and following the Sullivan</w:t>
      </w:r>
      <w:r>
        <w:rPr>
          <w:spacing w:val="-9"/>
        </w:rPr>
        <w:t> </w:t>
      </w:r>
      <w:r>
        <w:rPr/>
        <w:t>(2002)</w:t>
      </w:r>
      <w:r>
        <w:rPr>
          <w:spacing w:val="-9"/>
        </w:rPr>
        <w:t> </w:t>
      </w:r>
      <w:r>
        <w:rPr/>
        <w:t>methodological</w:t>
      </w:r>
      <w:r>
        <w:rPr>
          <w:spacing w:val="-5"/>
        </w:rPr>
        <w:t> </w:t>
      </w:r>
      <w:r>
        <w:rPr/>
        <w:t>approach</w:t>
      </w:r>
      <w:r>
        <w:rPr>
          <w:spacing w:val="-8"/>
        </w:rPr>
        <w:t> </w:t>
      </w:r>
      <w:r>
        <w:rPr/>
        <w:t>did</w:t>
      </w:r>
      <w:r>
        <w:rPr>
          <w:spacing w:val="-8"/>
        </w:rPr>
        <w:t> </w:t>
      </w:r>
      <w:r>
        <w:rPr/>
        <w:t>not</w:t>
      </w:r>
      <w:r>
        <w:rPr>
          <w:spacing w:val="-5"/>
        </w:rPr>
        <w:t> </w:t>
      </w:r>
      <w:r>
        <w:rPr/>
        <w:t>attach</w:t>
      </w:r>
      <w:r>
        <w:rPr>
          <w:spacing w:val="-8"/>
        </w:rPr>
        <w:t> </w:t>
      </w:r>
      <w:r>
        <w:rPr/>
        <w:t>any</w:t>
      </w:r>
      <w:r>
        <w:rPr>
          <w:spacing w:val="-11"/>
        </w:rPr>
        <w:t> </w:t>
      </w:r>
      <w:r>
        <w:rPr/>
        <w:t>weight</w:t>
      </w:r>
      <w:r>
        <w:rPr>
          <w:spacing w:val="-8"/>
        </w:rPr>
        <w:t> </w:t>
      </w:r>
      <w:r>
        <w:rPr/>
        <w:t>to</w:t>
      </w:r>
      <w:r>
        <w:rPr>
          <w:spacing w:val="-8"/>
        </w:rPr>
        <w:t> </w:t>
      </w:r>
      <w:r>
        <w:rPr/>
        <w:t>the</w:t>
      </w:r>
      <w:r>
        <w:rPr>
          <w:spacing w:val="-7"/>
        </w:rPr>
        <w:t> </w:t>
      </w:r>
      <w:r>
        <w:rPr/>
        <w:t>component</w:t>
      </w:r>
      <w:r>
        <w:rPr>
          <w:spacing w:val="-8"/>
        </w:rPr>
        <w:t> </w:t>
      </w:r>
      <w:r>
        <w:rPr/>
        <w:t>during the consultation process. In spite its simplicity, transparency and its appealing nature to the non-technical</w:t>
      </w:r>
      <w:r>
        <w:rPr>
          <w:spacing w:val="-10"/>
        </w:rPr>
        <w:t> </w:t>
      </w:r>
      <w:r>
        <w:rPr/>
        <w:t>audience</w:t>
      </w:r>
      <w:r>
        <w:rPr>
          <w:spacing w:val="-12"/>
        </w:rPr>
        <w:t> </w:t>
      </w:r>
      <w:r>
        <w:rPr/>
        <w:t>(Garriga</w:t>
      </w:r>
      <w:r>
        <w:rPr>
          <w:spacing w:val="-12"/>
        </w:rPr>
        <w:t> </w:t>
      </w:r>
      <w:r>
        <w:rPr/>
        <w:t>and</w:t>
      </w:r>
      <w:r>
        <w:rPr>
          <w:spacing w:val="-11"/>
        </w:rPr>
        <w:t> </w:t>
      </w:r>
      <w:r>
        <w:rPr/>
        <w:t>Foguet,</w:t>
      </w:r>
      <w:r>
        <w:rPr>
          <w:spacing w:val="-13"/>
        </w:rPr>
        <w:t> </w:t>
      </w:r>
      <w:r>
        <w:rPr/>
        <w:t>2010),</w:t>
      </w:r>
      <w:r>
        <w:rPr>
          <w:spacing w:val="-14"/>
        </w:rPr>
        <w:t> </w:t>
      </w:r>
      <w:r>
        <w:rPr/>
        <w:t>such</w:t>
      </w:r>
      <w:r>
        <w:rPr>
          <w:spacing w:val="-11"/>
        </w:rPr>
        <w:t> </w:t>
      </w:r>
      <w:r>
        <w:rPr/>
        <w:t>approach</w:t>
      </w:r>
      <w:r>
        <w:rPr>
          <w:spacing w:val="-13"/>
        </w:rPr>
        <w:t> </w:t>
      </w:r>
      <w:r>
        <w:rPr/>
        <w:t>to</w:t>
      </w:r>
      <w:r>
        <w:rPr>
          <w:spacing w:val="-10"/>
        </w:rPr>
        <w:t> </w:t>
      </w:r>
      <w:r>
        <w:rPr/>
        <w:t>weighting</w:t>
      </w:r>
      <w:r>
        <w:rPr>
          <w:spacing w:val="-15"/>
        </w:rPr>
        <w:t> </w:t>
      </w:r>
      <w:r>
        <w:rPr/>
        <w:t>however</w:t>
      </w:r>
      <w:r>
        <w:rPr>
          <w:spacing w:val="-12"/>
        </w:rPr>
        <w:t> </w:t>
      </w:r>
      <w:r>
        <w:rPr/>
        <w:t>has been criticized for being relatively subjective and therefore often singled out as being arbitrary</w:t>
      </w:r>
      <w:r>
        <w:rPr>
          <w:spacing w:val="-14"/>
        </w:rPr>
        <w:t> </w:t>
      </w:r>
      <w:r>
        <w:rPr/>
        <w:t>(Booysen,</w:t>
      </w:r>
      <w:r>
        <w:rPr>
          <w:spacing w:val="-11"/>
        </w:rPr>
        <w:t> </w:t>
      </w:r>
      <w:r>
        <w:rPr/>
        <w:t>2002).</w:t>
      </w:r>
      <w:r>
        <w:rPr>
          <w:spacing w:val="-11"/>
        </w:rPr>
        <w:t> </w:t>
      </w:r>
      <w:r>
        <w:rPr/>
        <w:t>For</w:t>
      </w:r>
      <w:r>
        <w:rPr>
          <w:spacing w:val="-11"/>
        </w:rPr>
        <w:t> </w:t>
      </w:r>
      <w:r>
        <w:rPr/>
        <w:t>instance,</w:t>
      </w:r>
      <w:r>
        <w:rPr>
          <w:spacing w:val="-11"/>
        </w:rPr>
        <w:t> </w:t>
      </w:r>
      <w:r>
        <w:rPr/>
        <w:t>the</w:t>
      </w:r>
      <w:r>
        <w:rPr>
          <w:spacing w:val="-11"/>
        </w:rPr>
        <w:t> </w:t>
      </w:r>
      <w:r>
        <w:rPr/>
        <w:t>study</w:t>
      </w:r>
      <w:r>
        <w:rPr>
          <w:spacing w:val="-13"/>
        </w:rPr>
        <w:t> </w:t>
      </w:r>
      <w:r>
        <w:rPr/>
        <w:t>by</w:t>
      </w:r>
      <w:r>
        <w:rPr>
          <w:spacing w:val="-10"/>
        </w:rPr>
        <w:t> </w:t>
      </w:r>
      <w:r>
        <w:rPr/>
        <w:t>Feitelson</w:t>
      </w:r>
      <w:r>
        <w:rPr>
          <w:spacing w:val="-10"/>
        </w:rPr>
        <w:t> </w:t>
      </w:r>
      <w:r>
        <w:rPr/>
        <w:t>and</w:t>
      </w:r>
      <w:r>
        <w:rPr>
          <w:spacing w:val="-11"/>
        </w:rPr>
        <w:t> </w:t>
      </w:r>
      <w:r>
        <w:rPr/>
        <w:t>Chenoweth,</w:t>
      </w:r>
      <w:r>
        <w:rPr>
          <w:spacing w:val="-10"/>
        </w:rPr>
        <w:t> </w:t>
      </w:r>
      <w:r>
        <w:rPr/>
        <w:t>(2002)</w:t>
      </w:r>
      <w:r>
        <w:rPr>
          <w:spacing w:val="-11"/>
        </w:rPr>
        <w:t> </w:t>
      </w:r>
      <w:r>
        <w:rPr/>
        <w:t>noted that the use of a collective expert judgment to determine the weightings of a multi- dimensional</w:t>
      </w:r>
      <w:r>
        <w:rPr>
          <w:spacing w:val="-7"/>
        </w:rPr>
        <w:t> </w:t>
      </w:r>
      <w:r>
        <w:rPr/>
        <w:t>index</w:t>
      </w:r>
      <w:r>
        <w:rPr>
          <w:spacing w:val="-6"/>
        </w:rPr>
        <w:t> </w:t>
      </w:r>
      <w:r>
        <w:rPr/>
        <w:t>results</w:t>
      </w:r>
      <w:r>
        <w:rPr>
          <w:spacing w:val="-7"/>
        </w:rPr>
        <w:t> </w:t>
      </w:r>
      <w:r>
        <w:rPr/>
        <w:t>in</w:t>
      </w:r>
      <w:r>
        <w:rPr>
          <w:spacing w:val="-7"/>
        </w:rPr>
        <w:t> </w:t>
      </w:r>
      <w:r>
        <w:rPr/>
        <w:t>an</w:t>
      </w:r>
      <w:r>
        <w:rPr>
          <w:spacing w:val="-5"/>
        </w:rPr>
        <w:t> </w:t>
      </w:r>
      <w:r>
        <w:rPr/>
        <w:t>index</w:t>
      </w:r>
      <w:r>
        <w:rPr>
          <w:spacing w:val="-6"/>
        </w:rPr>
        <w:t> </w:t>
      </w:r>
      <w:r>
        <w:rPr/>
        <w:t>that</w:t>
      </w:r>
      <w:r>
        <w:rPr>
          <w:spacing w:val="-7"/>
        </w:rPr>
        <w:t> </w:t>
      </w:r>
      <w:r>
        <w:rPr/>
        <w:t>is</w:t>
      </w:r>
      <w:r>
        <w:rPr>
          <w:spacing w:val="-7"/>
        </w:rPr>
        <w:t> </w:t>
      </w:r>
      <w:r>
        <w:rPr/>
        <w:t>subject</w:t>
      </w:r>
      <w:r>
        <w:rPr>
          <w:spacing w:val="-7"/>
        </w:rPr>
        <w:t> </w:t>
      </w:r>
      <w:r>
        <w:rPr/>
        <w:t>to</w:t>
      </w:r>
      <w:r>
        <w:rPr>
          <w:spacing w:val="-7"/>
        </w:rPr>
        <w:t> </w:t>
      </w:r>
      <w:r>
        <w:rPr/>
        <w:t>the</w:t>
      </w:r>
      <w:r>
        <w:rPr>
          <w:spacing w:val="-8"/>
        </w:rPr>
        <w:t> </w:t>
      </w:r>
      <w:r>
        <w:rPr/>
        <w:t>value</w:t>
      </w:r>
      <w:r>
        <w:rPr>
          <w:spacing w:val="-8"/>
        </w:rPr>
        <w:t> </w:t>
      </w:r>
      <w:r>
        <w:rPr/>
        <w:t>judgments</w:t>
      </w:r>
      <w:r>
        <w:rPr>
          <w:spacing w:val="-5"/>
        </w:rPr>
        <w:t> </w:t>
      </w:r>
      <w:r>
        <w:rPr/>
        <w:t>of</w:t>
      </w:r>
      <w:r>
        <w:rPr>
          <w:spacing w:val="-8"/>
        </w:rPr>
        <w:t> </w:t>
      </w:r>
      <w:r>
        <w:rPr/>
        <w:t>cultural</w:t>
      </w:r>
      <w:r>
        <w:rPr>
          <w:spacing w:val="-5"/>
        </w:rPr>
        <w:t> </w:t>
      </w:r>
      <w:r>
        <w:rPr/>
        <w:t>biases of those who created it.</w:t>
      </w:r>
    </w:p>
    <w:p>
      <w:pPr>
        <w:pStyle w:val="Heading1"/>
        <w:numPr>
          <w:ilvl w:val="3"/>
          <w:numId w:val="6"/>
        </w:numPr>
        <w:tabs>
          <w:tab w:pos="1106" w:val="left" w:leader="none"/>
        </w:tabs>
        <w:spacing w:line="240" w:lineRule="auto" w:before="9" w:after="0"/>
        <w:ind w:left="1106" w:right="0" w:hanging="839"/>
        <w:jc w:val="both"/>
      </w:pPr>
      <w:r>
        <w:rPr/>
        <w:t>Equal</w:t>
      </w:r>
      <w:r>
        <w:rPr>
          <w:spacing w:val="-2"/>
        </w:rPr>
        <w:t> weighting</w:t>
      </w:r>
    </w:p>
    <w:p>
      <w:pPr>
        <w:pStyle w:val="BodyText"/>
        <w:spacing w:before="14"/>
        <w:rPr>
          <w:b/>
        </w:rPr>
      </w:pPr>
    </w:p>
    <w:p>
      <w:pPr>
        <w:pStyle w:val="BodyText"/>
        <w:spacing w:line="480" w:lineRule="auto"/>
        <w:ind w:left="267" w:right="728"/>
        <w:jc w:val="both"/>
      </w:pPr>
      <w:r>
        <w:rPr/>
        <w:t>This is the most common weighting technique used in water poverty construct. The equal indicator</w:t>
      </w:r>
      <w:r>
        <w:rPr>
          <w:spacing w:val="-15"/>
        </w:rPr>
        <w:t> </w:t>
      </w:r>
      <w:r>
        <w:rPr/>
        <w:t>weighting</w:t>
      </w:r>
      <w:r>
        <w:rPr>
          <w:spacing w:val="-15"/>
        </w:rPr>
        <w:t> </w:t>
      </w:r>
      <w:r>
        <w:rPr/>
        <w:t>technique</w:t>
      </w:r>
      <w:r>
        <w:rPr>
          <w:spacing w:val="-15"/>
        </w:rPr>
        <w:t> </w:t>
      </w:r>
      <w:r>
        <w:rPr/>
        <w:t>(Table</w:t>
      </w:r>
      <w:r>
        <w:rPr>
          <w:spacing w:val="-15"/>
        </w:rPr>
        <w:t> </w:t>
      </w:r>
      <w:r>
        <w:rPr/>
        <w:t>2.4)</w:t>
      </w:r>
      <w:r>
        <w:rPr>
          <w:spacing w:val="-15"/>
        </w:rPr>
        <w:t> </w:t>
      </w:r>
      <w:r>
        <w:rPr/>
        <w:t>in</w:t>
      </w:r>
      <w:r>
        <w:rPr>
          <w:spacing w:val="-15"/>
        </w:rPr>
        <w:t> </w:t>
      </w:r>
      <w:r>
        <w:rPr/>
        <w:t>which</w:t>
      </w:r>
      <w:r>
        <w:rPr>
          <w:spacing w:val="-15"/>
        </w:rPr>
        <w:t> </w:t>
      </w:r>
      <w:r>
        <w:rPr/>
        <w:t>the</w:t>
      </w:r>
      <w:r>
        <w:rPr>
          <w:spacing w:val="-15"/>
        </w:rPr>
        <w:t> </w:t>
      </w:r>
      <w:r>
        <w:rPr/>
        <w:t>water</w:t>
      </w:r>
      <w:r>
        <w:rPr>
          <w:spacing w:val="-15"/>
        </w:rPr>
        <w:t> </w:t>
      </w:r>
      <w:r>
        <w:rPr/>
        <w:t>poverty</w:t>
      </w:r>
      <w:r>
        <w:rPr>
          <w:spacing w:val="-15"/>
        </w:rPr>
        <w:t> </w:t>
      </w:r>
      <w:r>
        <w:rPr/>
        <w:t>index</w:t>
      </w:r>
      <w:r>
        <w:rPr>
          <w:spacing w:val="-15"/>
        </w:rPr>
        <w:t> </w:t>
      </w:r>
      <w:r>
        <w:rPr/>
        <w:t>is</w:t>
      </w:r>
      <w:r>
        <w:rPr>
          <w:spacing w:val="-14"/>
        </w:rPr>
        <w:t> </w:t>
      </w:r>
      <w:r>
        <w:rPr/>
        <w:t>estimated</w:t>
      </w:r>
      <w:r>
        <w:rPr>
          <w:spacing w:val="-14"/>
        </w:rPr>
        <w:t> </w:t>
      </w:r>
      <w:r>
        <w:rPr/>
        <w:t>using the weighted arithmetic mean entails the determination of weight based on the number of sub-components (indicators) in each of the five components of the water poverty index (Sullivan and Jemmali, 2014).</w:t>
      </w:r>
    </w:p>
    <w:p>
      <w:pPr>
        <w:spacing w:after="0" w:line="480" w:lineRule="auto"/>
        <w:jc w:val="both"/>
        <w:sectPr>
          <w:pgSz w:w="12240" w:h="15840"/>
          <w:pgMar w:header="0" w:footer="1068" w:top="1600" w:bottom="1260" w:left="1720" w:right="680"/>
        </w:sectPr>
      </w:pPr>
    </w:p>
    <w:p>
      <w:pPr>
        <w:tabs>
          <w:tab w:pos="9737" w:val="left" w:leader="none"/>
        </w:tabs>
        <w:spacing w:before="68"/>
        <w:ind w:left="267" w:right="0" w:firstLine="0"/>
        <w:jc w:val="left"/>
        <w:rPr>
          <w:b/>
          <w:sz w:val="24"/>
        </w:rPr>
      </w:pPr>
      <w:r>
        <w:rPr>
          <w:b/>
          <w:sz w:val="24"/>
          <w:u w:val="single"/>
        </w:rPr>
        <w:t>Table</w:t>
      </w:r>
      <w:r>
        <w:rPr>
          <w:b/>
          <w:spacing w:val="-4"/>
          <w:sz w:val="24"/>
          <w:u w:val="single"/>
        </w:rPr>
        <w:t> </w:t>
      </w:r>
      <w:r>
        <w:rPr>
          <w:b/>
          <w:sz w:val="24"/>
          <w:u w:val="single"/>
        </w:rPr>
        <w:t>2.4:</w:t>
      </w:r>
      <w:r>
        <w:rPr>
          <w:b/>
          <w:spacing w:val="-2"/>
          <w:sz w:val="24"/>
          <w:u w:val="single"/>
        </w:rPr>
        <w:t> </w:t>
      </w:r>
      <w:r>
        <w:rPr>
          <w:b/>
          <w:sz w:val="24"/>
          <w:u w:val="single"/>
        </w:rPr>
        <w:t>Equal</w:t>
      </w:r>
      <w:r>
        <w:rPr>
          <w:b/>
          <w:spacing w:val="-2"/>
          <w:sz w:val="24"/>
          <w:u w:val="single"/>
        </w:rPr>
        <w:t> </w:t>
      </w:r>
      <w:r>
        <w:rPr>
          <w:b/>
          <w:sz w:val="24"/>
          <w:u w:val="single"/>
        </w:rPr>
        <w:t>Weighting</w:t>
      </w:r>
      <w:r>
        <w:rPr>
          <w:b/>
          <w:spacing w:val="-2"/>
          <w:sz w:val="24"/>
          <w:u w:val="single"/>
        </w:rPr>
        <w:t> </w:t>
      </w:r>
      <w:r>
        <w:rPr>
          <w:b/>
          <w:sz w:val="24"/>
          <w:u w:val="single"/>
        </w:rPr>
        <w:t>of Components</w:t>
      </w:r>
      <w:r>
        <w:rPr>
          <w:b/>
          <w:spacing w:val="-2"/>
          <w:sz w:val="24"/>
          <w:u w:val="single"/>
        </w:rPr>
        <w:t> </w:t>
      </w:r>
      <w:r>
        <w:rPr>
          <w:b/>
          <w:sz w:val="24"/>
          <w:u w:val="single"/>
        </w:rPr>
        <w:t>in</w:t>
      </w:r>
      <w:r>
        <w:rPr>
          <w:b/>
          <w:spacing w:val="-4"/>
          <w:sz w:val="24"/>
          <w:u w:val="single"/>
        </w:rPr>
        <w:t> </w:t>
      </w:r>
      <w:r>
        <w:rPr>
          <w:b/>
          <w:sz w:val="24"/>
          <w:u w:val="single"/>
        </w:rPr>
        <w:t>Water</w:t>
      </w:r>
      <w:r>
        <w:rPr>
          <w:b/>
          <w:spacing w:val="-1"/>
          <w:sz w:val="24"/>
          <w:u w:val="single"/>
        </w:rPr>
        <w:t> </w:t>
      </w:r>
      <w:r>
        <w:rPr>
          <w:b/>
          <w:sz w:val="24"/>
          <w:u w:val="single"/>
        </w:rPr>
        <w:t>Poverty</w:t>
      </w:r>
      <w:r>
        <w:rPr>
          <w:b/>
          <w:spacing w:val="-1"/>
          <w:sz w:val="24"/>
          <w:u w:val="single"/>
        </w:rPr>
        <w:t> </w:t>
      </w:r>
      <w:r>
        <w:rPr>
          <w:b/>
          <w:spacing w:val="-2"/>
          <w:sz w:val="24"/>
          <w:u w:val="single"/>
        </w:rPr>
        <w:t>Index</w:t>
      </w:r>
      <w:r>
        <w:rPr>
          <w:b/>
          <w:sz w:val="24"/>
          <w:u w:val="single"/>
        </w:rPr>
        <w:tab/>
      </w:r>
    </w:p>
    <w:p>
      <w:pPr>
        <w:spacing w:after="0"/>
        <w:jc w:val="left"/>
        <w:rPr>
          <w:sz w:val="24"/>
        </w:rPr>
        <w:sectPr>
          <w:pgSz w:w="12240" w:h="15840"/>
          <w:pgMar w:header="0" w:footer="1068" w:top="1340" w:bottom="1260" w:left="1720" w:right="680"/>
        </w:sectPr>
      </w:pPr>
    </w:p>
    <w:p>
      <w:pPr>
        <w:tabs>
          <w:tab w:pos="2012" w:val="left" w:leader="none"/>
        </w:tabs>
        <w:spacing w:before="19"/>
        <w:ind w:left="2012" w:right="38" w:hanging="1637"/>
        <w:jc w:val="left"/>
        <w:rPr>
          <w:rFonts w:ascii="Calibri"/>
          <w:b/>
          <w:sz w:val="22"/>
        </w:rPr>
      </w:pPr>
      <w:r>
        <w:rPr/>
        <mc:AlternateContent>
          <mc:Choice Requires="wps">
            <w:drawing>
              <wp:anchor distT="0" distB="0" distL="0" distR="0" allowOverlap="1" layoutInCell="1" locked="0" behindDoc="0" simplePos="0" relativeHeight="15738880">
                <wp:simplePos x="0" y="0"/>
                <wp:positionH relativeFrom="page">
                  <wp:posOffset>1262176</wp:posOffset>
                </wp:positionH>
                <wp:positionV relativeFrom="paragraph">
                  <wp:posOffset>355868</wp:posOffset>
                </wp:positionV>
                <wp:extent cx="6013450" cy="127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6013450" cy="12700"/>
                        </a:xfrm>
                        <a:custGeom>
                          <a:avLst/>
                          <a:gdLst/>
                          <a:ahLst/>
                          <a:cxnLst/>
                          <a:rect l="l" t="t" r="r" b="b"/>
                          <a:pathLst>
                            <a:path w="6013450" h="12700">
                              <a:moveTo>
                                <a:pt x="2184146" y="0"/>
                              </a:moveTo>
                              <a:lnTo>
                                <a:pt x="1053033" y="0"/>
                              </a:lnTo>
                              <a:lnTo>
                                <a:pt x="1040892" y="0"/>
                              </a:lnTo>
                              <a:lnTo>
                                <a:pt x="0" y="0"/>
                              </a:lnTo>
                              <a:lnTo>
                                <a:pt x="0" y="12192"/>
                              </a:lnTo>
                              <a:lnTo>
                                <a:pt x="1040841" y="12192"/>
                              </a:lnTo>
                              <a:lnTo>
                                <a:pt x="1053033" y="12192"/>
                              </a:lnTo>
                              <a:lnTo>
                                <a:pt x="2184146" y="12192"/>
                              </a:lnTo>
                              <a:lnTo>
                                <a:pt x="2184146" y="0"/>
                              </a:lnTo>
                              <a:close/>
                            </a:path>
                            <a:path w="6013450" h="12700">
                              <a:moveTo>
                                <a:pt x="2196401" y="0"/>
                              </a:moveTo>
                              <a:lnTo>
                                <a:pt x="2184222" y="0"/>
                              </a:lnTo>
                              <a:lnTo>
                                <a:pt x="2184222" y="12192"/>
                              </a:lnTo>
                              <a:lnTo>
                                <a:pt x="2196401" y="12192"/>
                              </a:lnTo>
                              <a:lnTo>
                                <a:pt x="2196401" y="0"/>
                              </a:lnTo>
                              <a:close/>
                            </a:path>
                            <a:path w="6013450" h="12700">
                              <a:moveTo>
                                <a:pt x="4882324" y="0"/>
                              </a:moveTo>
                              <a:lnTo>
                                <a:pt x="4870145" y="0"/>
                              </a:lnTo>
                              <a:lnTo>
                                <a:pt x="2196414" y="0"/>
                              </a:lnTo>
                              <a:lnTo>
                                <a:pt x="2196414" y="12192"/>
                              </a:lnTo>
                              <a:lnTo>
                                <a:pt x="4870145" y="12192"/>
                              </a:lnTo>
                              <a:lnTo>
                                <a:pt x="4882324" y="12192"/>
                              </a:lnTo>
                              <a:lnTo>
                                <a:pt x="4882324" y="0"/>
                              </a:lnTo>
                              <a:close/>
                            </a:path>
                            <a:path w="6013450" h="12700">
                              <a:moveTo>
                                <a:pt x="6013145" y="0"/>
                              </a:moveTo>
                              <a:lnTo>
                                <a:pt x="4882337" y="0"/>
                              </a:lnTo>
                              <a:lnTo>
                                <a:pt x="4882337" y="12192"/>
                              </a:lnTo>
                              <a:lnTo>
                                <a:pt x="6013145" y="12192"/>
                              </a:lnTo>
                              <a:lnTo>
                                <a:pt x="6013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384003pt;margin-top:28.021139pt;width:473.5pt;height:1pt;mso-position-horizontal-relative:page;mso-position-vertical-relative:paragraph;z-index:15738880" id="docshape54" coordorigin="1988,560" coordsize="9470,20" path="m5427,560l3646,560,3627,560,3627,560,1988,560,1988,580,3627,580,3627,580,3646,580,5427,580,5427,560xm5447,560l5427,560,5427,580,5447,580,5447,560xm9676,560l9657,560,5447,560,5447,580,9657,580,9676,580,9676,560xm11457,560l9676,560,9676,580,11457,580,11457,560xe" filled="true" fillcolor="#000000" stroked="false">
                <v:path arrowok="t"/>
                <v:fill type="solid"/>
                <w10:wrap type="none"/>
              </v:shape>
            </w:pict>
          </mc:Fallback>
        </mc:AlternateContent>
      </w:r>
      <w:r>
        <w:rPr>
          <w:rFonts w:ascii="Calibri"/>
          <w:b/>
          <w:spacing w:val="-2"/>
          <w:sz w:val="22"/>
        </w:rPr>
        <w:t>Component</w:t>
      </w:r>
      <w:r>
        <w:rPr>
          <w:rFonts w:ascii="Calibri"/>
          <w:b/>
          <w:sz w:val="22"/>
        </w:rPr>
        <w:tab/>
      </w:r>
      <w:r>
        <w:rPr>
          <w:rFonts w:ascii="Calibri"/>
          <w:b/>
          <w:spacing w:val="-2"/>
          <w:sz w:val="22"/>
        </w:rPr>
        <w:t>Component weight</w:t>
      </w:r>
    </w:p>
    <w:p>
      <w:pPr>
        <w:tabs>
          <w:tab w:pos="4607" w:val="left" w:leader="none"/>
        </w:tabs>
        <w:spacing w:before="19"/>
        <w:ind w:left="4607" w:right="208" w:hanging="4233"/>
        <w:jc w:val="right"/>
        <w:rPr>
          <w:rFonts w:ascii="Calibri"/>
          <w:b/>
          <w:sz w:val="22"/>
        </w:rPr>
      </w:pPr>
      <w:r>
        <w:rPr/>
        <w:br w:type="column"/>
      </w:r>
      <w:r>
        <w:rPr>
          <w:rFonts w:ascii="Calibri"/>
          <w:b/>
          <w:spacing w:val="-2"/>
          <w:sz w:val="22"/>
        </w:rPr>
        <w:t>Sub-component/Indicators</w:t>
      </w:r>
      <w:r>
        <w:rPr>
          <w:rFonts w:ascii="Calibri"/>
          <w:b/>
          <w:sz w:val="22"/>
        </w:rPr>
        <w:tab/>
      </w:r>
      <w:r>
        <w:rPr>
          <w:rFonts w:ascii="Calibri"/>
          <w:b/>
          <w:spacing w:val="-2"/>
          <w:sz w:val="22"/>
        </w:rPr>
        <w:t>Sub-component/ </w:t>
      </w:r>
      <w:r>
        <w:rPr>
          <w:rFonts w:ascii="Calibri"/>
          <w:b/>
          <w:sz w:val="22"/>
        </w:rPr>
        <w:t>Indicator</w:t>
      </w:r>
      <w:r>
        <w:rPr>
          <w:rFonts w:ascii="Calibri"/>
          <w:b/>
          <w:spacing w:val="-13"/>
          <w:sz w:val="22"/>
        </w:rPr>
        <w:t> </w:t>
      </w:r>
      <w:r>
        <w:rPr>
          <w:rFonts w:ascii="Calibri"/>
          <w:b/>
          <w:spacing w:val="-2"/>
          <w:sz w:val="22"/>
        </w:rPr>
        <w:t>weights</w:t>
      </w:r>
    </w:p>
    <w:p>
      <w:pPr>
        <w:spacing w:after="0"/>
        <w:jc w:val="right"/>
        <w:rPr>
          <w:rFonts w:ascii="Calibri"/>
          <w:sz w:val="22"/>
        </w:rPr>
        <w:sectPr>
          <w:type w:val="continuous"/>
          <w:pgSz w:w="12240" w:h="15840"/>
          <w:pgMar w:header="0" w:footer="1068" w:top="1340" w:bottom="1260" w:left="1720" w:right="680"/>
          <w:cols w:num="2" w:equalWidth="0">
            <w:col w:w="3126" w:space="312"/>
            <w:col w:w="6402"/>
          </w:cols>
        </w:sectPr>
      </w:pPr>
    </w:p>
    <w:p>
      <w:pPr>
        <w:spacing w:before="20"/>
        <w:ind w:left="375" w:right="0" w:firstLine="0"/>
        <w:jc w:val="left"/>
        <w:rPr>
          <w:rFonts w:ascii="Calibri"/>
          <w:b/>
          <w:sz w:val="22"/>
        </w:rPr>
      </w:pPr>
      <w:r>
        <w:rPr>
          <w:rFonts w:ascii="Calibri"/>
          <w:b/>
          <w:spacing w:val="-2"/>
          <w:sz w:val="22"/>
        </w:rPr>
        <w:t>Resources</w:t>
      </w:r>
    </w:p>
    <w:p>
      <w:pPr>
        <w:tabs>
          <w:tab w:pos="1553" w:val="left" w:leader="none"/>
          <w:tab w:pos="6347" w:val="left" w:leader="none"/>
        </w:tabs>
        <w:spacing w:line="144" w:lineRule="auto" w:before="22"/>
        <w:ind w:left="375" w:right="0" w:firstLine="0"/>
        <w:jc w:val="left"/>
        <w:rPr>
          <w:rFonts w:ascii="Cambria Math"/>
          <w:sz w:val="22"/>
        </w:rPr>
      </w:pPr>
      <w:r>
        <w:rPr/>
        <w:br w:type="column"/>
      </w:r>
      <w:r>
        <w:rPr>
          <w:rFonts w:ascii="Cambria Math"/>
          <w:spacing w:val="-5"/>
          <w:position w:val="-13"/>
          <w:sz w:val="22"/>
        </w:rPr>
        <w:t>(</w:t>
      </w:r>
      <w:r>
        <w:rPr>
          <w:rFonts w:ascii="Cambria Math"/>
          <w:spacing w:val="-5"/>
          <w:position w:val="3"/>
          <w:sz w:val="22"/>
        </w:rPr>
        <w:t>1</w:t>
      </w:r>
      <w:r>
        <w:rPr>
          <w:rFonts w:ascii="Cambria Math"/>
          <w:spacing w:val="-5"/>
          <w:position w:val="-13"/>
          <w:sz w:val="22"/>
        </w:rPr>
        <w:t>)</w:t>
      </w:r>
      <w:r>
        <w:rPr>
          <w:rFonts w:ascii="Cambria Math"/>
          <w:position w:val="-13"/>
          <w:sz w:val="22"/>
        </w:rPr>
        <w:tab/>
      </w:r>
      <w:r>
        <w:rPr>
          <w:rFonts w:ascii="Calibri"/>
          <w:sz w:val="22"/>
        </w:rPr>
        <w:t>Surface</w:t>
      </w:r>
      <w:r>
        <w:rPr>
          <w:rFonts w:ascii="Calibri"/>
          <w:spacing w:val="-6"/>
          <w:sz w:val="22"/>
        </w:rPr>
        <w:t> </w:t>
      </w:r>
      <w:r>
        <w:rPr>
          <w:rFonts w:ascii="Calibri"/>
          <w:sz w:val="22"/>
        </w:rPr>
        <w:t>water</w:t>
      </w:r>
      <w:r>
        <w:rPr>
          <w:rFonts w:ascii="Calibri"/>
          <w:spacing w:val="-5"/>
          <w:sz w:val="22"/>
        </w:rPr>
        <w:t> </w:t>
      </w:r>
      <w:r>
        <w:rPr>
          <w:rFonts w:ascii="Calibri"/>
          <w:sz w:val="22"/>
        </w:rPr>
        <w:t>availability</w:t>
      </w:r>
      <w:r>
        <w:rPr>
          <w:rFonts w:ascii="Calibri"/>
          <w:spacing w:val="-5"/>
          <w:sz w:val="22"/>
        </w:rPr>
        <w:t> </w:t>
      </w:r>
      <w:r>
        <w:rPr>
          <w:rFonts w:ascii="Calibri"/>
          <w:spacing w:val="-2"/>
          <w:sz w:val="22"/>
        </w:rPr>
        <w:t>(RES1)</w:t>
      </w:r>
      <w:r>
        <w:rPr>
          <w:rFonts w:ascii="Calibri"/>
          <w:sz w:val="22"/>
        </w:rPr>
        <w:tab/>
      </w:r>
      <w:r>
        <w:rPr>
          <w:rFonts w:ascii="Cambria Math"/>
          <w:position w:val="-13"/>
          <w:sz w:val="22"/>
        </w:rPr>
        <w:t>(</w:t>
      </w:r>
      <w:r>
        <w:rPr>
          <w:rFonts w:ascii="Cambria Math"/>
          <w:spacing w:val="18"/>
          <w:position w:val="-13"/>
          <w:sz w:val="22"/>
        </w:rPr>
        <w:t> </w:t>
      </w:r>
      <w:r>
        <w:rPr>
          <w:rFonts w:ascii="Cambria Math"/>
          <w:position w:val="3"/>
          <w:sz w:val="22"/>
        </w:rPr>
        <w:t>1</w:t>
      </w:r>
      <w:r>
        <w:rPr>
          <w:rFonts w:ascii="Cambria Math"/>
          <w:spacing w:val="23"/>
          <w:position w:val="3"/>
          <w:sz w:val="22"/>
        </w:rPr>
        <w:t> </w:t>
      </w:r>
      <w:r>
        <w:rPr>
          <w:rFonts w:ascii="Cambria Math"/>
          <w:spacing w:val="-10"/>
          <w:position w:val="-13"/>
          <w:sz w:val="22"/>
        </w:rPr>
        <w:t>)</w:t>
      </w:r>
    </w:p>
    <w:p>
      <w:pPr>
        <w:spacing w:after="0" w:line="144" w:lineRule="auto"/>
        <w:jc w:val="left"/>
        <w:rPr>
          <w:rFonts w:ascii="Cambria Math"/>
          <w:sz w:val="22"/>
        </w:rPr>
        <w:sectPr>
          <w:type w:val="continuous"/>
          <w:pgSz w:w="12240" w:h="15840"/>
          <w:pgMar w:header="0" w:footer="1068" w:top="1340" w:bottom="1260" w:left="1720" w:right="680"/>
          <w:cols w:num="2" w:equalWidth="0">
            <w:col w:w="1344" w:space="915"/>
            <w:col w:w="7581"/>
          </w:cols>
        </w:sectPr>
      </w:pPr>
    </w:p>
    <w:p>
      <w:pPr>
        <w:tabs>
          <w:tab w:pos="8714" w:val="left" w:leader="none"/>
        </w:tabs>
        <w:spacing w:line="222" w:lineRule="exact" w:before="0"/>
        <w:ind w:left="2745" w:right="0" w:firstLine="0"/>
        <w:jc w:val="left"/>
        <w:rPr>
          <w:rFonts w:ascii="Cambria Math"/>
          <w:sz w:val="22"/>
        </w:rPr>
      </w:pPr>
      <w:r>
        <w:rPr/>
        <mc:AlternateContent>
          <mc:Choice Requires="wps">
            <w:drawing>
              <wp:anchor distT="0" distB="0" distL="0" distR="0" allowOverlap="1" layoutInCell="1" locked="0" behindDoc="1" simplePos="0" relativeHeight="482488832">
                <wp:simplePos x="0" y="0"/>
                <wp:positionH relativeFrom="page">
                  <wp:posOffset>2835275</wp:posOffset>
                </wp:positionH>
                <wp:positionV relativeFrom="paragraph">
                  <wp:posOffset>-28818</wp:posOffset>
                </wp:positionV>
                <wp:extent cx="78105" cy="95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25pt;margin-top:-2.269199pt;width:6.12pt;height:.72pt;mso-position-horizontal-relative:page;mso-position-vertical-relative:paragraph;z-index:-20827648" id="docshape5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89344">
                <wp:simplePos x="0" y="0"/>
                <wp:positionH relativeFrom="page">
                  <wp:posOffset>6626097</wp:posOffset>
                </wp:positionH>
                <wp:positionV relativeFrom="paragraph">
                  <wp:posOffset>-28818</wp:posOffset>
                </wp:positionV>
                <wp:extent cx="155575" cy="95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155575" cy="9525"/>
                        </a:xfrm>
                        <a:custGeom>
                          <a:avLst/>
                          <a:gdLst/>
                          <a:ahLst/>
                          <a:cxnLst/>
                          <a:rect l="l" t="t" r="r" b="b"/>
                          <a:pathLst>
                            <a:path w="155575" h="9525">
                              <a:moveTo>
                                <a:pt x="155448" y="0"/>
                              </a:moveTo>
                              <a:lnTo>
                                <a:pt x="0" y="0"/>
                              </a:lnTo>
                              <a:lnTo>
                                <a:pt x="0" y="9144"/>
                              </a:lnTo>
                              <a:lnTo>
                                <a:pt x="155448" y="9144"/>
                              </a:lnTo>
                              <a:lnTo>
                                <a:pt x="155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1.73999pt;margin-top:-2.269199pt;width:12.24pt;height:.72pt;mso-position-horizontal-relative:page;mso-position-vertical-relative:paragraph;z-index:-20827136" id="docshape56" filled="true" fillcolor="#000000" stroked="false">
                <v:fill type="solid"/>
                <w10:wrap type="none"/>
              </v:rect>
            </w:pict>
          </mc:Fallback>
        </mc:AlternateContent>
      </w:r>
      <w:r>
        <w:rPr>
          <w:rFonts w:ascii="Cambria Math"/>
          <w:spacing w:val="-10"/>
          <w:sz w:val="22"/>
        </w:rPr>
        <w:t>5</w:t>
      </w:r>
      <w:r>
        <w:rPr>
          <w:rFonts w:ascii="Cambria Math"/>
          <w:sz w:val="22"/>
        </w:rPr>
        <w:tab/>
      </w:r>
      <w:r>
        <w:rPr>
          <w:rFonts w:ascii="Cambria Math"/>
          <w:spacing w:val="-5"/>
          <w:sz w:val="22"/>
        </w:rPr>
        <w:t>10</w:t>
      </w:r>
    </w:p>
    <w:p>
      <w:pPr>
        <w:pStyle w:val="BodyText"/>
        <w:spacing w:before="8"/>
        <w:rPr>
          <w:rFonts w:ascii="Cambria Math"/>
          <w:sz w:val="22"/>
        </w:rPr>
      </w:pPr>
    </w:p>
    <w:p>
      <w:pPr>
        <w:tabs>
          <w:tab w:pos="8714" w:val="left" w:leader="none"/>
          <w:tab w:pos="8959" w:val="left" w:leader="none"/>
        </w:tabs>
        <w:spacing w:line="122" w:lineRule="auto" w:before="0"/>
        <w:ind w:left="8606" w:right="769" w:hanging="4794"/>
        <w:jc w:val="left"/>
        <w:rPr>
          <w:rFonts w:ascii="Cambria Math"/>
          <w:sz w:val="22"/>
        </w:rPr>
      </w:pPr>
      <w:r>
        <w:rPr>
          <w:rFonts w:ascii="Calibri"/>
          <w:w w:val="105"/>
          <w:sz w:val="22"/>
        </w:rPr>
        <w:t>Ground water availability (RES2)</w:t>
      </w:r>
      <w:r>
        <w:rPr>
          <w:rFonts w:ascii="Calibri"/>
          <w:sz w:val="22"/>
        </w:rPr>
        <w:tab/>
        <w:tab/>
      </w:r>
      <w:r>
        <w:rPr>
          <w:position w:val="3"/>
          <w:sz w:val="22"/>
          <w:u w:val="single"/>
        </w:rPr>
        <w:t> </w:t>
      </w:r>
      <w:r>
        <w:rPr>
          <w:rFonts w:ascii="Cambria Math"/>
          <w:w w:val="105"/>
          <w:position w:val="3"/>
          <w:sz w:val="22"/>
          <w:u w:val="single"/>
        </w:rPr>
        <w:t>1 </w:t>
      </w:r>
      <w:r>
        <w:rPr>
          <w:rFonts w:ascii="Cambria Math"/>
          <w:spacing w:val="40"/>
          <w:w w:val="105"/>
          <w:position w:val="3"/>
          <w:sz w:val="22"/>
        </w:rPr>
        <w:t> </w:t>
      </w:r>
      <w:r>
        <w:rPr>
          <w:rFonts w:ascii="Cambria Math"/>
          <w:spacing w:val="-10"/>
          <w:w w:val="105"/>
          <w:sz w:val="22"/>
        </w:rPr>
        <w:t>(</w:t>
      </w:r>
      <w:r>
        <w:rPr>
          <w:rFonts w:ascii="Cambria Math"/>
          <w:sz w:val="22"/>
        </w:rPr>
        <w:tab/>
        <w:tab/>
      </w:r>
      <w:r>
        <w:rPr>
          <w:rFonts w:ascii="Cambria Math"/>
          <w:spacing w:val="-10"/>
          <w:w w:val="105"/>
          <w:sz w:val="22"/>
        </w:rPr>
        <w:t>)</w:t>
      </w:r>
    </w:p>
    <w:p>
      <w:pPr>
        <w:spacing w:line="137" w:lineRule="exact" w:before="0"/>
        <w:ind w:left="0" w:right="878" w:firstLine="0"/>
        <w:jc w:val="right"/>
        <w:rPr>
          <w:rFonts w:ascii="Cambria Math"/>
          <w:sz w:val="22"/>
        </w:rPr>
      </w:pPr>
      <w:r>
        <w:rPr>
          <w:rFonts w:ascii="Cambria Math"/>
          <w:spacing w:val="-5"/>
          <w:sz w:val="22"/>
        </w:rPr>
        <w:t>10</w:t>
      </w:r>
    </w:p>
    <w:p>
      <w:pPr>
        <w:spacing w:after="0" w:line="137" w:lineRule="exact"/>
        <w:jc w:val="right"/>
        <w:rPr>
          <w:rFonts w:ascii="Cambria Math"/>
          <w:sz w:val="22"/>
        </w:rPr>
        <w:sectPr>
          <w:type w:val="continuous"/>
          <w:pgSz w:w="12240" w:h="15840"/>
          <w:pgMar w:header="0" w:footer="1068" w:top="1340" w:bottom="1260" w:left="1720" w:right="680"/>
        </w:sectPr>
      </w:pPr>
    </w:p>
    <w:p>
      <w:pPr>
        <w:spacing w:line="262" w:lineRule="exact" w:before="0"/>
        <w:ind w:left="375" w:right="0" w:firstLine="0"/>
        <w:jc w:val="left"/>
        <w:rPr>
          <w:rFonts w:ascii="Calibri"/>
          <w:b/>
          <w:sz w:val="22"/>
        </w:rPr>
      </w:pPr>
      <w:r>
        <w:rPr>
          <w:rFonts w:ascii="Calibri"/>
          <w:b/>
          <w:spacing w:val="-2"/>
          <w:sz w:val="22"/>
        </w:rPr>
        <w:t>Access</w:t>
      </w:r>
    </w:p>
    <w:p>
      <w:pPr>
        <w:tabs>
          <w:tab w:pos="1553" w:val="left" w:leader="none"/>
          <w:tab w:pos="6407" w:val="left" w:leader="none"/>
        </w:tabs>
        <w:spacing w:line="168" w:lineRule="auto" w:before="0"/>
        <w:ind w:left="375" w:right="0" w:firstLine="0"/>
        <w:jc w:val="left"/>
        <w:rPr>
          <w:rFonts w:ascii="Cambria Math"/>
          <w:sz w:val="22"/>
        </w:rPr>
      </w:pPr>
      <w:r>
        <w:rPr/>
        <w:br w:type="column"/>
      </w:r>
      <w:r>
        <w:rPr>
          <w:rFonts w:ascii="Cambria Math"/>
          <w:spacing w:val="-5"/>
          <w:position w:val="-13"/>
          <w:sz w:val="22"/>
        </w:rPr>
        <w:t>(</w:t>
      </w:r>
      <w:r>
        <w:rPr>
          <w:rFonts w:ascii="Cambria Math"/>
          <w:spacing w:val="-5"/>
          <w:position w:val="3"/>
          <w:sz w:val="22"/>
        </w:rPr>
        <w:t>1</w:t>
      </w:r>
      <w:r>
        <w:rPr>
          <w:rFonts w:ascii="Cambria Math"/>
          <w:spacing w:val="-5"/>
          <w:position w:val="-13"/>
          <w:sz w:val="22"/>
        </w:rPr>
        <w:t>)</w:t>
      </w:r>
      <w:r>
        <w:rPr>
          <w:rFonts w:ascii="Cambria Math"/>
          <w:position w:val="-13"/>
          <w:sz w:val="22"/>
        </w:rPr>
        <w:tab/>
      </w:r>
      <w:r>
        <w:rPr>
          <w:rFonts w:ascii="Calibri"/>
          <w:sz w:val="22"/>
        </w:rPr>
        <w:t>Access</w:t>
      </w:r>
      <w:r>
        <w:rPr>
          <w:rFonts w:ascii="Calibri"/>
          <w:spacing w:val="-5"/>
          <w:sz w:val="22"/>
        </w:rPr>
        <w:t> </w:t>
      </w:r>
      <w:r>
        <w:rPr>
          <w:rFonts w:ascii="Calibri"/>
          <w:sz w:val="22"/>
        </w:rPr>
        <w:t>to</w:t>
      </w:r>
      <w:r>
        <w:rPr>
          <w:rFonts w:ascii="Calibri"/>
          <w:spacing w:val="-3"/>
          <w:sz w:val="22"/>
        </w:rPr>
        <w:t> </w:t>
      </w:r>
      <w:r>
        <w:rPr>
          <w:rFonts w:ascii="Calibri"/>
          <w:sz w:val="22"/>
        </w:rPr>
        <w:t>safe</w:t>
      </w:r>
      <w:r>
        <w:rPr>
          <w:rFonts w:ascii="Calibri"/>
          <w:spacing w:val="-4"/>
          <w:sz w:val="22"/>
        </w:rPr>
        <w:t> </w:t>
      </w:r>
      <w:r>
        <w:rPr>
          <w:rFonts w:ascii="Calibri"/>
          <w:sz w:val="22"/>
        </w:rPr>
        <w:t>water</w:t>
      </w:r>
      <w:r>
        <w:rPr>
          <w:rFonts w:ascii="Calibri"/>
          <w:spacing w:val="-2"/>
          <w:sz w:val="22"/>
        </w:rPr>
        <w:t> (ACC1)</w:t>
      </w:r>
      <w:r>
        <w:rPr>
          <w:rFonts w:ascii="Calibri"/>
          <w:sz w:val="22"/>
        </w:rPr>
        <w:tab/>
      </w:r>
      <w:r>
        <w:rPr>
          <w:rFonts w:ascii="Cambria Math"/>
          <w:spacing w:val="-5"/>
          <w:position w:val="-13"/>
          <w:sz w:val="22"/>
        </w:rPr>
        <w:t>(</w:t>
      </w:r>
      <w:r>
        <w:rPr>
          <w:rFonts w:ascii="Cambria Math"/>
          <w:spacing w:val="-5"/>
          <w:position w:val="3"/>
          <w:sz w:val="22"/>
        </w:rPr>
        <w:t>1</w:t>
      </w:r>
      <w:r>
        <w:rPr>
          <w:rFonts w:ascii="Cambria Math"/>
          <w:spacing w:val="-5"/>
          <w:position w:val="-13"/>
          <w:sz w:val="22"/>
        </w:rPr>
        <w:t>)</w:t>
      </w:r>
    </w:p>
    <w:p>
      <w:pPr>
        <w:tabs>
          <w:tab w:pos="6518" w:val="left" w:leader="none"/>
        </w:tabs>
        <w:spacing w:line="202" w:lineRule="exact" w:before="0"/>
        <w:ind w:left="486" w:right="0" w:firstLine="0"/>
        <w:jc w:val="left"/>
        <w:rPr>
          <w:rFonts w:ascii="Cambria Math"/>
          <w:sz w:val="22"/>
        </w:rPr>
      </w:pPr>
      <w:r>
        <w:rPr/>
        <mc:AlternateContent>
          <mc:Choice Requires="wps">
            <w:drawing>
              <wp:anchor distT="0" distB="0" distL="0" distR="0" allowOverlap="1" layoutInCell="1" locked="0" behindDoc="1" simplePos="0" relativeHeight="482490368">
                <wp:simplePos x="0" y="0"/>
                <wp:positionH relativeFrom="page">
                  <wp:posOffset>2835275</wp:posOffset>
                </wp:positionH>
                <wp:positionV relativeFrom="paragraph">
                  <wp:posOffset>-49026</wp:posOffset>
                </wp:positionV>
                <wp:extent cx="78105" cy="95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25pt;margin-top:-3.860325pt;width:6.12pt;height:.72pt;mso-position-horizontal-relative:page;mso-position-vertical-relative:paragraph;z-index:-20826112" id="docshape5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90880">
                <wp:simplePos x="0" y="0"/>
                <wp:positionH relativeFrom="page">
                  <wp:posOffset>6665721</wp:posOffset>
                </wp:positionH>
                <wp:positionV relativeFrom="paragraph">
                  <wp:posOffset>-49026</wp:posOffset>
                </wp:positionV>
                <wp:extent cx="78105"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4.859985pt;margin-top:-3.860325pt;width:6.12pt;height:.72pt;mso-position-horizontal-relative:page;mso-position-vertical-relative:paragraph;z-index:-20825600" id="docshape58" filled="true" fillcolor="#000000" stroked="false">
                <v:fill type="solid"/>
                <w10:wrap type="none"/>
              </v:rect>
            </w:pict>
          </mc:Fallback>
        </mc:AlternateContent>
      </w:r>
      <w:r>
        <w:rPr>
          <w:rFonts w:ascii="Cambria Math"/>
          <w:spacing w:val="-10"/>
          <w:sz w:val="22"/>
        </w:rPr>
        <w:t>5</w:t>
      </w:r>
      <w:r>
        <w:rPr>
          <w:rFonts w:ascii="Cambria Math"/>
          <w:sz w:val="22"/>
        </w:rPr>
        <w:tab/>
      </w:r>
      <w:r>
        <w:rPr>
          <w:rFonts w:ascii="Cambria Math"/>
          <w:spacing w:val="-10"/>
          <w:sz w:val="22"/>
        </w:rPr>
        <w:t>5</w:t>
      </w:r>
    </w:p>
    <w:p>
      <w:pPr>
        <w:spacing w:after="0" w:line="202" w:lineRule="exact"/>
        <w:jc w:val="left"/>
        <w:rPr>
          <w:rFonts w:ascii="Cambria Math"/>
          <w:sz w:val="22"/>
        </w:rPr>
        <w:sectPr>
          <w:type w:val="continuous"/>
          <w:pgSz w:w="12240" w:h="15840"/>
          <w:pgMar w:header="0" w:footer="1068" w:top="1340" w:bottom="1260" w:left="1720" w:right="680"/>
          <w:cols w:num="2" w:equalWidth="0">
            <w:col w:w="1022" w:space="1237"/>
            <w:col w:w="7581"/>
          </w:cols>
        </w:sectPr>
      </w:pPr>
    </w:p>
    <w:p>
      <w:pPr>
        <w:spacing w:line="250" w:lineRule="exact" w:before="0"/>
        <w:ind w:left="375" w:right="0" w:firstLine="0"/>
        <w:jc w:val="left"/>
        <w:rPr>
          <w:rFonts w:ascii="Calibri"/>
          <w:b/>
          <w:sz w:val="22"/>
        </w:rPr>
      </w:pPr>
      <w:r>
        <w:rPr>
          <w:rFonts w:ascii="Calibri"/>
          <w:b/>
          <w:spacing w:val="-5"/>
          <w:sz w:val="22"/>
        </w:rPr>
        <w:t>Use</w:t>
      </w:r>
    </w:p>
    <w:p>
      <w:pPr>
        <w:tabs>
          <w:tab w:pos="1553" w:val="left" w:leader="none"/>
          <w:tab w:pos="6347" w:val="left" w:leader="none"/>
        </w:tabs>
        <w:spacing w:line="144" w:lineRule="auto" w:before="0"/>
        <w:ind w:left="375" w:right="0" w:firstLine="0"/>
        <w:jc w:val="left"/>
        <w:rPr>
          <w:rFonts w:ascii="Cambria Math"/>
          <w:sz w:val="22"/>
        </w:rPr>
      </w:pPr>
      <w:r>
        <w:rPr/>
        <w:br w:type="column"/>
      </w:r>
      <w:r>
        <w:rPr>
          <w:rFonts w:ascii="Cambria Math"/>
          <w:spacing w:val="-5"/>
          <w:position w:val="-13"/>
          <w:sz w:val="22"/>
        </w:rPr>
        <w:t>(</w:t>
      </w:r>
      <w:r>
        <w:rPr>
          <w:rFonts w:ascii="Cambria Math"/>
          <w:spacing w:val="-5"/>
          <w:position w:val="3"/>
          <w:sz w:val="22"/>
        </w:rPr>
        <w:t>1</w:t>
      </w:r>
      <w:r>
        <w:rPr>
          <w:rFonts w:ascii="Cambria Math"/>
          <w:spacing w:val="-5"/>
          <w:position w:val="-13"/>
          <w:sz w:val="22"/>
        </w:rPr>
        <w:t>)</w:t>
      </w:r>
      <w:r>
        <w:rPr>
          <w:rFonts w:ascii="Cambria Math"/>
          <w:position w:val="-13"/>
          <w:sz w:val="22"/>
        </w:rPr>
        <w:tab/>
      </w:r>
      <w:r>
        <w:rPr>
          <w:rFonts w:ascii="Calibri"/>
          <w:sz w:val="22"/>
        </w:rPr>
        <w:t>Access</w:t>
      </w:r>
      <w:r>
        <w:rPr>
          <w:rFonts w:ascii="Calibri"/>
          <w:spacing w:val="-5"/>
          <w:sz w:val="22"/>
        </w:rPr>
        <w:t> </w:t>
      </w:r>
      <w:r>
        <w:rPr>
          <w:rFonts w:ascii="Calibri"/>
          <w:sz w:val="22"/>
        </w:rPr>
        <w:t>to</w:t>
      </w:r>
      <w:r>
        <w:rPr>
          <w:rFonts w:ascii="Calibri"/>
          <w:spacing w:val="-3"/>
          <w:sz w:val="22"/>
        </w:rPr>
        <w:t> </w:t>
      </w:r>
      <w:r>
        <w:rPr>
          <w:rFonts w:ascii="Calibri"/>
          <w:sz w:val="22"/>
        </w:rPr>
        <w:t>safe</w:t>
      </w:r>
      <w:r>
        <w:rPr>
          <w:rFonts w:ascii="Calibri"/>
          <w:spacing w:val="-4"/>
          <w:sz w:val="22"/>
        </w:rPr>
        <w:t> </w:t>
      </w:r>
      <w:r>
        <w:rPr>
          <w:rFonts w:ascii="Calibri"/>
          <w:sz w:val="22"/>
        </w:rPr>
        <w:t>water</w:t>
      </w:r>
      <w:r>
        <w:rPr>
          <w:rFonts w:ascii="Calibri"/>
          <w:spacing w:val="-2"/>
          <w:sz w:val="22"/>
        </w:rPr>
        <w:t> (USE1)</w:t>
      </w:r>
      <w:r>
        <w:rPr>
          <w:rFonts w:ascii="Calibri"/>
          <w:sz w:val="22"/>
        </w:rPr>
        <w:tab/>
      </w:r>
      <w:r>
        <w:rPr>
          <w:rFonts w:ascii="Cambria Math"/>
          <w:position w:val="-13"/>
          <w:sz w:val="22"/>
        </w:rPr>
        <w:t>(</w:t>
      </w:r>
      <w:r>
        <w:rPr>
          <w:rFonts w:ascii="Cambria Math"/>
          <w:spacing w:val="18"/>
          <w:position w:val="-13"/>
          <w:sz w:val="22"/>
        </w:rPr>
        <w:t> </w:t>
      </w:r>
      <w:r>
        <w:rPr>
          <w:rFonts w:ascii="Cambria Math"/>
          <w:position w:val="3"/>
          <w:sz w:val="22"/>
        </w:rPr>
        <w:t>1</w:t>
      </w:r>
      <w:r>
        <w:rPr>
          <w:rFonts w:ascii="Cambria Math"/>
          <w:spacing w:val="23"/>
          <w:position w:val="3"/>
          <w:sz w:val="22"/>
        </w:rPr>
        <w:t> </w:t>
      </w:r>
      <w:r>
        <w:rPr>
          <w:rFonts w:ascii="Cambria Math"/>
          <w:spacing w:val="-10"/>
          <w:position w:val="-13"/>
          <w:sz w:val="22"/>
        </w:rPr>
        <w:t>)</w:t>
      </w:r>
    </w:p>
    <w:p>
      <w:pPr>
        <w:spacing w:after="0" w:line="144" w:lineRule="auto"/>
        <w:jc w:val="left"/>
        <w:rPr>
          <w:rFonts w:ascii="Cambria Math"/>
          <w:sz w:val="22"/>
        </w:rPr>
        <w:sectPr>
          <w:type w:val="continuous"/>
          <w:pgSz w:w="12240" w:h="15840"/>
          <w:pgMar w:header="0" w:footer="1068" w:top="1340" w:bottom="1260" w:left="1720" w:right="680"/>
          <w:cols w:num="2" w:equalWidth="0">
            <w:col w:w="759" w:space="1500"/>
            <w:col w:w="7581"/>
          </w:cols>
        </w:sectPr>
      </w:pPr>
    </w:p>
    <w:p>
      <w:pPr>
        <w:tabs>
          <w:tab w:pos="8714" w:val="left" w:leader="none"/>
        </w:tabs>
        <w:spacing w:line="187" w:lineRule="exact" w:before="0"/>
        <w:ind w:left="2745" w:right="0" w:firstLine="0"/>
        <w:jc w:val="left"/>
        <w:rPr>
          <w:rFonts w:ascii="Cambria Math"/>
          <w:sz w:val="22"/>
        </w:rPr>
      </w:pPr>
      <w:r>
        <w:rPr/>
        <mc:AlternateContent>
          <mc:Choice Requires="wps">
            <w:drawing>
              <wp:anchor distT="0" distB="0" distL="0" distR="0" allowOverlap="1" layoutInCell="1" locked="0" behindDoc="1" simplePos="0" relativeHeight="482491392">
                <wp:simplePos x="0" y="0"/>
                <wp:positionH relativeFrom="page">
                  <wp:posOffset>2835275</wp:posOffset>
                </wp:positionH>
                <wp:positionV relativeFrom="paragraph">
                  <wp:posOffset>-39603</wp:posOffset>
                </wp:positionV>
                <wp:extent cx="78105" cy="95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25pt;margin-top:-3.118411pt;width:6.12pt;height:.72pt;mso-position-horizontal-relative:page;mso-position-vertical-relative:paragraph;z-index:-20825088" id="docshape5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91904">
                <wp:simplePos x="0" y="0"/>
                <wp:positionH relativeFrom="page">
                  <wp:posOffset>6626097</wp:posOffset>
                </wp:positionH>
                <wp:positionV relativeFrom="paragraph">
                  <wp:posOffset>-39603</wp:posOffset>
                </wp:positionV>
                <wp:extent cx="155575" cy="95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55575" cy="9525"/>
                        </a:xfrm>
                        <a:custGeom>
                          <a:avLst/>
                          <a:gdLst/>
                          <a:ahLst/>
                          <a:cxnLst/>
                          <a:rect l="l" t="t" r="r" b="b"/>
                          <a:pathLst>
                            <a:path w="155575" h="9525">
                              <a:moveTo>
                                <a:pt x="155448" y="0"/>
                              </a:moveTo>
                              <a:lnTo>
                                <a:pt x="0" y="0"/>
                              </a:lnTo>
                              <a:lnTo>
                                <a:pt x="0" y="9144"/>
                              </a:lnTo>
                              <a:lnTo>
                                <a:pt x="155448" y="9144"/>
                              </a:lnTo>
                              <a:lnTo>
                                <a:pt x="155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1.73999pt;margin-top:-3.118411pt;width:12.24pt;height:.72pt;mso-position-horizontal-relative:page;mso-position-vertical-relative:paragraph;z-index:-20824576" id="docshape60" filled="true" fillcolor="#000000" stroked="false">
                <v:fill type="solid"/>
                <w10:wrap type="none"/>
              </v:rect>
            </w:pict>
          </mc:Fallback>
        </mc:AlternateContent>
      </w:r>
      <w:r>
        <w:rPr>
          <w:rFonts w:ascii="Cambria Math"/>
          <w:spacing w:val="-10"/>
          <w:sz w:val="22"/>
        </w:rPr>
        <w:t>5</w:t>
      </w:r>
      <w:r>
        <w:rPr>
          <w:rFonts w:ascii="Cambria Math"/>
          <w:sz w:val="22"/>
        </w:rPr>
        <w:tab/>
      </w:r>
      <w:r>
        <w:rPr>
          <w:rFonts w:ascii="Cambria Math"/>
          <w:spacing w:val="-5"/>
          <w:sz w:val="22"/>
        </w:rPr>
        <w:t>10</w:t>
      </w:r>
    </w:p>
    <w:p>
      <w:pPr>
        <w:tabs>
          <w:tab w:pos="8714" w:val="left" w:leader="none"/>
          <w:tab w:pos="8959" w:val="left" w:leader="none"/>
        </w:tabs>
        <w:spacing w:line="122" w:lineRule="auto" w:before="84"/>
        <w:ind w:left="8606" w:right="769" w:hanging="4794"/>
        <w:jc w:val="left"/>
        <w:rPr>
          <w:rFonts w:ascii="Cambria Math"/>
          <w:sz w:val="22"/>
        </w:rPr>
      </w:pPr>
      <w:r>
        <w:rPr>
          <w:rFonts w:ascii="Calibri"/>
          <w:w w:val="105"/>
          <w:sz w:val="22"/>
        </w:rPr>
        <w:t>Agricultural safe water (USE2)</w:t>
      </w:r>
      <w:r>
        <w:rPr>
          <w:rFonts w:ascii="Calibri"/>
          <w:sz w:val="22"/>
        </w:rPr>
        <w:tab/>
        <w:tab/>
      </w:r>
      <w:r>
        <w:rPr>
          <w:position w:val="3"/>
          <w:sz w:val="22"/>
          <w:u w:val="single"/>
        </w:rPr>
        <w:t> </w:t>
      </w:r>
      <w:r>
        <w:rPr>
          <w:rFonts w:ascii="Cambria Math"/>
          <w:w w:val="105"/>
          <w:position w:val="3"/>
          <w:sz w:val="22"/>
          <w:u w:val="single"/>
        </w:rPr>
        <w:t>1 </w:t>
      </w:r>
      <w:r>
        <w:rPr>
          <w:rFonts w:ascii="Cambria Math"/>
          <w:spacing w:val="40"/>
          <w:w w:val="105"/>
          <w:position w:val="3"/>
          <w:sz w:val="22"/>
        </w:rPr>
        <w:t> </w:t>
      </w:r>
      <w:r>
        <w:rPr>
          <w:rFonts w:ascii="Cambria Math"/>
          <w:spacing w:val="-10"/>
          <w:w w:val="105"/>
          <w:sz w:val="22"/>
        </w:rPr>
        <w:t>(</w:t>
      </w:r>
      <w:r>
        <w:rPr>
          <w:rFonts w:ascii="Cambria Math"/>
          <w:sz w:val="22"/>
        </w:rPr>
        <w:tab/>
        <w:tab/>
      </w:r>
      <w:r>
        <w:rPr>
          <w:rFonts w:ascii="Cambria Math"/>
          <w:spacing w:val="-10"/>
          <w:w w:val="105"/>
          <w:sz w:val="22"/>
        </w:rPr>
        <w:t>)</w:t>
      </w:r>
    </w:p>
    <w:p>
      <w:pPr>
        <w:spacing w:line="138" w:lineRule="exact" w:before="0"/>
        <w:ind w:left="0" w:right="878" w:firstLine="0"/>
        <w:jc w:val="right"/>
        <w:rPr>
          <w:rFonts w:ascii="Cambria Math"/>
          <w:sz w:val="22"/>
        </w:rPr>
      </w:pPr>
      <w:r>
        <w:rPr>
          <w:rFonts w:ascii="Cambria Math"/>
          <w:spacing w:val="-5"/>
          <w:sz w:val="22"/>
        </w:rPr>
        <w:t>10</w:t>
      </w:r>
    </w:p>
    <w:p>
      <w:pPr>
        <w:spacing w:after="0" w:line="138" w:lineRule="exact"/>
        <w:jc w:val="right"/>
        <w:rPr>
          <w:rFonts w:ascii="Cambria Math"/>
          <w:sz w:val="22"/>
        </w:rPr>
        <w:sectPr>
          <w:type w:val="continuous"/>
          <w:pgSz w:w="12240" w:h="15840"/>
          <w:pgMar w:header="0" w:footer="1068" w:top="1340" w:bottom="1260" w:left="1720" w:right="680"/>
        </w:sectPr>
      </w:pPr>
    </w:p>
    <w:p>
      <w:pPr>
        <w:spacing w:line="263" w:lineRule="exact" w:before="0"/>
        <w:ind w:left="375" w:right="0" w:firstLine="0"/>
        <w:jc w:val="left"/>
        <w:rPr>
          <w:rFonts w:ascii="Calibri"/>
          <w:b/>
          <w:sz w:val="22"/>
        </w:rPr>
      </w:pPr>
      <w:r>
        <w:rPr>
          <w:rFonts w:ascii="Calibri"/>
          <w:b/>
          <w:spacing w:val="-2"/>
          <w:sz w:val="22"/>
        </w:rPr>
        <w:t>Capacity</w:t>
      </w:r>
    </w:p>
    <w:p>
      <w:pPr>
        <w:tabs>
          <w:tab w:pos="1553" w:val="left" w:leader="none"/>
          <w:tab w:pos="6347" w:val="left" w:leader="none"/>
        </w:tabs>
        <w:spacing w:line="144" w:lineRule="auto" w:before="0"/>
        <w:ind w:left="375" w:right="0" w:firstLine="0"/>
        <w:jc w:val="left"/>
        <w:rPr>
          <w:rFonts w:ascii="Cambria Math"/>
          <w:sz w:val="22"/>
        </w:rPr>
      </w:pPr>
      <w:r>
        <w:rPr/>
        <w:br w:type="column"/>
      </w:r>
      <w:r>
        <w:rPr>
          <w:rFonts w:ascii="Cambria Math"/>
          <w:spacing w:val="-5"/>
          <w:position w:val="-13"/>
          <w:sz w:val="22"/>
        </w:rPr>
        <w:t>(</w:t>
      </w:r>
      <w:r>
        <w:rPr>
          <w:rFonts w:ascii="Cambria Math"/>
          <w:spacing w:val="-5"/>
          <w:position w:val="3"/>
          <w:sz w:val="22"/>
        </w:rPr>
        <w:t>1</w:t>
      </w:r>
      <w:r>
        <w:rPr>
          <w:rFonts w:ascii="Cambria Math"/>
          <w:spacing w:val="-5"/>
          <w:position w:val="-13"/>
          <w:sz w:val="22"/>
        </w:rPr>
        <w:t>)</w:t>
      </w:r>
      <w:r>
        <w:rPr>
          <w:rFonts w:ascii="Cambria Math"/>
          <w:position w:val="-13"/>
          <w:sz w:val="22"/>
        </w:rPr>
        <w:tab/>
      </w:r>
      <w:r>
        <w:rPr>
          <w:rFonts w:ascii="Calibri"/>
          <w:sz w:val="22"/>
        </w:rPr>
        <w:t>Economic</w:t>
      </w:r>
      <w:r>
        <w:rPr>
          <w:rFonts w:ascii="Calibri"/>
          <w:spacing w:val="-9"/>
          <w:sz w:val="22"/>
        </w:rPr>
        <w:t> </w:t>
      </w:r>
      <w:r>
        <w:rPr>
          <w:rFonts w:ascii="Calibri"/>
          <w:sz w:val="22"/>
        </w:rPr>
        <w:t>capacity</w:t>
      </w:r>
      <w:r>
        <w:rPr>
          <w:rFonts w:ascii="Calibri"/>
          <w:spacing w:val="-7"/>
          <w:sz w:val="22"/>
        </w:rPr>
        <w:t> </w:t>
      </w:r>
      <w:r>
        <w:rPr>
          <w:rFonts w:ascii="Calibri"/>
          <w:spacing w:val="-2"/>
          <w:sz w:val="22"/>
        </w:rPr>
        <w:t>(CAP1)</w:t>
      </w:r>
      <w:r>
        <w:rPr>
          <w:rFonts w:ascii="Calibri"/>
          <w:sz w:val="22"/>
        </w:rPr>
        <w:tab/>
      </w:r>
      <w:r>
        <w:rPr>
          <w:rFonts w:ascii="Cambria Math"/>
          <w:position w:val="-13"/>
          <w:sz w:val="22"/>
        </w:rPr>
        <w:t>(</w:t>
      </w:r>
      <w:r>
        <w:rPr>
          <w:rFonts w:ascii="Cambria Math"/>
          <w:spacing w:val="18"/>
          <w:position w:val="-13"/>
          <w:sz w:val="22"/>
        </w:rPr>
        <w:t> </w:t>
      </w:r>
      <w:r>
        <w:rPr>
          <w:rFonts w:ascii="Cambria Math"/>
          <w:position w:val="3"/>
          <w:sz w:val="22"/>
        </w:rPr>
        <w:t>1</w:t>
      </w:r>
      <w:r>
        <w:rPr>
          <w:rFonts w:ascii="Cambria Math"/>
          <w:spacing w:val="23"/>
          <w:position w:val="3"/>
          <w:sz w:val="22"/>
        </w:rPr>
        <w:t> </w:t>
      </w:r>
      <w:r>
        <w:rPr>
          <w:rFonts w:ascii="Cambria Math"/>
          <w:spacing w:val="-10"/>
          <w:position w:val="-13"/>
          <w:sz w:val="22"/>
        </w:rPr>
        <w:t>)</w:t>
      </w:r>
    </w:p>
    <w:p>
      <w:pPr>
        <w:spacing w:after="0" w:line="144" w:lineRule="auto"/>
        <w:jc w:val="left"/>
        <w:rPr>
          <w:rFonts w:ascii="Cambria Math"/>
          <w:sz w:val="22"/>
        </w:rPr>
        <w:sectPr>
          <w:type w:val="continuous"/>
          <w:pgSz w:w="12240" w:h="15840"/>
          <w:pgMar w:header="0" w:footer="1068" w:top="1340" w:bottom="1260" w:left="1720" w:right="680"/>
          <w:cols w:num="2" w:equalWidth="0">
            <w:col w:w="1195" w:space="1064"/>
            <w:col w:w="7581"/>
          </w:cols>
        </w:sectPr>
      </w:pPr>
    </w:p>
    <w:p>
      <w:pPr>
        <w:tabs>
          <w:tab w:pos="8714" w:val="left" w:leader="none"/>
        </w:tabs>
        <w:spacing w:line="200" w:lineRule="exact" w:before="0"/>
        <w:ind w:left="2745" w:right="0" w:firstLine="0"/>
        <w:jc w:val="left"/>
        <w:rPr>
          <w:rFonts w:ascii="Cambria Math"/>
          <w:sz w:val="22"/>
        </w:rPr>
      </w:pPr>
      <w:r>
        <w:rPr/>
        <mc:AlternateContent>
          <mc:Choice Requires="wps">
            <w:drawing>
              <wp:anchor distT="0" distB="0" distL="0" distR="0" allowOverlap="1" layoutInCell="1" locked="0" behindDoc="1" simplePos="0" relativeHeight="482492416">
                <wp:simplePos x="0" y="0"/>
                <wp:positionH relativeFrom="page">
                  <wp:posOffset>2835275</wp:posOffset>
                </wp:positionH>
                <wp:positionV relativeFrom="paragraph">
                  <wp:posOffset>-31541</wp:posOffset>
                </wp:positionV>
                <wp:extent cx="78105" cy="95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25pt;margin-top:-2.483567pt;width:6.12pt;height:.72pt;mso-position-horizontal-relative:page;mso-position-vertical-relative:paragraph;z-index:-20824064" id="docshape6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92928">
                <wp:simplePos x="0" y="0"/>
                <wp:positionH relativeFrom="page">
                  <wp:posOffset>6626097</wp:posOffset>
                </wp:positionH>
                <wp:positionV relativeFrom="paragraph">
                  <wp:posOffset>-31541</wp:posOffset>
                </wp:positionV>
                <wp:extent cx="155575" cy="95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55575" cy="9525"/>
                        </a:xfrm>
                        <a:custGeom>
                          <a:avLst/>
                          <a:gdLst/>
                          <a:ahLst/>
                          <a:cxnLst/>
                          <a:rect l="l" t="t" r="r" b="b"/>
                          <a:pathLst>
                            <a:path w="155575" h="9525">
                              <a:moveTo>
                                <a:pt x="155448" y="0"/>
                              </a:moveTo>
                              <a:lnTo>
                                <a:pt x="0" y="0"/>
                              </a:lnTo>
                              <a:lnTo>
                                <a:pt x="0" y="9144"/>
                              </a:lnTo>
                              <a:lnTo>
                                <a:pt x="155448" y="9144"/>
                              </a:lnTo>
                              <a:lnTo>
                                <a:pt x="155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1.73999pt;margin-top:-2.483567pt;width:12.24pt;height:.72pt;mso-position-horizontal-relative:page;mso-position-vertical-relative:paragraph;z-index:-20823552" id="docshape62" filled="true" fillcolor="#000000" stroked="false">
                <v:fill type="solid"/>
                <w10:wrap type="none"/>
              </v:rect>
            </w:pict>
          </mc:Fallback>
        </mc:AlternateContent>
      </w:r>
      <w:r>
        <w:rPr>
          <w:rFonts w:ascii="Cambria Math"/>
          <w:spacing w:val="-10"/>
          <w:sz w:val="22"/>
        </w:rPr>
        <w:t>5</w:t>
      </w:r>
      <w:r>
        <w:rPr>
          <w:rFonts w:ascii="Cambria Math"/>
          <w:sz w:val="22"/>
        </w:rPr>
        <w:tab/>
      </w:r>
      <w:r>
        <w:rPr>
          <w:rFonts w:ascii="Cambria Math"/>
          <w:spacing w:val="-5"/>
          <w:sz w:val="22"/>
        </w:rPr>
        <w:t>20</w:t>
      </w:r>
    </w:p>
    <w:p>
      <w:pPr>
        <w:tabs>
          <w:tab w:pos="8714" w:val="left" w:leader="none"/>
          <w:tab w:pos="8959" w:val="left" w:leader="none"/>
        </w:tabs>
        <w:spacing w:line="122" w:lineRule="auto" w:before="84"/>
        <w:ind w:left="8606" w:right="769" w:hanging="4794"/>
        <w:jc w:val="left"/>
        <w:rPr>
          <w:rFonts w:ascii="Cambria Math"/>
          <w:sz w:val="22"/>
        </w:rPr>
      </w:pPr>
      <w:r>
        <w:rPr>
          <w:rFonts w:ascii="Calibri"/>
          <w:w w:val="105"/>
          <w:sz w:val="22"/>
        </w:rPr>
        <w:t>Social capacity(employment)(CAP2)</w:t>
      </w:r>
      <w:r>
        <w:rPr>
          <w:rFonts w:ascii="Calibri"/>
          <w:sz w:val="22"/>
        </w:rPr>
        <w:tab/>
        <w:tab/>
      </w:r>
      <w:r>
        <w:rPr>
          <w:position w:val="3"/>
          <w:sz w:val="22"/>
          <w:u w:val="single"/>
        </w:rPr>
        <w:t> </w:t>
      </w:r>
      <w:r>
        <w:rPr>
          <w:rFonts w:ascii="Cambria Math"/>
          <w:w w:val="105"/>
          <w:position w:val="3"/>
          <w:sz w:val="22"/>
          <w:u w:val="single"/>
        </w:rPr>
        <w:t>1 </w:t>
      </w:r>
      <w:r>
        <w:rPr>
          <w:rFonts w:ascii="Cambria Math"/>
          <w:spacing w:val="40"/>
          <w:w w:val="105"/>
          <w:position w:val="3"/>
          <w:sz w:val="22"/>
        </w:rPr>
        <w:t> </w:t>
      </w:r>
      <w:r>
        <w:rPr>
          <w:rFonts w:ascii="Cambria Math"/>
          <w:spacing w:val="-10"/>
          <w:w w:val="105"/>
          <w:sz w:val="22"/>
        </w:rPr>
        <w:t>(</w:t>
      </w:r>
      <w:r>
        <w:rPr>
          <w:rFonts w:ascii="Cambria Math"/>
          <w:sz w:val="22"/>
        </w:rPr>
        <w:tab/>
        <w:tab/>
      </w:r>
      <w:r>
        <w:rPr>
          <w:rFonts w:ascii="Cambria Math"/>
          <w:spacing w:val="-10"/>
          <w:w w:val="105"/>
          <w:sz w:val="22"/>
        </w:rPr>
        <w:t>)</w:t>
      </w:r>
    </w:p>
    <w:p>
      <w:pPr>
        <w:spacing w:line="173" w:lineRule="exact" w:before="0"/>
        <w:ind w:left="8714" w:right="0" w:firstLine="0"/>
        <w:jc w:val="left"/>
        <w:rPr>
          <w:rFonts w:ascii="Cambria Math"/>
          <w:sz w:val="22"/>
        </w:rPr>
      </w:pPr>
      <w:r>
        <w:rPr>
          <w:rFonts w:ascii="Cambria Math"/>
          <w:spacing w:val="-5"/>
          <w:sz w:val="22"/>
        </w:rPr>
        <w:t>20</w:t>
      </w:r>
    </w:p>
    <w:p>
      <w:pPr>
        <w:pStyle w:val="BodyText"/>
        <w:spacing w:before="73"/>
        <w:rPr>
          <w:rFonts w:ascii="Cambria Math"/>
          <w:sz w:val="22"/>
        </w:rPr>
      </w:pPr>
    </w:p>
    <w:p>
      <w:pPr>
        <w:tabs>
          <w:tab w:pos="8714" w:val="left" w:leader="none"/>
          <w:tab w:pos="8959" w:val="left" w:leader="none"/>
        </w:tabs>
        <w:spacing w:line="122" w:lineRule="auto" w:before="0"/>
        <w:ind w:left="8606" w:right="769" w:hanging="4794"/>
        <w:jc w:val="left"/>
        <w:rPr>
          <w:rFonts w:ascii="Cambria Math"/>
          <w:sz w:val="22"/>
        </w:rPr>
      </w:pPr>
      <w:r>
        <w:rPr>
          <w:rFonts w:ascii="Calibri"/>
          <w:w w:val="105"/>
          <w:sz w:val="22"/>
        </w:rPr>
        <w:t>Social capacity(education)(CAP3)</w:t>
      </w:r>
      <w:r>
        <w:rPr>
          <w:rFonts w:ascii="Calibri"/>
          <w:sz w:val="22"/>
        </w:rPr>
        <w:tab/>
        <w:tab/>
      </w:r>
      <w:r>
        <w:rPr>
          <w:position w:val="3"/>
          <w:sz w:val="22"/>
          <w:u w:val="single"/>
        </w:rPr>
        <w:t> </w:t>
      </w:r>
      <w:r>
        <w:rPr>
          <w:rFonts w:ascii="Cambria Math"/>
          <w:w w:val="105"/>
          <w:position w:val="3"/>
          <w:sz w:val="22"/>
          <w:u w:val="single"/>
        </w:rPr>
        <w:t>1 </w:t>
      </w:r>
      <w:r>
        <w:rPr>
          <w:rFonts w:ascii="Cambria Math"/>
          <w:spacing w:val="40"/>
          <w:w w:val="105"/>
          <w:position w:val="3"/>
          <w:sz w:val="22"/>
        </w:rPr>
        <w:t> </w:t>
      </w:r>
      <w:r>
        <w:rPr>
          <w:rFonts w:ascii="Cambria Math"/>
          <w:spacing w:val="-10"/>
          <w:w w:val="105"/>
          <w:sz w:val="22"/>
        </w:rPr>
        <w:t>(</w:t>
      </w:r>
      <w:r>
        <w:rPr>
          <w:rFonts w:ascii="Cambria Math"/>
          <w:sz w:val="22"/>
        </w:rPr>
        <w:tab/>
        <w:tab/>
      </w:r>
      <w:r>
        <w:rPr>
          <w:rFonts w:ascii="Cambria Math"/>
          <w:spacing w:val="-10"/>
          <w:w w:val="105"/>
          <w:sz w:val="22"/>
        </w:rPr>
        <w:t>)</w:t>
      </w:r>
    </w:p>
    <w:p>
      <w:pPr>
        <w:spacing w:line="137" w:lineRule="exact" w:before="0"/>
        <w:ind w:left="8714" w:right="0" w:firstLine="0"/>
        <w:jc w:val="left"/>
        <w:rPr>
          <w:rFonts w:ascii="Cambria Math"/>
          <w:sz w:val="22"/>
        </w:rPr>
      </w:pPr>
      <w:r>
        <w:rPr>
          <w:rFonts w:ascii="Cambria Math"/>
          <w:spacing w:val="-5"/>
          <w:sz w:val="22"/>
        </w:rPr>
        <w:t>20</w:t>
      </w:r>
    </w:p>
    <w:p>
      <w:pPr>
        <w:tabs>
          <w:tab w:pos="8714" w:val="left" w:leader="none"/>
          <w:tab w:pos="8959" w:val="left" w:leader="none"/>
        </w:tabs>
        <w:spacing w:line="122" w:lineRule="auto" w:before="67"/>
        <w:ind w:left="8606" w:right="769" w:hanging="4794"/>
        <w:jc w:val="left"/>
        <w:rPr>
          <w:rFonts w:ascii="Cambria Math"/>
          <w:sz w:val="22"/>
        </w:rPr>
      </w:pPr>
      <w:r>
        <w:rPr>
          <w:rFonts w:ascii="Calibri"/>
          <w:w w:val="105"/>
          <w:sz w:val="22"/>
        </w:rPr>
        <w:t>Social capacity(health)(CAP4)</w:t>
      </w:r>
      <w:r>
        <w:rPr>
          <w:rFonts w:ascii="Calibri"/>
          <w:sz w:val="22"/>
        </w:rPr>
        <w:tab/>
        <w:tab/>
      </w:r>
      <w:r>
        <w:rPr>
          <w:position w:val="3"/>
          <w:sz w:val="22"/>
          <w:u w:val="single"/>
        </w:rPr>
        <w:t> </w:t>
      </w:r>
      <w:r>
        <w:rPr>
          <w:rFonts w:ascii="Cambria Math"/>
          <w:w w:val="105"/>
          <w:position w:val="3"/>
          <w:sz w:val="22"/>
          <w:u w:val="single"/>
        </w:rPr>
        <w:t>1 </w:t>
      </w:r>
      <w:r>
        <w:rPr>
          <w:rFonts w:ascii="Cambria Math"/>
          <w:spacing w:val="40"/>
          <w:w w:val="105"/>
          <w:position w:val="3"/>
          <w:sz w:val="22"/>
        </w:rPr>
        <w:t> </w:t>
      </w:r>
      <w:r>
        <w:rPr>
          <w:rFonts w:ascii="Cambria Math"/>
          <w:spacing w:val="-10"/>
          <w:w w:val="105"/>
          <w:sz w:val="22"/>
        </w:rPr>
        <w:t>(</w:t>
      </w:r>
      <w:r>
        <w:rPr>
          <w:rFonts w:ascii="Cambria Math"/>
          <w:sz w:val="22"/>
        </w:rPr>
        <w:tab/>
        <w:tab/>
      </w:r>
      <w:r>
        <w:rPr>
          <w:rFonts w:ascii="Cambria Math"/>
          <w:spacing w:val="-10"/>
          <w:w w:val="105"/>
          <w:sz w:val="22"/>
        </w:rPr>
        <w:t>)</w:t>
      </w:r>
    </w:p>
    <w:p>
      <w:pPr>
        <w:spacing w:line="137" w:lineRule="exact" w:before="0"/>
        <w:ind w:left="8714" w:right="0" w:firstLine="0"/>
        <w:jc w:val="left"/>
        <w:rPr>
          <w:rFonts w:ascii="Cambria Math"/>
          <w:sz w:val="22"/>
        </w:rPr>
      </w:pPr>
      <w:r>
        <w:rPr>
          <w:rFonts w:ascii="Cambria Math"/>
          <w:spacing w:val="-5"/>
          <w:sz w:val="22"/>
        </w:rPr>
        <w:t>20</w:t>
      </w:r>
    </w:p>
    <w:p>
      <w:pPr>
        <w:spacing w:after="0" w:line="137" w:lineRule="exact"/>
        <w:jc w:val="left"/>
        <w:rPr>
          <w:rFonts w:ascii="Cambria Math"/>
          <w:sz w:val="22"/>
        </w:rPr>
        <w:sectPr>
          <w:type w:val="continuous"/>
          <w:pgSz w:w="12240" w:h="15840"/>
          <w:pgMar w:header="0" w:footer="1068" w:top="1340" w:bottom="1260" w:left="1720" w:right="680"/>
        </w:sectPr>
      </w:pPr>
    </w:p>
    <w:p>
      <w:pPr>
        <w:spacing w:line="262" w:lineRule="exact" w:before="0"/>
        <w:ind w:left="375" w:right="0" w:firstLine="0"/>
        <w:jc w:val="left"/>
        <w:rPr>
          <w:rFonts w:ascii="Calibri"/>
          <w:b/>
          <w:sz w:val="22"/>
        </w:rPr>
      </w:pPr>
      <w:r>
        <w:rPr>
          <w:rFonts w:ascii="Calibri"/>
          <w:b/>
          <w:spacing w:val="-2"/>
          <w:sz w:val="22"/>
        </w:rPr>
        <w:t>Environment</w:t>
      </w:r>
    </w:p>
    <w:p>
      <w:pPr>
        <w:tabs>
          <w:tab w:pos="1553" w:val="left" w:leader="none"/>
          <w:tab w:pos="6407" w:val="left" w:leader="none"/>
        </w:tabs>
        <w:spacing w:line="168" w:lineRule="auto" w:before="0"/>
        <w:ind w:left="375" w:right="0" w:firstLine="0"/>
        <w:jc w:val="left"/>
        <w:rPr>
          <w:rFonts w:ascii="Cambria Math"/>
          <w:sz w:val="22"/>
        </w:rPr>
      </w:pPr>
      <w:r>
        <w:rPr/>
        <w:br w:type="column"/>
      </w:r>
      <w:r>
        <w:rPr>
          <w:rFonts w:ascii="Cambria Math"/>
          <w:spacing w:val="-5"/>
          <w:position w:val="-13"/>
          <w:sz w:val="22"/>
        </w:rPr>
        <w:t>(</w:t>
      </w:r>
      <w:r>
        <w:rPr>
          <w:rFonts w:ascii="Cambria Math"/>
          <w:spacing w:val="-5"/>
          <w:position w:val="3"/>
          <w:sz w:val="22"/>
        </w:rPr>
        <w:t>1</w:t>
      </w:r>
      <w:r>
        <w:rPr>
          <w:rFonts w:ascii="Cambria Math"/>
          <w:spacing w:val="-5"/>
          <w:position w:val="-13"/>
          <w:sz w:val="22"/>
        </w:rPr>
        <w:t>)</w:t>
      </w:r>
      <w:r>
        <w:rPr>
          <w:rFonts w:ascii="Cambria Math"/>
          <w:position w:val="-13"/>
          <w:sz w:val="22"/>
        </w:rPr>
        <w:tab/>
      </w:r>
      <w:r>
        <w:rPr>
          <w:rFonts w:ascii="Calibri"/>
          <w:sz w:val="22"/>
        </w:rPr>
        <w:t>Sanitation</w:t>
      </w:r>
      <w:r>
        <w:rPr>
          <w:rFonts w:ascii="Calibri"/>
          <w:spacing w:val="-8"/>
          <w:sz w:val="22"/>
        </w:rPr>
        <w:t> </w:t>
      </w:r>
      <w:r>
        <w:rPr>
          <w:rFonts w:ascii="Calibri"/>
          <w:spacing w:val="-2"/>
          <w:sz w:val="22"/>
        </w:rPr>
        <w:t>(ENV1)</w:t>
      </w:r>
      <w:r>
        <w:rPr>
          <w:rFonts w:ascii="Calibri"/>
          <w:sz w:val="22"/>
        </w:rPr>
        <w:tab/>
      </w:r>
      <w:r>
        <w:rPr>
          <w:rFonts w:ascii="Cambria Math"/>
          <w:spacing w:val="-5"/>
          <w:position w:val="-13"/>
          <w:sz w:val="22"/>
        </w:rPr>
        <w:t>(</w:t>
      </w:r>
      <w:r>
        <w:rPr>
          <w:rFonts w:ascii="Cambria Math"/>
          <w:spacing w:val="-5"/>
          <w:position w:val="3"/>
          <w:sz w:val="22"/>
        </w:rPr>
        <w:t>1</w:t>
      </w:r>
      <w:r>
        <w:rPr>
          <w:rFonts w:ascii="Cambria Math"/>
          <w:spacing w:val="-5"/>
          <w:position w:val="-13"/>
          <w:sz w:val="22"/>
        </w:rPr>
        <w:t>)</w:t>
      </w:r>
    </w:p>
    <w:p>
      <w:pPr>
        <w:tabs>
          <w:tab w:pos="6518" w:val="left" w:leader="none"/>
        </w:tabs>
        <w:spacing w:line="202" w:lineRule="exact" w:before="0"/>
        <w:ind w:left="486" w:right="0" w:firstLine="0"/>
        <w:jc w:val="left"/>
        <w:rPr>
          <w:rFonts w:ascii="Cambria Math"/>
          <w:sz w:val="22"/>
        </w:rPr>
      </w:pPr>
      <w:r>
        <w:rPr/>
        <mc:AlternateContent>
          <mc:Choice Requires="wps">
            <w:drawing>
              <wp:anchor distT="0" distB="0" distL="0" distR="0" allowOverlap="1" layoutInCell="1" locked="0" behindDoc="1" simplePos="0" relativeHeight="482493440">
                <wp:simplePos x="0" y="0"/>
                <wp:positionH relativeFrom="page">
                  <wp:posOffset>2835275</wp:posOffset>
                </wp:positionH>
                <wp:positionV relativeFrom="paragraph">
                  <wp:posOffset>-48922</wp:posOffset>
                </wp:positionV>
                <wp:extent cx="78105" cy="95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25pt;margin-top:-3.852174pt;width:6.12pt;height:.72pt;mso-position-horizontal-relative:page;mso-position-vertical-relative:paragraph;z-index:-20823040" id="docshape6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93952">
                <wp:simplePos x="0" y="0"/>
                <wp:positionH relativeFrom="page">
                  <wp:posOffset>6665721</wp:posOffset>
                </wp:positionH>
                <wp:positionV relativeFrom="paragraph">
                  <wp:posOffset>-48922</wp:posOffset>
                </wp:positionV>
                <wp:extent cx="78105" cy="95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4.859985pt;margin-top:-3.852174pt;width:6.12pt;height:.72pt;mso-position-horizontal-relative:page;mso-position-vertical-relative:paragraph;z-index:-20822528" id="docshape64" filled="true" fillcolor="#000000" stroked="false">
                <v:fill type="solid"/>
                <w10:wrap type="none"/>
              </v:rect>
            </w:pict>
          </mc:Fallback>
        </mc:AlternateContent>
      </w:r>
      <w:r>
        <w:rPr>
          <w:rFonts w:ascii="Cambria Math"/>
          <w:spacing w:val="-10"/>
          <w:sz w:val="22"/>
        </w:rPr>
        <w:t>5</w:t>
      </w:r>
      <w:r>
        <w:rPr>
          <w:rFonts w:ascii="Cambria Math"/>
          <w:sz w:val="22"/>
        </w:rPr>
        <w:tab/>
      </w:r>
      <w:r>
        <w:rPr>
          <w:rFonts w:ascii="Cambria Math"/>
          <w:spacing w:val="-10"/>
          <w:sz w:val="22"/>
        </w:rPr>
        <w:t>5</w:t>
      </w:r>
    </w:p>
    <w:p>
      <w:pPr>
        <w:spacing w:after="0" w:line="202" w:lineRule="exact"/>
        <w:jc w:val="left"/>
        <w:rPr>
          <w:rFonts w:ascii="Cambria Math"/>
          <w:sz w:val="22"/>
        </w:rPr>
        <w:sectPr>
          <w:type w:val="continuous"/>
          <w:pgSz w:w="12240" w:h="15840"/>
          <w:pgMar w:header="0" w:footer="1068" w:top="1340" w:bottom="1260" w:left="1720" w:right="680"/>
          <w:cols w:num="2" w:equalWidth="0">
            <w:col w:w="1599" w:space="660"/>
            <w:col w:w="7581"/>
          </w:cols>
        </w:sectPr>
      </w:pPr>
    </w:p>
    <w:p>
      <w:pPr>
        <w:pStyle w:val="BodyText"/>
        <w:spacing w:before="38"/>
        <w:rPr>
          <w:rFonts w:ascii="Cambria Math"/>
          <w:sz w:val="22"/>
        </w:rPr>
      </w:pPr>
    </w:p>
    <w:p>
      <w:pPr>
        <w:tabs>
          <w:tab w:pos="2368" w:val="left" w:leader="none"/>
          <w:tab w:pos="7288" w:val="left" w:leader="none"/>
        </w:tabs>
        <w:spacing w:before="0"/>
        <w:ind w:left="375" w:right="0" w:firstLine="0"/>
        <w:jc w:val="left"/>
        <w:rPr>
          <w:rFonts w:ascii="Calibri"/>
          <w:b/>
          <w:sz w:val="22"/>
        </w:rPr>
      </w:pPr>
      <w:r>
        <w:rPr>
          <w:rFonts w:ascii="Calibri"/>
          <w:b/>
          <w:sz w:val="22"/>
        </w:rPr>
        <w:t>Total</w:t>
      </w:r>
      <w:r>
        <w:rPr>
          <w:rFonts w:ascii="Calibri"/>
          <w:b/>
          <w:spacing w:val="-6"/>
          <w:sz w:val="22"/>
        </w:rPr>
        <w:t> </w:t>
      </w:r>
      <w:r>
        <w:rPr>
          <w:rFonts w:ascii="Calibri"/>
          <w:b/>
          <w:sz w:val="22"/>
        </w:rPr>
        <w:t>weight</w:t>
      </w:r>
      <w:r>
        <w:rPr>
          <w:rFonts w:ascii="Calibri"/>
          <w:b/>
          <w:spacing w:val="-2"/>
          <w:sz w:val="22"/>
        </w:rPr>
        <w:t> </w:t>
      </w:r>
      <w:r>
        <w:rPr>
          <w:rFonts w:ascii="Calibri"/>
          <w:b/>
          <w:spacing w:val="-5"/>
          <w:sz w:val="22"/>
        </w:rPr>
        <w:t>(w)</w:t>
      </w:r>
      <w:r>
        <w:rPr>
          <w:rFonts w:ascii="Calibri"/>
          <w:b/>
          <w:sz w:val="22"/>
        </w:rPr>
        <w:tab/>
      </w:r>
      <w:r>
        <w:rPr>
          <w:rFonts w:ascii="Calibri"/>
          <w:b/>
          <w:spacing w:val="-4"/>
          <w:sz w:val="22"/>
        </w:rPr>
        <w:t>1.00</w:t>
      </w:r>
      <w:r>
        <w:rPr>
          <w:rFonts w:ascii="Calibri"/>
          <w:b/>
          <w:sz w:val="22"/>
        </w:rPr>
        <w:tab/>
      </w:r>
      <w:r>
        <w:rPr>
          <w:rFonts w:ascii="Calibri"/>
          <w:b/>
          <w:spacing w:val="-4"/>
          <w:sz w:val="22"/>
        </w:rPr>
        <w:t>1.00</w:t>
      </w:r>
    </w:p>
    <w:p>
      <w:pPr>
        <w:pStyle w:val="BodyText"/>
        <w:spacing w:before="4"/>
        <w:rPr>
          <w:rFonts w:ascii="Calibri"/>
          <w:b/>
          <w:sz w:val="20"/>
        </w:rPr>
      </w:pPr>
      <w:r>
        <w:rPr/>
        <mc:AlternateContent>
          <mc:Choice Requires="wps">
            <w:drawing>
              <wp:anchor distT="0" distB="0" distL="0" distR="0" allowOverlap="1" layoutInCell="1" locked="0" behindDoc="1" simplePos="0" relativeHeight="487596544">
                <wp:simplePos x="0" y="0"/>
                <wp:positionH relativeFrom="page">
                  <wp:posOffset>1253032</wp:posOffset>
                </wp:positionH>
                <wp:positionV relativeFrom="paragraph">
                  <wp:posOffset>173113</wp:posOffset>
                </wp:positionV>
                <wp:extent cx="6022340" cy="1270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6022340" cy="12700"/>
                        </a:xfrm>
                        <a:custGeom>
                          <a:avLst/>
                          <a:gdLst/>
                          <a:ahLst/>
                          <a:cxnLst/>
                          <a:rect l="l" t="t" r="r" b="b"/>
                          <a:pathLst>
                            <a:path w="6022340" h="12700">
                              <a:moveTo>
                                <a:pt x="6022213" y="0"/>
                              </a:moveTo>
                              <a:lnTo>
                                <a:pt x="0" y="0"/>
                              </a:lnTo>
                              <a:lnTo>
                                <a:pt x="0" y="12191"/>
                              </a:lnTo>
                              <a:lnTo>
                                <a:pt x="6022213" y="12191"/>
                              </a:lnTo>
                              <a:lnTo>
                                <a:pt x="6022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3.630953pt;width:474.19pt;height:.95999pt;mso-position-horizontal-relative:page;mso-position-vertical-relative:paragraph;z-index:-15719936;mso-wrap-distance-left:0;mso-wrap-distance-right:0" id="docshape65" filled="true" fillcolor="#000000" stroked="false">
                <v:fill type="solid"/>
                <w10:wrap type="topAndBottom"/>
              </v:rect>
            </w:pict>
          </mc:Fallback>
        </mc:AlternateContent>
      </w:r>
    </w:p>
    <w:p>
      <w:pPr>
        <w:pStyle w:val="BodyText"/>
        <w:ind w:left="267"/>
        <w:jc w:val="both"/>
      </w:pPr>
      <w:r>
        <w:rPr/>
        <w:t>Source:</w:t>
      </w:r>
      <w:r>
        <w:rPr>
          <w:spacing w:val="-3"/>
        </w:rPr>
        <w:t> </w:t>
      </w:r>
      <w:r>
        <w:rPr/>
        <w:t>Author’s</w:t>
      </w:r>
      <w:r>
        <w:rPr>
          <w:spacing w:val="-1"/>
        </w:rPr>
        <w:t> </w:t>
      </w:r>
      <w:r>
        <w:rPr/>
        <w:t>Input,</w:t>
      </w:r>
      <w:r>
        <w:rPr>
          <w:spacing w:val="-2"/>
        </w:rPr>
        <w:t> (2019)</w:t>
      </w:r>
    </w:p>
    <w:p>
      <w:pPr>
        <w:pStyle w:val="BodyText"/>
        <w:spacing w:before="267"/>
      </w:pPr>
    </w:p>
    <w:p>
      <w:pPr>
        <w:pStyle w:val="BodyText"/>
        <w:spacing w:line="480" w:lineRule="auto" w:before="1"/>
        <w:ind w:left="267" w:right="728"/>
        <w:jc w:val="both"/>
      </w:pPr>
      <w:r>
        <w:rPr/>
        <w:t>Aside its preference, simplicity, and its appealing nature to the non-technical audience (Sullivan</w:t>
      </w:r>
      <w:r>
        <w:rPr>
          <w:spacing w:val="-15"/>
        </w:rPr>
        <w:t> </w:t>
      </w:r>
      <w:r>
        <w:rPr>
          <w:i/>
        </w:rPr>
        <w:t>et</w:t>
      </w:r>
      <w:r>
        <w:rPr>
          <w:i/>
          <w:spacing w:val="-15"/>
        </w:rPr>
        <w:t> </w:t>
      </w:r>
      <w:r>
        <w:rPr>
          <w:i/>
        </w:rPr>
        <w:t>al.</w:t>
      </w:r>
      <w:r>
        <w:rPr/>
        <w:t>,</w:t>
      </w:r>
      <w:r>
        <w:rPr>
          <w:spacing w:val="-15"/>
        </w:rPr>
        <w:t> </w:t>
      </w:r>
      <w:r>
        <w:rPr/>
        <w:t>2003;</w:t>
      </w:r>
      <w:r>
        <w:rPr>
          <w:spacing w:val="-15"/>
        </w:rPr>
        <w:t> </w:t>
      </w:r>
      <w:r>
        <w:rPr/>
        <w:t>Sullivan</w:t>
      </w:r>
      <w:r>
        <w:rPr>
          <w:spacing w:val="-15"/>
        </w:rPr>
        <w:t> </w:t>
      </w:r>
      <w:r>
        <w:rPr/>
        <w:t>and</w:t>
      </w:r>
      <w:r>
        <w:rPr>
          <w:spacing w:val="-15"/>
        </w:rPr>
        <w:t> </w:t>
      </w:r>
      <w:r>
        <w:rPr/>
        <w:t>Meigh,</w:t>
      </w:r>
      <w:r>
        <w:rPr>
          <w:spacing w:val="-15"/>
        </w:rPr>
        <w:t> </w:t>
      </w:r>
      <w:r>
        <w:rPr/>
        <w:t>2007;</w:t>
      </w:r>
      <w:r>
        <w:rPr>
          <w:spacing w:val="-15"/>
        </w:rPr>
        <w:t> </w:t>
      </w:r>
      <w:r>
        <w:rPr/>
        <w:t>Korc</w:t>
      </w:r>
      <w:r>
        <w:rPr>
          <w:spacing w:val="-15"/>
        </w:rPr>
        <w:t> </w:t>
      </w:r>
      <w:r>
        <w:rPr/>
        <w:t>and</w:t>
      </w:r>
      <w:r>
        <w:rPr>
          <w:spacing w:val="-15"/>
        </w:rPr>
        <w:t> </w:t>
      </w:r>
      <w:r>
        <w:rPr/>
        <w:t>Ford,</w:t>
      </w:r>
      <w:r>
        <w:rPr>
          <w:spacing w:val="-15"/>
        </w:rPr>
        <w:t> </w:t>
      </w:r>
      <w:r>
        <w:rPr/>
        <w:t>2013),</w:t>
      </w:r>
      <w:r>
        <w:rPr>
          <w:spacing w:val="-15"/>
        </w:rPr>
        <w:t> </w:t>
      </w:r>
      <w:r>
        <w:rPr/>
        <w:t>a</w:t>
      </w:r>
      <w:r>
        <w:rPr>
          <w:spacing w:val="-15"/>
        </w:rPr>
        <w:t> </w:t>
      </w:r>
      <w:r>
        <w:rPr/>
        <w:t>tenable</w:t>
      </w:r>
      <w:r>
        <w:rPr>
          <w:spacing w:val="-15"/>
        </w:rPr>
        <w:t> </w:t>
      </w:r>
      <w:r>
        <w:rPr/>
        <w:t>justification for this choice weighting is the absence of an objective weighting approach to assess the relative</w:t>
      </w:r>
      <w:r>
        <w:rPr>
          <w:spacing w:val="-15"/>
        </w:rPr>
        <w:t> </w:t>
      </w:r>
      <w:r>
        <w:rPr/>
        <w:t>importance</w:t>
      </w:r>
      <w:r>
        <w:rPr>
          <w:spacing w:val="-14"/>
        </w:rPr>
        <w:t> </w:t>
      </w:r>
      <w:r>
        <w:rPr/>
        <w:t>of</w:t>
      </w:r>
      <w:r>
        <w:rPr>
          <w:spacing w:val="-14"/>
        </w:rPr>
        <w:t> </w:t>
      </w:r>
      <w:r>
        <w:rPr/>
        <w:t>the</w:t>
      </w:r>
      <w:r>
        <w:rPr>
          <w:spacing w:val="-11"/>
        </w:rPr>
        <w:t> </w:t>
      </w:r>
      <w:r>
        <w:rPr/>
        <w:t>different</w:t>
      </w:r>
      <w:r>
        <w:rPr>
          <w:spacing w:val="-10"/>
        </w:rPr>
        <w:t> </w:t>
      </w:r>
      <w:r>
        <w:rPr/>
        <w:t>aspects</w:t>
      </w:r>
      <w:r>
        <w:rPr>
          <w:spacing w:val="-12"/>
        </w:rPr>
        <w:t> </w:t>
      </w:r>
      <w:r>
        <w:rPr/>
        <w:t>(components)</w:t>
      </w:r>
      <w:r>
        <w:rPr>
          <w:spacing w:val="-13"/>
        </w:rPr>
        <w:t> </w:t>
      </w:r>
      <w:r>
        <w:rPr/>
        <w:t>included</w:t>
      </w:r>
      <w:r>
        <w:rPr>
          <w:spacing w:val="-13"/>
        </w:rPr>
        <w:t> </w:t>
      </w:r>
      <w:r>
        <w:rPr/>
        <w:t>in</w:t>
      </w:r>
      <w:r>
        <w:rPr>
          <w:spacing w:val="-13"/>
        </w:rPr>
        <w:t> </w:t>
      </w:r>
      <w:r>
        <w:rPr/>
        <w:t>the</w:t>
      </w:r>
      <w:r>
        <w:rPr>
          <w:spacing w:val="-14"/>
        </w:rPr>
        <w:t> </w:t>
      </w:r>
      <w:r>
        <w:rPr/>
        <w:t>water</w:t>
      </w:r>
      <w:r>
        <w:rPr>
          <w:spacing w:val="-14"/>
        </w:rPr>
        <w:t> </w:t>
      </w:r>
      <w:r>
        <w:rPr/>
        <w:t>poverty</w:t>
      </w:r>
      <w:r>
        <w:rPr>
          <w:spacing w:val="-15"/>
        </w:rPr>
        <w:t> </w:t>
      </w:r>
      <w:r>
        <w:rPr/>
        <w:t>index structure (Garriga and Foguet, 2010). Furthermore, empirical findings have revealed that after experimenting with a variety of weighting systems, the resulting indices is fairly well correlated with the equal weight approach (Booysen, 2002).</w:t>
      </w:r>
    </w:p>
    <w:p>
      <w:pPr>
        <w:pStyle w:val="BodyText"/>
        <w:spacing w:line="480" w:lineRule="auto"/>
        <w:ind w:left="267" w:right="737"/>
        <w:jc w:val="both"/>
      </w:pPr>
      <w:r>
        <w:rPr/>
        <w:t>However, the choice of equal average weighting is inadequately explained and has been ardently criticized</w:t>
      </w:r>
      <w:r>
        <w:rPr>
          <w:spacing w:val="6"/>
        </w:rPr>
        <w:t> </w:t>
      </w:r>
      <w:r>
        <w:rPr/>
        <w:t>by</w:t>
      </w:r>
      <w:r>
        <w:rPr>
          <w:spacing w:val="-1"/>
        </w:rPr>
        <w:t> </w:t>
      </w:r>
      <w:r>
        <w:rPr/>
        <w:t>Molle</w:t>
      </w:r>
      <w:r>
        <w:rPr>
          <w:spacing w:val="6"/>
        </w:rPr>
        <w:t> </w:t>
      </w:r>
      <w:r>
        <w:rPr/>
        <w:t>and</w:t>
      </w:r>
      <w:r>
        <w:rPr>
          <w:spacing w:val="6"/>
        </w:rPr>
        <w:t> </w:t>
      </w:r>
      <w:r>
        <w:rPr/>
        <w:t>Mollinga</w:t>
      </w:r>
      <w:r>
        <w:rPr>
          <w:spacing w:val="6"/>
        </w:rPr>
        <w:t> </w:t>
      </w:r>
      <w:r>
        <w:rPr/>
        <w:t>(2003)</w:t>
      </w:r>
      <w:r>
        <w:rPr>
          <w:spacing w:val="9"/>
        </w:rPr>
        <w:t> </w:t>
      </w:r>
      <w:r>
        <w:rPr/>
        <w:t>as</w:t>
      </w:r>
      <w:r>
        <w:rPr>
          <w:spacing w:val="7"/>
        </w:rPr>
        <w:t> </w:t>
      </w:r>
      <w:r>
        <w:rPr/>
        <w:t>arbitrary</w:t>
      </w:r>
      <w:r>
        <w:rPr>
          <w:spacing w:val="2"/>
        </w:rPr>
        <w:t> </w:t>
      </w:r>
      <w:r>
        <w:rPr/>
        <w:t>weights</w:t>
      </w:r>
      <w:r>
        <w:rPr>
          <w:spacing w:val="7"/>
        </w:rPr>
        <w:t> </w:t>
      </w:r>
      <w:r>
        <w:rPr/>
        <w:t>assigned</w:t>
      </w:r>
      <w:r>
        <w:rPr>
          <w:spacing w:val="6"/>
        </w:rPr>
        <w:t> </w:t>
      </w:r>
      <w:r>
        <w:rPr/>
        <w:t>to</w:t>
      </w:r>
      <w:r>
        <w:rPr>
          <w:spacing w:val="8"/>
        </w:rPr>
        <w:t> </w:t>
      </w:r>
      <w:r>
        <w:rPr>
          <w:spacing w:val="-2"/>
        </w:rPr>
        <w:t>unrelated</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right="730"/>
        <w:jc w:val="both"/>
      </w:pPr>
      <w:r>
        <w:rPr/>
        <w:t>and correlated components of the water poverty index. Similarly, Feitelson and Chenoweth (2002) argued that the technique is not adequately justified as the weights assigned to the components</w:t>
      </w:r>
      <w:r>
        <w:rPr>
          <w:spacing w:val="-8"/>
        </w:rPr>
        <w:t> </w:t>
      </w:r>
      <w:r>
        <w:rPr/>
        <w:t>of</w:t>
      </w:r>
      <w:r>
        <w:rPr>
          <w:spacing w:val="-9"/>
        </w:rPr>
        <w:t> </w:t>
      </w:r>
      <w:r>
        <w:rPr/>
        <w:t>the</w:t>
      </w:r>
      <w:r>
        <w:rPr>
          <w:spacing w:val="-9"/>
        </w:rPr>
        <w:t> </w:t>
      </w:r>
      <w:r>
        <w:rPr/>
        <w:t>water</w:t>
      </w:r>
      <w:r>
        <w:rPr>
          <w:spacing w:val="-9"/>
        </w:rPr>
        <w:t> </w:t>
      </w:r>
      <w:r>
        <w:rPr/>
        <w:t>poverty</w:t>
      </w:r>
      <w:r>
        <w:rPr>
          <w:spacing w:val="-13"/>
        </w:rPr>
        <w:t> </w:t>
      </w:r>
      <w:r>
        <w:rPr/>
        <w:t>index</w:t>
      </w:r>
      <w:r>
        <w:rPr>
          <w:spacing w:val="-6"/>
        </w:rPr>
        <w:t> </w:t>
      </w:r>
      <w:r>
        <w:rPr/>
        <w:t>are</w:t>
      </w:r>
      <w:r>
        <w:rPr>
          <w:spacing w:val="-10"/>
        </w:rPr>
        <w:t> </w:t>
      </w:r>
      <w:r>
        <w:rPr/>
        <w:t>subject</w:t>
      </w:r>
      <w:r>
        <w:rPr>
          <w:spacing w:val="-6"/>
        </w:rPr>
        <w:t> </w:t>
      </w:r>
      <w:r>
        <w:rPr/>
        <w:t>to</w:t>
      </w:r>
      <w:r>
        <w:rPr>
          <w:spacing w:val="-8"/>
        </w:rPr>
        <w:t> </w:t>
      </w:r>
      <w:r>
        <w:rPr/>
        <w:t>individual</w:t>
      </w:r>
      <w:r>
        <w:rPr>
          <w:spacing w:val="-8"/>
        </w:rPr>
        <w:t> </w:t>
      </w:r>
      <w:r>
        <w:rPr/>
        <w:t>judgments.</w:t>
      </w:r>
      <w:r>
        <w:rPr>
          <w:spacing w:val="-8"/>
        </w:rPr>
        <w:t> </w:t>
      </w:r>
      <w:r>
        <w:rPr/>
        <w:t>It</w:t>
      </w:r>
      <w:r>
        <w:rPr>
          <w:spacing w:val="-8"/>
        </w:rPr>
        <w:t> </w:t>
      </w:r>
      <w:r>
        <w:rPr/>
        <w:t>is</w:t>
      </w:r>
      <w:r>
        <w:rPr>
          <w:spacing w:val="-8"/>
        </w:rPr>
        <w:t> </w:t>
      </w:r>
      <w:r>
        <w:rPr/>
        <w:t>on</w:t>
      </w:r>
      <w:r>
        <w:rPr>
          <w:spacing w:val="-8"/>
        </w:rPr>
        <w:t> </w:t>
      </w:r>
      <w:r>
        <w:rPr/>
        <w:t>this</w:t>
      </w:r>
      <w:r>
        <w:rPr>
          <w:spacing w:val="-8"/>
        </w:rPr>
        <w:t> </w:t>
      </w:r>
      <w:r>
        <w:rPr/>
        <w:t>basis that Heidecke (2006) highlighted the importance of transparent display of the determined weights so as to avoid misinterpretations of the final index value</w:t>
      </w:r>
    </w:p>
    <w:p>
      <w:pPr>
        <w:pStyle w:val="Heading1"/>
        <w:numPr>
          <w:ilvl w:val="3"/>
          <w:numId w:val="6"/>
        </w:numPr>
        <w:tabs>
          <w:tab w:pos="1106" w:val="left" w:leader="none"/>
        </w:tabs>
        <w:spacing w:line="240" w:lineRule="auto" w:before="8" w:after="0"/>
        <w:ind w:left="1106" w:right="0" w:hanging="839"/>
        <w:jc w:val="both"/>
      </w:pPr>
      <w:r>
        <w:rPr/>
        <w:t>Statistical/multivariate</w:t>
      </w:r>
      <w:r>
        <w:rPr>
          <w:spacing w:val="-6"/>
        </w:rPr>
        <w:t> </w:t>
      </w:r>
      <w:r>
        <w:rPr>
          <w:spacing w:val="-2"/>
        </w:rPr>
        <w:t>approach</w:t>
      </w:r>
    </w:p>
    <w:p>
      <w:pPr>
        <w:pStyle w:val="BodyText"/>
        <w:spacing w:before="14"/>
        <w:rPr>
          <w:b/>
        </w:rPr>
      </w:pPr>
    </w:p>
    <w:p>
      <w:pPr>
        <w:pStyle w:val="BodyText"/>
        <w:spacing w:line="480" w:lineRule="auto"/>
        <w:ind w:left="267" w:right="727"/>
        <w:jc w:val="both"/>
      </w:pPr>
      <w:r>
        <w:rPr/>
        <w:t>Aside</w:t>
      </w:r>
      <w:r>
        <w:rPr>
          <w:spacing w:val="-15"/>
        </w:rPr>
        <w:t> </w:t>
      </w:r>
      <w:r>
        <w:rPr/>
        <w:t>the</w:t>
      </w:r>
      <w:r>
        <w:rPr>
          <w:spacing w:val="-15"/>
        </w:rPr>
        <w:t> </w:t>
      </w:r>
      <w:r>
        <w:rPr/>
        <w:t>equal</w:t>
      </w:r>
      <w:r>
        <w:rPr>
          <w:spacing w:val="-14"/>
        </w:rPr>
        <w:t> </w:t>
      </w:r>
      <w:r>
        <w:rPr/>
        <w:t>weighting</w:t>
      </w:r>
      <w:r>
        <w:rPr>
          <w:spacing w:val="-15"/>
        </w:rPr>
        <w:t> </w:t>
      </w:r>
      <w:r>
        <w:rPr/>
        <w:t>technique,</w:t>
      </w:r>
      <w:r>
        <w:rPr>
          <w:spacing w:val="-15"/>
        </w:rPr>
        <w:t> </w:t>
      </w:r>
      <w:r>
        <w:rPr/>
        <w:t>weights</w:t>
      </w:r>
      <w:r>
        <w:rPr>
          <w:spacing w:val="-13"/>
        </w:rPr>
        <w:t> </w:t>
      </w:r>
      <w:r>
        <w:rPr/>
        <w:t>can</w:t>
      </w:r>
      <w:r>
        <w:rPr>
          <w:spacing w:val="-12"/>
        </w:rPr>
        <w:t> </w:t>
      </w:r>
      <w:r>
        <w:rPr/>
        <w:t>also</w:t>
      </w:r>
      <w:r>
        <w:rPr>
          <w:spacing w:val="-13"/>
        </w:rPr>
        <w:t> </w:t>
      </w:r>
      <w:r>
        <w:rPr/>
        <w:t>be</w:t>
      </w:r>
      <w:r>
        <w:rPr>
          <w:spacing w:val="-15"/>
        </w:rPr>
        <w:t> </w:t>
      </w:r>
      <w:r>
        <w:rPr/>
        <w:t>determined</w:t>
      </w:r>
      <w:r>
        <w:rPr>
          <w:spacing w:val="-14"/>
        </w:rPr>
        <w:t> </w:t>
      </w:r>
      <w:r>
        <w:rPr/>
        <w:t>statistically.</w:t>
      </w:r>
      <w:r>
        <w:rPr>
          <w:spacing w:val="-14"/>
        </w:rPr>
        <w:t> </w:t>
      </w:r>
      <w:r>
        <w:rPr/>
        <w:t>The</w:t>
      </w:r>
      <w:r>
        <w:rPr>
          <w:spacing w:val="-15"/>
        </w:rPr>
        <w:t> </w:t>
      </w:r>
      <w:r>
        <w:rPr/>
        <w:t>choice of statistical approach is premised on the inherent drawbacks of equal weighting: assigning arbitrary weights to unrelated yet correlated components (see, Molle and Mollinga, 2003); subjective individual judgments on weight (Feitelson and Chenoweth, 2002) and the consequent misinterpretation of the water poverty index (Heidecke, 2006). To circumspect these shortcomings, multivariate analysis such as the principal component analysis (PCA) can</w:t>
      </w:r>
      <w:r>
        <w:rPr>
          <w:spacing w:val="-10"/>
        </w:rPr>
        <w:t> </w:t>
      </w:r>
      <w:r>
        <w:rPr/>
        <w:t>be</w:t>
      </w:r>
      <w:r>
        <w:rPr>
          <w:spacing w:val="-11"/>
        </w:rPr>
        <w:t> </w:t>
      </w:r>
      <w:r>
        <w:rPr/>
        <w:t>employed</w:t>
      </w:r>
      <w:r>
        <w:rPr>
          <w:spacing w:val="-8"/>
        </w:rPr>
        <w:t> </w:t>
      </w:r>
      <w:r>
        <w:rPr/>
        <w:t>to</w:t>
      </w:r>
      <w:r>
        <w:rPr>
          <w:spacing w:val="-9"/>
        </w:rPr>
        <w:t> </w:t>
      </w:r>
      <w:r>
        <w:rPr/>
        <w:t>objectively</w:t>
      </w:r>
      <w:r>
        <w:rPr>
          <w:spacing w:val="-14"/>
        </w:rPr>
        <w:t> </w:t>
      </w:r>
      <w:r>
        <w:rPr/>
        <w:t>derive</w:t>
      </w:r>
      <w:r>
        <w:rPr>
          <w:spacing w:val="-11"/>
        </w:rPr>
        <w:t> </w:t>
      </w:r>
      <w:r>
        <w:rPr/>
        <w:t>the</w:t>
      </w:r>
      <w:r>
        <w:rPr>
          <w:spacing w:val="-11"/>
        </w:rPr>
        <w:t> </w:t>
      </w:r>
      <w:r>
        <w:rPr/>
        <w:t>optimal</w:t>
      </w:r>
      <w:r>
        <w:rPr>
          <w:spacing w:val="-3"/>
        </w:rPr>
        <w:t> </w:t>
      </w:r>
      <w:r>
        <w:rPr/>
        <w:t>statistical</w:t>
      </w:r>
      <w:r>
        <w:rPr>
          <w:spacing w:val="-9"/>
        </w:rPr>
        <w:t> </w:t>
      </w:r>
      <w:r>
        <w:rPr/>
        <w:t>weights</w:t>
      </w:r>
      <w:r>
        <w:rPr>
          <w:spacing w:val="-7"/>
        </w:rPr>
        <w:t> </w:t>
      </w:r>
      <w:r>
        <w:rPr/>
        <w:t>for</w:t>
      </w:r>
      <w:r>
        <w:rPr>
          <w:spacing w:val="-9"/>
        </w:rPr>
        <w:t> </w:t>
      </w:r>
      <w:r>
        <w:rPr/>
        <w:t>the</w:t>
      </w:r>
      <w:r>
        <w:rPr>
          <w:spacing w:val="-8"/>
        </w:rPr>
        <w:t> </w:t>
      </w:r>
      <w:r>
        <w:rPr/>
        <w:t>five</w:t>
      </w:r>
      <w:r>
        <w:rPr>
          <w:spacing w:val="-11"/>
        </w:rPr>
        <w:t> </w:t>
      </w:r>
      <w:r>
        <w:rPr/>
        <w:t>components of the water poverty index. Apart from its reliability in resolving the problem of multi- collinearity and double counting during weight assignment (Bair </w:t>
      </w:r>
      <w:r>
        <w:rPr>
          <w:i/>
        </w:rPr>
        <w:t>et al.</w:t>
      </w:r>
      <w:r>
        <w:rPr/>
        <w:t>, 2006), the study by Cho</w:t>
      </w:r>
      <w:r>
        <w:rPr>
          <w:spacing w:val="-3"/>
        </w:rPr>
        <w:t> </w:t>
      </w:r>
      <w:r>
        <w:rPr/>
        <w:t>and</w:t>
      </w:r>
      <w:r>
        <w:rPr>
          <w:spacing w:val="-3"/>
        </w:rPr>
        <w:t> </w:t>
      </w:r>
      <w:r>
        <w:rPr/>
        <w:t>Ogwang</w:t>
      </w:r>
      <w:r>
        <w:rPr>
          <w:spacing w:val="-6"/>
        </w:rPr>
        <w:t> </w:t>
      </w:r>
      <w:r>
        <w:rPr/>
        <w:t>(2006)</w:t>
      </w:r>
      <w:r>
        <w:rPr>
          <w:spacing w:val="-2"/>
        </w:rPr>
        <w:t> </w:t>
      </w:r>
      <w:r>
        <w:rPr/>
        <w:t>also</w:t>
      </w:r>
      <w:r>
        <w:rPr>
          <w:spacing w:val="-3"/>
        </w:rPr>
        <w:t> </w:t>
      </w:r>
      <w:r>
        <w:rPr/>
        <w:t>noted</w:t>
      </w:r>
      <w:r>
        <w:rPr>
          <w:spacing w:val="-3"/>
        </w:rPr>
        <w:t> </w:t>
      </w:r>
      <w:r>
        <w:rPr/>
        <w:t>that</w:t>
      </w:r>
      <w:r>
        <w:rPr>
          <w:spacing w:val="-3"/>
        </w:rPr>
        <w:t> </w:t>
      </w:r>
      <w:r>
        <w:rPr/>
        <w:t>this</w:t>
      </w:r>
      <w:r>
        <w:rPr>
          <w:spacing w:val="-3"/>
        </w:rPr>
        <w:t> </w:t>
      </w:r>
      <w:r>
        <w:rPr/>
        <w:t>technique</w:t>
      </w:r>
      <w:r>
        <w:rPr>
          <w:spacing w:val="-4"/>
        </w:rPr>
        <w:t> </w:t>
      </w:r>
      <w:r>
        <w:rPr/>
        <w:t>has</w:t>
      </w:r>
      <w:r>
        <w:rPr>
          <w:spacing w:val="-3"/>
        </w:rPr>
        <w:t> </w:t>
      </w:r>
      <w:r>
        <w:rPr/>
        <w:t>the</w:t>
      </w:r>
      <w:r>
        <w:rPr>
          <w:spacing w:val="-3"/>
        </w:rPr>
        <w:t> </w:t>
      </w:r>
      <w:r>
        <w:rPr/>
        <w:t>capacity</w:t>
      </w:r>
      <w:r>
        <w:rPr>
          <w:spacing w:val="-11"/>
        </w:rPr>
        <w:t> </w:t>
      </w:r>
      <w:r>
        <w:rPr/>
        <w:t>to</w:t>
      </w:r>
      <w:r>
        <w:rPr>
          <w:spacing w:val="-3"/>
        </w:rPr>
        <w:t> </w:t>
      </w:r>
      <w:r>
        <w:rPr/>
        <w:t>solve</w:t>
      </w:r>
      <w:r>
        <w:rPr>
          <w:spacing w:val="-3"/>
        </w:rPr>
        <w:t> </w:t>
      </w:r>
      <w:r>
        <w:rPr/>
        <w:t>the</w:t>
      </w:r>
      <w:r>
        <w:rPr>
          <w:spacing w:val="-4"/>
        </w:rPr>
        <w:t> </w:t>
      </w:r>
      <w:r>
        <w:rPr/>
        <w:t>problem of arbitrary choice of weighting on an analytical basis.</w:t>
      </w:r>
    </w:p>
    <w:p>
      <w:pPr>
        <w:pStyle w:val="BodyText"/>
        <w:spacing w:before="1"/>
      </w:pPr>
    </w:p>
    <w:p>
      <w:pPr>
        <w:pStyle w:val="BodyText"/>
        <w:spacing w:line="480" w:lineRule="auto" w:before="1"/>
        <w:ind w:left="267" w:right="729"/>
        <w:jc w:val="both"/>
      </w:pPr>
      <w:r>
        <w:rPr/>
        <w:t>The PCA employs an orthogonal transformation to extract the largest proportion of the variance in the underlying/ original water poverty indicators without much loss of information. The extracted principal component is then weighted with the proportion of variance</w:t>
      </w:r>
      <w:r>
        <w:rPr>
          <w:spacing w:val="-9"/>
        </w:rPr>
        <w:t> </w:t>
      </w:r>
      <w:r>
        <w:rPr/>
        <w:t>by</w:t>
      </w:r>
      <w:r>
        <w:rPr>
          <w:spacing w:val="-13"/>
        </w:rPr>
        <w:t> </w:t>
      </w:r>
      <w:r>
        <w:rPr/>
        <w:t>dividing</w:t>
      </w:r>
      <w:r>
        <w:rPr>
          <w:spacing w:val="-10"/>
        </w:rPr>
        <w:t> </w:t>
      </w:r>
      <w:r>
        <w:rPr/>
        <w:t>the</w:t>
      </w:r>
      <w:r>
        <w:rPr>
          <w:spacing w:val="-9"/>
        </w:rPr>
        <w:t> </w:t>
      </w:r>
      <w:r>
        <w:rPr/>
        <w:t>square</w:t>
      </w:r>
      <w:r>
        <w:rPr>
          <w:spacing w:val="-10"/>
        </w:rPr>
        <w:t> </w:t>
      </w:r>
      <w:r>
        <w:rPr/>
        <w:t>root</w:t>
      </w:r>
      <w:r>
        <w:rPr>
          <w:spacing w:val="-9"/>
        </w:rPr>
        <w:t> </w:t>
      </w:r>
      <w:r>
        <w:rPr/>
        <w:t>of</w:t>
      </w:r>
      <w:r>
        <w:rPr>
          <w:spacing w:val="-9"/>
        </w:rPr>
        <w:t> </w:t>
      </w:r>
      <w:r>
        <w:rPr/>
        <w:t>the</w:t>
      </w:r>
      <w:r>
        <w:rPr>
          <w:spacing w:val="-9"/>
        </w:rPr>
        <w:t> </w:t>
      </w:r>
      <w:r>
        <w:rPr/>
        <w:t>eigen</w:t>
      </w:r>
      <w:r>
        <w:rPr>
          <w:spacing w:val="-8"/>
        </w:rPr>
        <w:t> </w:t>
      </w:r>
      <w:r>
        <w:rPr/>
        <w:t>value</w:t>
      </w:r>
      <w:r>
        <w:rPr>
          <w:spacing w:val="-9"/>
        </w:rPr>
        <w:t> </w:t>
      </w:r>
      <w:r>
        <w:rPr/>
        <w:t>of</w:t>
      </w:r>
      <w:r>
        <w:rPr>
          <w:spacing w:val="-9"/>
        </w:rPr>
        <w:t> </w:t>
      </w:r>
      <w:r>
        <w:rPr/>
        <w:t>the</w:t>
      </w:r>
      <w:r>
        <w:rPr>
          <w:spacing w:val="-9"/>
        </w:rPr>
        <w:t> </w:t>
      </w:r>
      <w:r>
        <w:rPr/>
        <w:t>components</w:t>
      </w:r>
      <w:r>
        <w:rPr>
          <w:spacing w:val="-8"/>
        </w:rPr>
        <w:t> </w:t>
      </w:r>
      <w:r>
        <w:rPr/>
        <w:t>retained.</w:t>
      </w:r>
      <w:r>
        <w:rPr>
          <w:spacing w:val="40"/>
        </w:rPr>
        <w:t> </w:t>
      </w:r>
      <w:r>
        <w:rPr/>
        <w:t>Utilizing this</w:t>
      </w:r>
      <w:r>
        <w:rPr>
          <w:spacing w:val="17"/>
        </w:rPr>
        <w:t> </w:t>
      </w:r>
      <w:r>
        <w:rPr/>
        <w:t>approach,</w:t>
      </w:r>
      <w:r>
        <w:rPr>
          <w:spacing w:val="17"/>
        </w:rPr>
        <w:t> </w:t>
      </w:r>
      <w:r>
        <w:rPr/>
        <w:t>the</w:t>
      </w:r>
      <w:r>
        <w:rPr>
          <w:spacing w:val="19"/>
        </w:rPr>
        <w:t> </w:t>
      </w:r>
      <w:r>
        <w:rPr/>
        <w:t>weight</w:t>
      </w:r>
      <w:r>
        <w:rPr>
          <w:spacing w:val="18"/>
        </w:rPr>
        <w:t> </w:t>
      </w:r>
      <w:r>
        <w:rPr/>
        <w:t>(</w:t>
      </w:r>
      <w:r>
        <w:rPr>
          <w:rFonts w:ascii="Cambria Math" w:eastAsia="Cambria Math"/>
        </w:rPr>
        <w:t>𝑊</w:t>
      </w:r>
      <w:r>
        <w:rPr>
          <w:rFonts w:ascii="Cambria Math" w:eastAsia="Cambria Math"/>
          <w:vertAlign w:val="subscript"/>
        </w:rPr>
        <w:t>𝑖</w:t>
      </w:r>
      <w:r>
        <w:rPr>
          <w:vertAlign w:val="baseline"/>
        </w:rPr>
        <w:t>)</w:t>
      </w:r>
      <w:r>
        <w:rPr>
          <w:spacing w:val="17"/>
          <w:vertAlign w:val="baseline"/>
        </w:rPr>
        <w:t> </w:t>
      </w:r>
      <w:r>
        <w:rPr>
          <w:vertAlign w:val="baseline"/>
        </w:rPr>
        <w:t>for</w:t>
      </w:r>
      <w:r>
        <w:rPr>
          <w:spacing w:val="18"/>
          <w:vertAlign w:val="baseline"/>
        </w:rPr>
        <w:t> </w:t>
      </w:r>
      <w:r>
        <w:rPr>
          <w:vertAlign w:val="baseline"/>
        </w:rPr>
        <w:t>each</w:t>
      </w:r>
      <w:r>
        <w:rPr>
          <w:spacing w:val="17"/>
          <w:vertAlign w:val="baseline"/>
        </w:rPr>
        <w:t> </w:t>
      </w:r>
      <w:r>
        <w:rPr>
          <w:vertAlign w:val="baseline"/>
        </w:rPr>
        <w:t>component/</w:t>
      </w:r>
      <w:r>
        <w:rPr>
          <w:spacing w:val="20"/>
          <w:vertAlign w:val="baseline"/>
        </w:rPr>
        <w:t> </w:t>
      </w:r>
      <w:r>
        <w:rPr>
          <w:vertAlign w:val="baseline"/>
        </w:rPr>
        <w:t>index</w:t>
      </w:r>
      <w:r>
        <w:rPr>
          <w:spacing w:val="19"/>
          <w:vertAlign w:val="baseline"/>
        </w:rPr>
        <w:t> </w:t>
      </w:r>
      <w:r>
        <w:rPr>
          <w:vertAlign w:val="baseline"/>
        </w:rPr>
        <w:t>(i)</w:t>
      </w:r>
      <w:r>
        <w:rPr>
          <w:spacing w:val="17"/>
          <w:vertAlign w:val="baseline"/>
        </w:rPr>
        <w:t> </w:t>
      </w:r>
      <w:r>
        <w:rPr>
          <w:vertAlign w:val="baseline"/>
        </w:rPr>
        <w:t>can</w:t>
      </w:r>
      <w:r>
        <w:rPr>
          <w:spacing w:val="17"/>
          <w:vertAlign w:val="baseline"/>
        </w:rPr>
        <w:t> </w:t>
      </w:r>
      <w:r>
        <w:rPr>
          <w:vertAlign w:val="baseline"/>
        </w:rPr>
        <w:t>be</w:t>
      </w:r>
      <w:r>
        <w:rPr>
          <w:spacing w:val="17"/>
          <w:vertAlign w:val="baseline"/>
        </w:rPr>
        <w:t> </w:t>
      </w:r>
      <w:r>
        <w:rPr>
          <w:vertAlign w:val="baseline"/>
        </w:rPr>
        <w:t>determined</w:t>
      </w:r>
      <w:r>
        <w:rPr>
          <w:spacing w:val="17"/>
          <w:vertAlign w:val="baseline"/>
        </w:rPr>
        <w:t> </w:t>
      </w:r>
      <w:r>
        <w:rPr>
          <w:vertAlign w:val="baseline"/>
        </w:rPr>
        <w:t>using</w:t>
      </w:r>
      <w:r>
        <w:rPr>
          <w:spacing w:val="16"/>
          <w:vertAlign w:val="baseline"/>
        </w:rPr>
        <w:t> </w:t>
      </w:r>
      <w:r>
        <w:rPr>
          <w:spacing w:val="-5"/>
          <w:vertAlign w:val="baseline"/>
        </w:rPr>
        <w:t>the</w:t>
      </w:r>
    </w:p>
    <w:p>
      <w:pPr>
        <w:spacing w:after="0" w:line="480" w:lineRule="auto"/>
        <w:jc w:val="both"/>
        <w:sectPr>
          <w:pgSz w:w="12240" w:h="15840"/>
          <w:pgMar w:header="0" w:footer="1068" w:top="1340" w:bottom="1260" w:left="1720" w:right="680"/>
        </w:sectPr>
      </w:pPr>
    </w:p>
    <w:p>
      <w:pPr>
        <w:pStyle w:val="BodyText"/>
        <w:spacing w:line="480" w:lineRule="auto" w:before="63"/>
        <w:ind w:left="267" w:right="701"/>
      </w:pPr>
      <w:r>
        <w:rPr/>
        <w:t>following formula in equation 2.4, as suggested by Rovira and Rovira (2008) and Sullivan and Jemmali (2014):</w:t>
      </w:r>
    </w:p>
    <w:p>
      <w:pPr>
        <w:spacing w:before="8"/>
        <w:ind w:left="267" w:right="0" w:firstLine="0"/>
        <w:jc w:val="left"/>
        <w:rPr>
          <w:rFonts w:ascii="Cambria Math" w:eastAsia="Cambria Math"/>
          <w:sz w:val="24"/>
        </w:rPr>
      </w:pPr>
      <w:r>
        <w:rPr>
          <w:rFonts w:ascii="Cambria Math" w:eastAsia="Cambria Math"/>
          <w:spacing w:val="-5"/>
          <w:w w:val="110"/>
          <w:sz w:val="24"/>
        </w:rPr>
        <w:t>𝑊</w:t>
      </w:r>
      <w:r>
        <w:rPr>
          <w:rFonts w:ascii="Cambria Math" w:eastAsia="Cambria Math"/>
          <w:spacing w:val="-5"/>
          <w:w w:val="110"/>
          <w:sz w:val="24"/>
          <w:vertAlign w:val="subscript"/>
        </w:rPr>
        <w:t>𝑖</w:t>
      </w:r>
    </w:p>
    <w:p>
      <w:pPr>
        <w:pStyle w:val="BodyText"/>
        <w:spacing w:before="96" w:after="1"/>
        <w:rPr>
          <w:rFonts w:ascii="Cambria Math"/>
          <w:sz w:val="20"/>
        </w:rPr>
      </w:pPr>
    </w:p>
    <w:p>
      <w:pPr>
        <w:pStyle w:val="BodyText"/>
        <w:spacing w:line="20" w:lineRule="exact"/>
        <w:ind w:left="1614"/>
        <w:rPr>
          <w:rFonts w:ascii="Cambria Math"/>
          <w:sz w:val="2"/>
        </w:rPr>
      </w:pPr>
      <w:r>
        <w:rPr>
          <w:rFonts w:ascii="Cambria Math"/>
          <w:sz w:val="2"/>
        </w:rPr>
        <mc:AlternateContent>
          <mc:Choice Requires="wps">
            <w:drawing>
              <wp:inline distT="0" distB="0" distL="0" distR="0">
                <wp:extent cx="190500" cy="10795"/>
                <wp:effectExtent l="0" t="0" r="0" b="0"/>
                <wp:docPr id="67" name="Group 67"/>
                <wp:cNvGraphicFramePr>
                  <a:graphicFrameLocks/>
                </wp:cNvGraphicFramePr>
                <a:graphic>
                  <a:graphicData uri="http://schemas.microsoft.com/office/word/2010/wordprocessingGroup">
                    <wpg:wgp>
                      <wpg:cNvPr id="67" name="Group 67"/>
                      <wpg:cNvGrpSpPr/>
                      <wpg:grpSpPr>
                        <a:xfrm>
                          <a:off x="0" y="0"/>
                          <a:ext cx="190500" cy="10795"/>
                          <a:chExt cx="190500" cy="10795"/>
                        </a:xfrm>
                      </wpg:grpSpPr>
                      <wps:wsp>
                        <wps:cNvPr id="68" name="Graphic 68"/>
                        <wps:cNvSpPr/>
                        <wps:spPr>
                          <a:xfrm>
                            <a:off x="0" y="0"/>
                            <a:ext cx="190500" cy="10795"/>
                          </a:xfrm>
                          <a:custGeom>
                            <a:avLst/>
                            <a:gdLst/>
                            <a:ahLst/>
                            <a:cxnLst/>
                            <a:rect l="l" t="t" r="r" b="b"/>
                            <a:pathLst>
                              <a:path w="190500" h="10795">
                                <a:moveTo>
                                  <a:pt x="190500" y="0"/>
                                </a:moveTo>
                                <a:lnTo>
                                  <a:pt x="0" y="0"/>
                                </a:lnTo>
                                <a:lnTo>
                                  <a:pt x="0" y="10668"/>
                                </a:lnTo>
                                <a:lnTo>
                                  <a:pt x="190500" y="10668"/>
                                </a:lnTo>
                                <a:lnTo>
                                  <a:pt x="190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pt;height:.85pt;mso-position-horizontal-relative:char;mso-position-vertical-relative:line" id="docshapegroup66" coordorigin="0,0" coordsize="300,17">
                <v:rect style="position:absolute;left:0;top:0;width:300;height:17" id="docshape67" filled="true" fillcolor="#000000" stroked="false">
                  <v:fill type="solid"/>
                </v:rect>
              </v:group>
            </w:pict>
          </mc:Fallback>
        </mc:AlternateContent>
      </w:r>
      <w:r>
        <w:rPr>
          <w:rFonts w:ascii="Cambria Math"/>
          <w:sz w:val="2"/>
        </w:rPr>
      </w:r>
    </w:p>
    <w:p>
      <w:pPr>
        <w:spacing w:after="0" w:line="20" w:lineRule="exact"/>
        <w:rPr>
          <w:rFonts w:ascii="Cambria Math"/>
          <w:sz w:val="2"/>
        </w:rPr>
        <w:sectPr>
          <w:pgSz w:w="12240" w:h="15840"/>
          <w:pgMar w:header="0" w:footer="1068" w:top="1340" w:bottom="1260" w:left="1720" w:right="680"/>
        </w:sectPr>
      </w:pPr>
    </w:p>
    <w:p>
      <w:pPr>
        <w:spacing w:before="148"/>
        <w:ind w:left="267" w:right="0" w:firstLine="0"/>
        <w:jc w:val="left"/>
        <w:rPr>
          <w:rFonts w:ascii="Cambria Math" w:eastAsia="Cambria Math"/>
          <w:sz w:val="24"/>
        </w:rPr>
      </w:pPr>
      <w:r>
        <w:rPr>
          <w:rFonts w:ascii="Cambria Math" w:eastAsia="Cambria Math"/>
          <w:spacing w:val="-10"/>
          <w:w w:val="105"/>
          <w:sz w:val="24"/>
        </w:rPr>
        <w:t>=</w:t>
      </w:r>
      <w:r>
        <w:rPr>
          <w:rFonts w:ascii="Cambria Math" w:eastAsia="Cambria Math"/>
          <w:spacing w:val="-10"/>
          <w:w w:val="105"/>
          <w:sz w:val="24"/>
        </w:rPr>
        <w:t> </w:t>
      </w:r>
      <w:r>
        <w:rPr>
          <w:rFonts w:ascii="Cambria Math" w:eastAsia="Cambria Math"/>
          <w:spacing w:val="-6"/>
          <w:w w:val="105"/>
          <w:sz w:val="24"/>
        </w:rPr>
        <w:t>𝑃𝐶𝐾</w:t>
      </w:r>
      <w:r>
        <w:rPr>
          <w:rFonts w:ascii="Cambria Math" w:eastAsia="Cambria Math"/>
          <w:spacing w:val="-6"/>
          <w:w w:val="105"/>
          <w:sz w:val="24"/>
          <w:vertAlign w:val="subscript"/>
        </w:rPr>
        <w:t>𝑖</w:t>
      </w:r>
    </w:p>
    <w:p>
      <w:pPr>
        <w:spacing w:line="254" w:lineRule="exact" w:before="0"/>
        <w:ind w:left="131" w:right="0" w:firstLine="0"/>
        <w:jc w:val="center"/>
        <w:rPr>
          <w:rFonts w:ascii="Cambria Math" w:hAnsi="Cambria Math" w:eastAsia="Cambria Math"/>
          <w:sz w:val="24"/>
        </w:rPr>
      </w:pPr>
      <w:r>
        <w:rPr/>
        <w:br w:type="column"/>
      </w:r>
      <w:r>
        <w:rPr>
          <w:rFonts w:ascii="Cambria Math" w:hAnsi="Cambria Math" w:eastAsia="Cambria Math"/>
          <w:spacing w:val="-5"/>
          <w:sz w:val="24"/>
        </w:rPr>
        <w:t>√</w:t>
      </w:r>
      <w:r>
        <w:rPr>
          <w:rFonts w:ascii="Cambria Math" w:hAnsi="Cambria Math" w:eastAsia="Cambria Math"/>
          <w:spacing w:val="-5"/>
          <w:position w:val="1"/>
          <w:sz w:val="24"/>
        </w:rPr>
        <w:t>𝜆𝐾</w:t>
      </w:r>
    </w:p>
    <w:p>
      <w:pPr>
        <w:pStyle w:val="BodyText"/>
        <w:spacing w:before="9"/>
        <w:rPr>
          <w:rFonts w:ascii="Cambria Math"/>
          <w:sz w:val="3"/>
        </w:rPr>
      </w:pPr>
    </w:p>
    <w:p>
      <w:pPr>
        <w:pStyle w:val="BodyText"/>
        <w:spacing w:line="81" w:lineRule="exact"/>
        <w:ind w:left="118" w:right="-72"/>
        <w:rPr>
          <w:rFonts w:ascii="Cambria Math"/>
          <w:sz w:val="8"/>
        </w:rPr>
      </w:pPr>
      <w:r>
        <w:rPr>
          <w:rFonts w:ascii="Cambria Math"/>
          <w:position w:val="-1"/>
          <w:sz w:val="8"/>
        </w:rPr>
        <mc:AlternateContent>
          <mc:Choice Requires="wps">
            <w:drawing>
              <wp:inline distT="0" distB="0" distL="0" distR="0">
                <wp:extent cx="579120" cy="52069"/>
                <wp:effectExtent l="0" t="0" r="0" b="0"/>
                <wp:docPr id="69" name="Group 69"/>
                <wp:cNvGraphicFramePr>
                  <a:graphicFrameLocks/>
                </wp:cNvGraphicFramePr>
                <a:graphic>
                  <a:graphicData uri="http://schemas.microsoft.com/office/word/2010/wordprocessingGroup">
                    <wpg:wgp>
                      <wpg:cNvPr id="69" name="Group 69"/>
                      <wpg:cNvGrpSpPr/>
                      <wpg:grpSpPr>
                        <a:xfrm>
                          <a:off x="0" y="0"/>
                          <a:ext cx="579120" cy="52069"/>
                          <a:chExt cx="579120" cy="52069"/>
                        </a:xfrm>
                      </wpg:grpSpPr>
                      <wps:wsp>
                        <wps:cNvPr id="70" name="Graphic 70"/>
                        <wps:cNvSpPr/>
                        <wps:spPr>
                          <a:xfrm>
                            <a:off x="0" y="0"/>
                            <a:ext cx="579120" cy="52069"/>
                          </a:xfrm>
                          <a:custGeom>
                            <a:avLst/>
                            <a:gdLst/>
                            <a:ahLst/>
                            <a:cxnLst/>
                            <a:rect l="l" t="t" r="r" b="b"/>
                            <a:pathLst>
                              <a:path w="579120" h="52069">
                                <a:moveTo>
                                  <a:pt x="547116" y="41148"/>
                                </a:moveTo>
                                <a:lnTo>
                                  <a:pt x="356616" y="41148"/>
                                </a:lnTo>
                                <a:lnTo>
                                  <a:pt x="356616" y="51816"/>
                                </a:lnTo>
                                <a:lnTo>
                                  <a:pt x="547116" y="51816"/>
                                </a:lnTo>
                                <a:lnTo>
                                  <a:pt x="547116" y="41148"/>
                                </a:lnTo>
                                <a:close/>
                              </a:path>
                              <a:path w="579120" h="52069">
                                <a:moveTo>
                                  <a:pt x="579120" y="0"/>
                                </a:moveTo>
                                <a:lnTo>
                                  <a:pt x="0" y="0"/>
                                </a:lnTo>
                                <a:lnTo>
                                  <a:pt x="0" y="10668"/>
                                </a:lnTo>
                                <a:lnTo>
                                  <a:pt x="579120" y="10668"/>
                                </a:lnTo>
                                <a:lnTo>
                                  <a:pt x="5791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6pt;height:4.1pt;mso-position-horizontal-relative:char;mso-position-vertical-relative:line" id="docshapegroup68" coordorigin="0,0" coordsize="912,82">
                <v:shape style="position:absolute;left:0;top:0;width:912;height:82" id="docshape69" coordorigin="0,0" coordsize="912,82" path="m862,65l562,65,562,82,862,82,862,65xm912,0l0,0,0,17,912,17,912,0xe" filled="true" fillcolor="#000000" stroked="false">
                  <v:path arrowok="t"/>
                  <v:fill type="solid"/>
                </v:shape>
              </v:group>
            </w:pict>
          </mc:Fallback>
        </mc:AlternateContent>
      </w:r>
      <w:r>
        <w:rPr>
          <w:rFonts w:ascii="Cambria Math"/>
          <w:position w:val="-1"/>
          <w:sz w:val="8"/>
        </w:rPr>
      </w:r>
    </w:p>
    <w:p>
      <w:pPr>
        <w:spacing w:before="0"/>
        <w:ind w:left="131" w:right="0" w:firstLine="0"/>
        <w:jc w:val="center"/>
        <w:rPr>
          <w:rFonts w:ascii="Cambria Math" w:hAnsi="Cambria Math" w:eastAsia="Cambria Math"/>
          <w:sz w:val="24"/>
        </w:rPr>
      </w:pPr>
      <w:r>
        <w:rPr>
          <w:rFonts w:ascii="Cambria Math" w:hAnsi="Cambria Math" w:eastAsia="Cambria Math"/>
          <w:position w:val="2"/>
          <w:sz w:val="24"/>
        </w:rPr>
        <w:t>∑</w:t>
      </w:r>
      <w:r>
        <w:rPr>
          <w:rFonts w:ascii="Cambria Math" w:hAnsi="Cambria Math" w:eastAsia="Cambria Math"/>
          <w:spacing w:val="-12"/>
          <w:position w:val="2"/>
          <w:sz w:val="24"/>
        </w:rPr>
        <w:t> </w:t>
      </w:r>
      <w:r>
        <w:rPr>
          <w:rFonts w:ascii="Cambria Math" w:hAnsi="Cambria Math" w:eastAsia="Cambria Math"/>
          <w:spacing w:val="-4"/>
          <w:position w:val="1"/>
          <w:sz w:val="24"/>
        </w:rPr>
        <w:t>𝑘</w:t>
      </w:r>
      <w:r>
        <w:rPr>
          <w:rFonts w:ascii="Cambria Math" w:hAnsi="Cambria Math" w:eastAsia="Cambria Math"/>
          <w:spacing w:val="-4"/>
          <w:sz w:val="24"/>
        </w:rPr>
        <w:t>√</w:t>
      </w:r>
      <w:r>
        <w:rPr>
          <w:rFonts w:ascii="Cambria Math" w:hAnsi="Cambria Math" w:eastAsia="Cambria Math"/>
          <w:spacing w:val="-4"/>
          <w:position w:val="1"/>
          <w:sz w:val="24"/>
        </w:rPr>
        <w:t>𝜆𝐾</w:t>
      </w:r>
    </w:p>
    <w:p>
      <w:pPr>
        <w:pStyle w:val="BodyText"/>
        <w:spacing w:before="138"/>
        <w:ind w:left="267"/>
        <w:rPr>
          <w:rFonts w:ascii="Cambria Math"/>
        </w:rPr>
      </w:pPr>
      <w:r>
        <w:rPr/>
        <w:br w:type="column"/>
      </w:r>
      <w:r>
        <w:rPr>
          <w:rFonts w:ascii="Cambria Math"/>
          <w:spacing w:val="-2"/>
          <w:position w:val="1"/>
        </w:rPr>
        <w:t>(</w:t>
      </w:r>
      <w:r>
        <w:rPr>
          <w:rFonts w:ascii="Cambria Math"/>
          <w:spacing w:val="-2"/>
        </w:rPr>
        <w:t>2.4</w:t>
      </w:r>
      <w:r>
        <w:rPr>
          <w:rFonts w:ascii="Cambria Math"/>
          <w:spacing w:val="-2"/>
          <w:position w:val="1"/>
        </w:rPr>
        <w:t>)</w:t>
      </w:r>
    </w:p>
    <w:p>
      <w:pPr>
        <w:spacing w:after="0"/>
        <w:rPr>
          <w:rFonts w:ascii="Cambria Math"/>
        </w:rPr>
        <w:sectPr>
          <w:type w:val="continuous"/>
          <w:pgSz w:w="12240" w:h="15840"/>
          <w:pgMar w:header="0" w:footer="1068" w:top="1340" w:bottom="1260" w:left="1720" w:right="680"/>
          <w:cols w:num="3" w:equalWidth="0">
            <w:col w:w="1069" w:space="40"/>
            <w:col w:w="1013" w:space="6238"/>
            <w:col w:w="1480"/>
          </w:cols>
        </w:sectPr>
      </w:pPr>
    </w:p>
    <w:p>
      <w:pPr>
        <w:pStyle w:val="BodyText"/>
        <w:rPr>
          <w:rFonts w:ascii="Cambria Math"/>
        </w:rPr>
      </w:pPr>
    </w:p>
    <w:p>
      <w:pPr>
        <w:pStyle w:val="BodyText"/>
        <w:spacing w:before="200"/>
        <w:rPr>
          <w:rFonts w:ascii="Cambria Math"/>
        </w:rPr>
      </w:pPr>
    </w:p>
    <w:p>
      <w:pPr>
        <w:pStyle w:val="BodyText"/>
        <w:spacing w:line="477" w:lineRule="auto"/>
        <w:ind w:left="267" w:right="729"/>
        <w:jc w:val="both"/>
      </w:pPr>
      <w:r>
        <w:rPr/>
        <w:t>Where </w:t>
      </w:r>
      <w:r>
        <w:rPr>
          <w:rFonts w:ascii="Cambria Math" w:eastAsia="Cambria Math"/>
        </w:rPr>
        <w:t>𝑊</w:t>
      </w:r>
      <w:r>
        <w:rPr>
          <w:rFonts w:ascii="Cambria Math" w:eastAsia="Cambria Math"/>
          <w:vertAlign w:val="subscript"/>
        </w:rPr>
        <w:t>𝑖</w:t>
      </w:r>
      <w:r>
        <w:rPr>
          <w:rFonts w:ascii="Cambria Math" w:eastAsia="Cambria Math"/>
          <w:spacing w:val="40"/>
          <w:vertAlign w:val="baseline"/>
        </w:rPr>
        <w:t> </w:t>
      </w:r>
      <w:r>
        <w:rPr>
          <w:vertAlign w:val="baseline"/>
        </w:rPr>
        <w:t>is the weight assigned to ith component of the water poverty index such as resource, use, access, capacity, or environment component,</w:t>
      </w:r>
      <w:r>
        <w:rPr>
          <w:rFonts w:ascii="Cambria Math" w:eastAsia="Cambria Math"/>
          <w:spacing w:val="26"/>
          <w:position w:val="1"/>
          <w:vertAlign w:val="baseline"/>
        </w:rPr>
        <w:t>〖(</w:t>
      </w:r>
      <w:r>
        <w:rPr>
          <w:rFonts w:ascii="Cambria Math" w:eastAsia="Cambria Math"/>
          <w:vertAlign w:val="baseline"/>
        </w:rPr>
        <w:t>𝑃𝐶𝐾</w:t>
      </w:r>
      <w:r>
        <w:rPr>
          <w:rFonts w:ascii="Cambria Math" w:eastAsia="Cambria Math"/>
          <w:position w:val="1"/>
          <w:vertAlign w:val="baseline"/>
        </w:rPr>
        <w:t>〗</w:t>
      </w:r>
      <w:r>
        <w:rPr>
          <w:rFonts w:ascii="Cambria Math" w:eastAsia="Cambria Math"/>
          <w:position w:val="1"/>
          <w:vertAlign w:val="subscript"/>
        </w:rPr>
        <w:t>𝑖</w:t>
      </w:r>
      <w:r>
        <w:rPr>
          <w:rFonts w:ascii="Cambria Math" w:eastAsia="Cambria Math"/>
          <w:position w:val="1"/>
          <w:vertAlign w:val="baseline"/>
        </w:rPr>
        <w:t>) </w:t>
      </w:r>
      <w:r>
        <w:rPr>
          <w:vertAlign w:val="baseline"/>
        </w:rPr>
        <w:t>is the factor loading score associated with the ith component (which can be resource, use, access, capacity or environment</w:t>
      </w:r>
      <w:r>
        <w:rPr>
          <w:spacing w:val="-2"/>
          <w:vertAlign w:val="baseline"/>
        </w:rPr>
        <w:t> </w:t>
      </w:r>
      <w:r>
        <w:rPr>
          <w:vertAlign w:val="baseline"/>
        </w:rPr>
        <w:t>component)</w:t>
      </w:r>
      <w:r>
        <w:rPr>
          <w:spacing w:val="-1"/>
          <w:vertAlign w:val="baseline"/>
        </w:rPr>
        <w:t> </w:t>
      </w:r>
      <w:r>
        <w:rPr>
          <w:vertAlign w:val="baseline"/>
        </w:rPr>
        <w:t>on</w:t>
      </w:r>
      <w:r>
        <w:rPr>
          <w:spacing w:val="-2"/>
          <w:vertAlign w:val="baseline"/>
        </w:rPr>
        <w:t> </w:t>
      </w:r>
      <w:r>
        <w:rPr>
          <w:vertAlign w:val="baseline"/>
        </w:rPr>
        <w:t>principal</w:t>
      </w:r>
      <w:r>
        <w:rPr>
          <w:spacing w:val="-2"/>
          <w:vertAlign w:val="baseline"/>
        </w:rPr>
        <w:t> </w:t>
      </w:r>
      <w:r>
        <w:rPr>
          <w:vertAlign w:val="baseline"/>
        </w:rPr>
        <w:t>component</w:t>
      </w:r>
      <w:r>
        <w:rPr>
          <w:spacing w:val="-2"/>
          <w:vertAlign w:val="baseline"/>
        </w:rPr>
        <w:t> </w:t>
      </w:r>
      <w:r>
        <w:rPr>
          <w:vertAlign w:val="baseline"/>
        </w:rPr>
        <w:t>k,</w:t>
      </w:r>
      <w:r>
        <w:rPr>
          <w:spacing w:val="-2"/>
          <w:vertAlign w:val="baseline"/>
        </w:rPr>
        <w:t> </w:t>
      </w:r>
      <w:r>
        <w:rPr>
          <w:vertAlign w:val="baseline"/>
        </w:rPr>
        <w:t>which</w:t>
      </w:r>
      <w:r>
        <w:rPr>
          <w:spacing w:val="-2"/>
          <w:vertAlign w:val="baseline"/>
        </w:rPr>
        <w:t> </w:t>
      </w:r>
      <w:r>
        <w:rPr>
          <w:vertAlign w:val="baseline"/>
        </w:rPr>
        <w:t>is</w:t>
      </w:r>
      <w:r>
        <w:rPr>
          <w:spacing w:val="-2"/>
          <w:vertAlign w:val="baseline"/>
        </w:rPr>
        <w:t> </w:t>
      </w:r>
      <w:r>
        <w:rPr>
          <w:vertAlign w:val="baseline"/>
        </w:rPr>
        <w:t>called</w:t>
      </w:r>
      <w:r>
        <w:rPr>
          <w:spacing w:val="-2"/>
          <w:vertAlign w:val="baseline"/>
        </w:rPr>
        <w:t> </w:t>
      </w:r>
      <w:r>
        <w:rPr>
          <w:vertAlign w:val="baseline"/>
        </w:rPr>
        <w:t>component</w:t>
      </w:r>
      <w:r>
        <w:rPr>
          <w:spacing w:val="-2"/>
          <w:vertAlign w:val="baseline"/>
        </w:rPr>
        <w:t> </w:t>
      </w:r>
      <w:r>
        <w:rPr>
          <w:vertAlign w:val="baseline"/>
        </w:rPr>
        <w:t>loading. </w:t>
      </w:r>
      <w:r>
        <w:rPr>
          <w:rFonts w:ascii="Cambria Math" w:eastAsia="Cambria Math"/>
          <w:vertAlign w:val="baseline"/>
        </w:rPr>
        <w:t>𝜆𝐾 </w:t>
      </w:r>
      <w:r>
        <w:rPr>
          <w:vertAlign w:val="baseline"/>
        </w:rPr>
        <w:t>is its eigen value. In spite the elegance, objectiveness, and strong analytical base of the principal</w:t>
      </w:r>
      <w:r>
        <w:rPr>
          <w:spacing w:val="-1"/>
          <w:vertAlign w:val="baseline"/>
        </w:rPr>
        <w:t> </w:t>
      </w:r>
      <w:r>
        <w:rPr>
          <w:vertAlign w:val="baseline"/>
        </w:rPr>
        <w:t>component analysis</w:t>
      </w:r>
      <w:r>
        <w:rPr>
          <w:spacing w:val="-1"/>
          <w:vertAlign w:val="baseline"/>
        </w:rPr>
        <w:t> </w:t>
      </w:r>
      <w:r>
        <w:rPr>
          <w:vertAlign w:val="baseline"/>
        </w:rPr>
        <w:t>for</w:t>
      </w:r>
      <w:r>
        <w:rPr>
          <w:spacing w:val="-1"/>
          <w:vertAlign w:val="baseline"/>
        </w:rPr>
        <w:t> </w:t>
      </w:r>
      <w:r>
        <w:rPr>
          <w:vertAlign w:val="baseline"/>
        </w:rPr>
        <w:t>weight</w:t>
      </w:r>
      <w:r>
        <w:rPr>
          <w:spacing w:val="-1"/>
          <w:vertAlign w:val="baseline"/>
        </w:rPr>
        <w:t> </w:t>
      </w:r>
      <w:r>
        <w:rPr>
          <w:vertAlign w:val="baseline"/>
        </w:rPr>
        <w:t>assignment,</w:t>
      </w:r>
      <w:r>
        <w:rPr>
          <w:spacing w:val="-1"/>
          <w:vertAlign w:val="baseline"/>
        </w:rPr>
        <w:t> </w:t>
      </w:r>
      <w:r>
        <w:rPr>
          <w:vertAlign w:val="baseline"/>
        </w:rPr>
        <w:t>its</w:t>
      </w:r>
      <w:r>
        <w:rPr>
          <w:spacing w:val="-1"/>
          <w:vertAlign w:val="baseline"/>
        </w:rPr>
        <w:t> </w:t>
      </w:r>
      <w:r>
        <w:rPr>
          <w:vertAlign w:val="baseline"/>
        </w:rPr>
        <w:t>statistically</w:t>
      </w:r>
      <w:r>
        <w:rPr>
          <w:spacing w:val="-8"/>
          <w:vertAlign w:val="baseline"/>
        </w:rPr>
        <w:t> </w:t>
      </w:r>
      <w:r>
        <w:rPr>
          <w:vertAlign w:val="baseline"/>
        </w:rPr>
        <w:t>derived</w:t>
      </w:r>
      <w:r>
        <w:rPr>
          <w:spacing w:val="-1"/>
          <w:vertAlign w:val="baseline"/>
        </w:rPr>
        <w:t> </w:t>
      </w:r>
      <w:r>
        <w:rPr>
          <w:vertAlign w:val="baseline"/>
        </w:rPr>
        <w:t>weights</w:t>
      </w:r>
      <w:r>
        <w:rPr>
          <w:spacing w:val="-1"/>
          <w:vertAlign w:val="baseline"/>
        </w:rPr>
        <w:t> </w:t>
      </w:r>
      <w:r>
        <w:rPr>
          <w:vertAlign w:val="baseline"/>
        </w:rPr>
        <w:t>are</w:t>
      </w:r>
      <w:r>
        <w:rPr>
          <w:spacing w:val="-2"/>
          <w:vertAlign w:val="baseline"/>
        </w:rPr>
        <w:t> </w:t>
      </w:r>
      <w:r>
        <w:rPr>
          <w:vertAlign w:val="baseline"/>
        </w:rPr>
        <w:t>not reflection of the priorities of the decision makers (Esty </w:t>
      </w:r>
      <w:r>
        <w:rPr>
          <w:i/>
          <w:vertAlign w:val="baseline"/>
        </w:rPr>
        <w:t>et al.</w:t>
      </w:r>
      <w:r>
        <w:rPr>
          <w:vertAlign w:val="baseline"/>
        </w:rPr>
        <w:t>, 2005; Nardo </w:t>
      </w:r>
      <w:r>
        <w:rPr>
          <w:i/>
          <w:vertAlign w:val="baseline"/>
        </w:rPr>
        <w:t>et al.</w:t>
      </w:r>
      <w:r>
        <w:rPr>
          <w:vertAlign w:val="baseline"/>
        </w:rPr>
        <w:t>, 2008).</w:t>
      </w:r>
    </w:p>
    <w:p>
      <w:pPr>
        <w:pStyle w:val="Heading1"/>
        <w:numPr>
          <w:ilvl w:val="3"/>
          <w:numId w:val="6"/>
        </w:numPr>
        <w:tabs>
          <w:tab w:pos="1106" w:val="left" w:leader="none"/>
        </w:tabs>
        <w:spacing w:line="240" w:lineRule="auto" w:before="16" w:after="0"/>
        <w:ind w:left="1106" w:right="0" w:hanging="839"/>
        <w:jc w:val="both"/>
      </w:pPr>
      <w:r>
        <w:rPr/>
        <w:t>Aggregation</w:t>
      </w:r>
      <w:r>
        <w:rPr>
          <w:spacing w:val="-2"/>
        </w:rPr>
        <w:t> techniques</w:t>
      </w:r>
    </w:p>
    <w:p>
      <w:pPr>
        <w:pStyle w:val="BodyText"/>
        <w:spacing w:before="15"/>
        <w:rPr>
          <w:b/>
        </w:rPr>
      </w:pPr>
    </w:p>
    <w:p>
      <w:pPr>
        <w:pStyle w:val="BodyText"/>
        <w:spacing w:line="480" w:lineRule="auto"/>
        <w:ind w:left="267" w:right="724"/>
        <w:jc w:val="both"/>
      </w:pPr>
      <w:r>
        <w:rPr/>
        <w:t>Aggregation</w:t>
      </w:r>
      <w:r>
        <w:rPr>
          <w:spacing w:val="-15"/>
        </w:rPr>
        <w:t> </w:t>
      </w:r>
      <w:r>
        <w:rPr/>
        <w:t>is</w:t>
      </w:r>
      <w:r>
        <w:rPr>
          <w:spacing w:val="-15"/>
        </w:rPr>
        <w:t> </w:t>
      </w:r>
      <w:r>
        <w:rPr/>
        <w:t>a</w:t>
      </w:r>
      <w:r>
        <w:rPr>
          <w:spacing w:val="-15"/>
        </w:rPr>
        <w:t> </w:t>
      </w:r>
      <w:r>
        <w:rPr/>
        <w:t>crucial</w:t>
      </w:r>
      <w:r>
        <w:rPr>
          <w:spacing w:val="-15"/>
        </w:rPr>
        <w:t> </w:t>
      </w:r>
      <w:r>
        <w:rPr/>
        <w:t>stage</w:t>
      </w:r>
      <w:r>
        <w:rPr>
          <w:spacing w:val="-15"/>
        </w:rPr>
        <w:t> </w:t>
      </w:r>
      <w:r>
        <w:rPr/>
        <w:t>in</w:t>
      </w:r>
      <w:r>
        <w:rPr>
          <w:spacing w:val="-15"/>
        </w:rPr>
        <w:t> </w:t>
      </w:r>
      <w:r>
        <w:rPr/>
        <w:t>water</w:t>
      </w:r>
      <w:r>
        <w:rPr>
          <w:spacing w:val="-15"/>
        </w:rPr>
        <w:t> </w:t>
      </w:r>
      <w:r>
        <w:rPr/>
        <w:t>poverty</w:t>
      </w:r>
      <w:r>
        <w:rPr>
          <w:spacing w:val="-15"/>
        </w:rPr>
        <w:t> </w:t>
      </w:r>
      <w:r>
        <w:rPr/>
        <w:t>index</w:t>
      </w:r>
      <w:r>
        <w:rPr>
          <w:spacing w:val="-15"/>
        </w:rPr>
        <w:t> </w:t>
      </w:r>
      <w:r>
        <w:rPr/>
        <w:t>construction</w:t>
      </w:r>
      <w:r>
        <w:rPr>
          <w:spacing w:val="-15"/>
        </w:rPr>
        <w:t> </w:t>
      </w:r>
      <w:r>
        <w:rPr/>
        <w:t>(Kumar</w:t>
      </w:r>
      <w:r>
        <w:rPr>
          <w:spacing w:val="-15"/>
        </w:rPr>
        <w:t> </w:t>
      </w:r>
      <w:r>
        <w:rPr/>
        <w:t>and</w:t>
      </w:r>
      <w:r>
        <w:rPr>
          <w:spacing w:val="-15"/>
        </w:rPr>
        <w:t> </w:t>
      </w:r>
      <w:r>
        <w:rPr/>
        <w:t>Alappat,</w:t>
      </w:r>
      <w:r>
        <w:rPr>
          <w:spacing w:val="-15"/>
        </w:rPr>
        <w:t> </w:t>
      </w:r>
      <w:r>
        <w:rPr/>
        <w:t>2004; Swamee and Tyagi, 2007: Singh </w:t>
      </w:r>
      <w:r>
        <w:rPr>
          <w:i/>
        </w:rPr>
        <w:t>et al.</w:t>
      </w:r>
      <w:r>
        <w:rPr/>
        <w:t>, 2008). After the assignment of weights to the sub- components and water poverty components, the aggregation will yield both the respective component value and the water poverty value. Generally, two (2) different aggregation functions</w:t>
      </w:r>
      <w:r>
        <w:rPr>
          <w:spacing w:val="-5"/>
        </w:rPr>
        <w:t> </w:t>
      </w:r>
      <w:r>
        <w:rPr/>
        <w:t>are</w:t>
      </w:r>
      <w:r>
        <w:rPr>
          <w:spacing w:val="-7"/>
        </w:rPr>
        <w:t> </w:t>
      </w:r>
      <w:r>
        <w:rPr/>
        <w:t>usually</w:t>
      </w:r>
      <w:r>
        <w:rPr>
          <w:spacing w:val="-10"/>
        </w:rPr>
        <w:t> </w:t>
      </w:r>
      <w:r>
        <w:rPr/>
        <w:t>employed</w:t>
      </w:r>
      <w:r>
        <w:rPr>
          <w:spacing w:val="-5"/>
        </w:rPr>
        <w:t> </w:t>
      </w:r>
      <w:r>
        <w:rPr/>
        <w:t>in</w:t>
      </w:r>
      <w:r>
        <w:rPr>
          <w:spacing w:val="-4"/>
        </w:rPr>
        <w:t> </w:t>
      </w:r>
      <w:r>
        <w:rPr/>
        <w:t>water</w:t>
      </w:r>
      <w:r>
        <w:rPr>
          <w:spacing w:val="-6"/>
        </w:rPr>
        <w:t> </w:t>
      </w:r>
      <w:r>
        <w:rPr/>
        <w:t>poverty</w:t>
      </w:r>
      <w:r>
        <w:rPr>
          <w:spacing w:val="-10"/>
        </w:rPr>
        <w:t> </w:t>
      </w:r>
      <w:r>
        <w:rPr/>
        <w:t>index</w:t>
      </w:r>
      <w:r>
        <w:rPr>
          <w:spacing w:val="-3"/>
        </w:rPr>
        <w:t> </w:t>
      </w:r>
      <w:r>
        <w:rPr/>
        <w:t>construct:</w:t>
      </w:r>
      <w:r>
        <w:rPr>
          <w:spacing w:val="-4"/>
        </w:rPr>
        <w:t> </w:t>
      </w:r>
      <w:r>
        <w:rPr/>
        <w:t>additive</w:t>
      </w:r>
      <w:r>
        <w:rPr>
          <w:spacing w:val="-5"/>
        </w:rPr>
        <w:t> </w:t>
      </w:r>
      <w:r>
        <w:rPr/>
        <w:t>and</w:t>
      </w:r>
      <w:r>
        <w:rPr>
          <w:spacing w:val="-5"/>
        </w:rPr>
        <w:t> </w:t>
      </w:r>
      <w:r>
        <w:rPr/>
        <w:t>multiplicative </w:t>
      </w:r>
      <w:r>
        <w:rPr>
          <w:spacing w:val="-2"/>
        </w:rPr>
        <w:t>aggregation.</w:t>
      </w:r>
    </w:p>
    <w:p>
      <w:pPr>
        <w:pStyle w:val="Heading1"/>
        <w:numPr>
          <w:ilvl w:val="3"/>
          <w:numId w:val="6"/>
        </w:numPr>
        <w:tabs>
          <w:tab w:pos="986" w:val="left" w:leader="none"/>
        </w:tabs>
        <w:spacing w:line="240" w:lineRule="auto" w:before="8" w:after="0"/>
        <w:ind w:left="986" w:right="0" w:hanging="719"/>
        <w:jc w:val="both"/>
      </w:pPr>
      <w:r>
        <w:rPr/>
        <w:t>Additive</w:t>
      </w:r>
      <w:r>
        <w:rPr>
          <w:spacing w:val="-1"/>
        </w:rPr>
        <w:t> </w:t>
      </w:r>
      <w:r>
        <w:rPr/>
        <w:t>aggregation</w:t>
      </w:r>
      <w:r>
        <w:rPr>
          <w:spacing w:val="1"/>
        </w:rPr>
        <w:t> </w:t>
      </w:r>
      <w:r>
        <w:rPr>
          <w:spacing w:val="-2"/>
        </w:rPr>
        <w:t>function</w:t>
      </w:r>
    </w:p>
    <w:p>
      <w:pPr>
        <w:pStyle w:val="BodyText"/>
        <w:spacing w:line="480" w:lineRule="auto" w:before="260"/>
        <w:ind w:left="267" w:right="724"/>
        <w:jc w:val="both"/>
      </w:pPr>
      <w:r>
        <w:rPr/>
        <w:t>Additive aggregation otherwise known as the </w:t>
      </w:r>
      <w:r>
        <w:rPr>
          <w:i/>
        </w:rPr>
        <w:t>weighted arithmetic mean </w:t>
      </w:r>
      <w:r>
        <w:rPr/>
        <w:t>method is the most commonly</w:t>
      </w:r>
      <w:r>
        <w:rPr>
          <w:spacing w:val="-15"/>
        </w:rPr>
        <w:t> </w:t>
      </w:r>
      <w:r>
        <w:rPr/>
        <w:t>used</w:t>
      </w:r>
      <w:r>
        <w:rPr>
          <w:spacing w:val="-8"/>
        </w:rPr>
        <w:t> </w:t>
      </w:r>
      <w:r>
        <w:rPr/>
        <w:t>aggregation</w:t>
      </w:r>
      <w:r>
        <w:rPr>
          <w:spacing w:val="-8"/>
        </w:rPr>
        <w:t> </w:t>
      </w:r>
      <w:r>
        <w:rPr/>
        <w:t>process</w:t>
      </w:r>
      <w:r>
        <w:rPr>
          <w:spacing w:val="-8"/>
        </w:rPr>
        <w:t> </w:t>
      </w:r>
      <w:r>
        <w:rPr/>
        <w:t>in</w:t>
      </w:r>
      <w:r>
        <w:rPr>
          <w:spacing w:val="-8"/>
        </w:rPr>
        <w:t> </w:t>
      </w:r>
      <w:r>
        <w:rPr/>
        <w:t>index</w:t>
      </w:r>
      <w:r>
        <w:rPr>
          <w:spacing w:val="-9"/>
        </w:rPr>
        <w:t> </w:t>
      </w:r>
      <w:r>
        <w:rPr/>
        <w:t>construction</w:t>
      </w:r>
      <w:r>
        <w:rPr>
          <w:spacing w:val="-8"/>
        </w:rPr>
        <w:t> </w:t>
      </w:r>
      <w:r>
        <w:rPr/>
        <w:t>(Jemmali</w:t>
      </w:r>
      <w:r>
        <w:rPr>
          <w:spacing w:val="-9"/>
        </w:rPr>
        <w:t> </w:t>
      </w:r>
      <w:r>
        <w:rPr/>
        <w:t>and</w:t>
      </w:r>
      <w:r>
        <w:rPr>
          <w:spacing w:val="-8"/>
        </w:rPr>
        <w:t> </w:t>
      </w:r>
      <w:r>
        <w:rPr/>
        <w:t>Matoussi,</w:t>
      </w:r>
      <w:r>
        <w:rPr>
          <w:spacing w:val="-8"/>
        </w:rPr>
        <w:t> </w:t>
      </w:r>
      <w:r>
        <w:rPr/>
        <w:t>2013;</w:t>
      </w:r>
      <w:r>
        <w:rPr>
          <w:spacing w:val="-8"/>
        </w:rPr>
        <w:t> </w:t>
      </w:r>
      <w:r>
        <w:rPr/>
        <w:t>El- Gafy,</w:t>
      </w:r>
      <w:r>
        <w:rPr>
          <w:spacing w:val="10"/>
        </w:rPr>
        <w:t> </w:t>
      </w:r>
      <w:r>
        <w:rPr/>
        <w:t>2018).</w:t>
      </w:r>
      <w:r>
        <w:rPr>
          <w:spacing w:val="58"/>
          <w:w w:val="150"/>
        </w:rPr>
        <w:t> </w:t>
      </w:r>
      <w:r>
        <w:rPr/>
        <w:t>It</w:t>
      </w:r>
      <w:r>
        <w:rPr>
          <w:spacing w:val="13"/>
        </w:rPr>
        <w:t> </w:t>
      </w:r>
      <w:r>
        <w:rPr/>
        <w:t>simply</w:t>
      </w:r>
      <w:r>
        <w:rPr>
          <w:spacing w:val="8"/>
        </w:rPr>
        <w:t> </w:t>
      </w:r>
      <w:r>
        <w:rPr/>
        <w:t>involves</w:t>
      </w:r>
      <w:r>
        <w:rPr>
          <w:spacing w:val="12"/>
        </w:rPr>
        <w:t> </w:t>
      </w:r>
      <w:r>
        <w:rPr/>
        <w:t>the</w:t>
      </w:r>
      <w:r>
        <w:rPr>
          <w:spacing w:val="12"/>
        </w:rPr>
        <w:t> </w:t>
      </w:r>
      <w:r>
        <w:rPr/>
        <w:t>addition</w:t>
      </w:r>
      <w:r>
        <w:rPr>
          <w:spacing w:val="13"/>
        </w:rPr>
        <w:t> </w:t>
      </w:r>
      <w:r>
        <w:rPr/>
        <w:t>of</w:t>
      </w:r>
      <w:r>
        <w:rPr>
          <w:spacing w:val="11"/>
        </w:rPr>
        <w:t> </w:t>
      </w:r>
      <w:r>
        <w:rPr/>
        <w:t>the</w:t>
      </w:r>
      <w:r>
        <w:rPr>
          <w:spacing w:val="12"/>
        </w:rPr>
        <w:t> </w:t>
      </w:r>
      <w:r>
        <w:rPr/>
        <w:t>component</w:t>
      </w:r>
      <w:r>
        <w:rPr>
          <w:spacing w:val="13"/>
        </w:rPr>
        <w:t> </w:t>
      </w:r>
      <w:r>
        <w:rPr/>
        <w:t>scores</w:t>
      </w:r>
      <w:r>
        <w:rPr>
          <w:spacing w:val="13"/>
        </w:rPr>
        <w:t> </w:t>
      </w:r>
      <w:r>
        <w:rPr/>
        <w:t>to</w:t>
      </w:r>
      <w:r>
        <w:rPr>
          <w:spacing w:val="13"/>
        </w:rPr>
        <w:t> </w:t>
      </w:r>
      <w:r>
        <w:rPr/>
        <w:t>arrive</w:t>
      </w:r>
      <w:r>
        <w:rPr>
          <w:spacing w:val="12"/>
        </w:rPr>
        <w:t> </w:t>
      </w:r>
      <w:r>
        <w:rPr/>
        <w:t>at</w:t>
      </w:r>
      <w:r>
        <w:rPr>
          <w:spacing w:val="13"/>
        </w:rPr>
        <w:t> </w:t>
      </w:r>
      <w:r>
        <w:rPr/>
        <w:t>the</w:t>
      </w:r>
      <w:r>
        <w:rPr>
          <w:spacing w:val="12"/>
        </w:rPr>
        <w:t> </w:t>
      </w:r>
      <w:r>
        <w:rPr>
          <w:spacing w:val="-2"/>
        </w:rPr>
        <w:t>final</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pPr>
      <w:r>
        <w:rPr/>
        <w:t>water</w:t>
      </w:r>
      <w:r>
        <w:rPr>
          <w:spacing w:val="-8"/>
        </w:rPr>
        <w:t> </w:t>
      </w:r>
      <w:r>
        <w:rPr/>
        <w:t>poverty</w:t>
      </w:r>
      <w:r>
        <w:rPr>
          <w:spacing w:val="-12"/>
        </w:rPr>
        <w:t> </w:t>
      </w:r>
      <w:r>
        <w:rPr/>
        <w:t>index</w:t>
      </w:r>
      <w:r>
        <w:rPr>
          <w:spacing w:val="-6"/>
        </w:rPr>
        <w:t> </w:t>
      </w:r>
      <w:r>
        <w:rPr/>
        <w:t>value.</w:t>
      </w:r>
      <w:r>
        <w:rPr>
          <w:spacing w:val="-5"/>
        </w:rPr>
        <w:t> </w:t>
      </w:r>
      <w:r>
        <w:rPr/>
        <w:t>In</w:t>
      </w:r>
      <w:r>
        <w:rPr>
          <w:spacing w:val="-7"/>
        </w:rPr>
        <w:t> </w:t>
      </w:r>
      <w:r>
        <w:rPr/>
        <w:t>numeric</w:t>
      </w:r>
      <w:r>
        <w:rPr>
          <w:spacing w:val="-8"/>
        </w:rPr>
        <w:t> </w:t>
      </w:r>
      <w:r>
        <w:rPr/>
        <w:t>terms,</w:t>
      </w:r>
      <w:r>
        <w:rPr>
          <w:spacing w:val="-7"/>
        </w:rPr>
        <w:t> </w:t>
      </w:r>
      <w:r>
        <w:rPr/>
        <w:t>the</w:t>
      </w:r>
      <w:r>
        <w:rPr>
          <w:spacing w:val="-8"/>
        </w:rPr>
        <w:t> </w:t>
      </w:r>
      <w:r>
        <w:rPr/>
        <w:t>additive</w:t>
      </w:r>
      <w:r>
        <w:rPr>
          <w:spacing w:val="-8"/>
        </w:rPr>
        <w:t> </w:t>
      </w:r>
      <w:r>
        <w:rPr/>
        <w:t>function</w:t>
      </w:r>
      <w:r>
        <w:rPr>
          <w:spacing w:val="-7"/>
        </w:rPr>
        <w:t> </w:t>
      </w:r>
      <w:r>
        <w:rPr/>
        <w:t>at</w:t>
      </w:r>
      <w:r>
        <w:rPr>
          <w:spacing w:val="-7"/>
        </w:rPr>
        <w:t> </w:t>
      </w:r>
      <w:r>
        <w:rPr/>
        <w:t>the</w:t>
      </w:r>
      <w:r>
        <w:rPr>
          <w:spacing w:val="-8"/>
        </w:rPr>
        <w:t> </w:t>
      </w:r>
      <w:r>
        <w:rPr/>
        <w:t>sub-component</w:t>
      </w:r>
      <w:r>
        <w:rPr>
          <w:spacing w:val="-7"/>
        </w:rPr>
        <w:t> </w:t>
      </w:r>
      <w:r>
        <w:rPr/>
        <w:t>and component level can be formulated in equation 2.5 and 2.6 respectively as follows:</w:t>
      </w:r>
    </w:p>
    <w:p>
      <w:pPr>
        <w:spacing w:after="0" w:line="480" w:lineRule="auto"/>
        <w:sectPr>
          <w:pgSz w:w="12240" w:h="15840"/>
          <w:pgMar w:header="0" w:footer="1068" w:top="1340" w:bottom="1260" w:left="1720" w:right="680"/>
        </w:sectPr>
      </w:pPr>
    </w:p>
    <w:p>
      <w:pPr>
        <w:spacing w:before="8"/>
        <w:ind w:left="267" w:right="0" w:firstLine="0"/>
        <w:jc w:val="left"/>
        <w:rPr>
          <w:rFonts w:ascii="Cambria Math" w:eastAsia="Cambria Math"/>
          <w:sz w:val="24"/>
        </w:rPr>
      </w:pPr>
      <w:r>
        <w:rPr>
          <w:rFonts w:ascii="Cambria Math" w:eastAsia="Cambria Math"/>
          <w:spacing w:val="-5"/>
          <w:sz w:val="24"/>
        </w:rPr>
        <w:t>𝑋</w:t>
      </w:r>
      <w:r>
        <w:rPr>
          <w:rFonts w:ascii="Cambria Math" w:eastAsia="Cambria Math"/>
          <w:spacing w:val="-5"/>
          <w:sz w:val="24"/>
          <w:vertAlign w:val="subscript"/>
        </w:rPr>
        <w:t>𝑖</w:t>
      </w:r>
    </w:p>
    <w:p>
      <w:pPr>
        <w:spacing w:line="240" w:lineRule="auto" w:before="0"/>
        <w:rPr>
          <w:rFonts w:ascii="Cambria Math"/>
          <w:sz w:val="17"/>
        </w:rPr>
      </w:pPr>
      <w:r>
        <w:rPr/>
        <w:br w:type="column"/>
      </w:r>
      <w:r>
        <w:rPr>
          <w:rFonts w:ascii="Cambria Math"/>
          <w:sz w:val="17"/>
        </w:rPr>
      </w:r>
    </w:p>
    <w:p>
      <w:pPr>
        <w:pStyle w:val="BodyText"/>
        <w:spacing w:before="127"/>
        <w:rPr>
          <w:rFonts w:ascii="Cambria Math"/>
          <w:sz w:val="17"/>
        </w:rPr>
      </w:pPr>
    </w:p>
    <w:p>
      <w:pPr>
        <w:spacing w:line="154" w:lineRule="exact" w:before="0"/>
        <w:ind w:left="106" w:right="0" w:firstLine="0"/>
        <w:jc w:val="left"/>
        <w:rPr>
          <w:rFonts w:ascii="Cambria Math" w:hAnsi="Cambria Math" w:eastAsia="Cambria Math"/>
          <w:sz w:val="17"/>
        </w:rPr>
      </w:pPr>
      <w:r>
        <w:rPr>
          <w:rFonts w:ascii="Cambria Math" w:hAnsi="Cambria Math" w:eastAsia="Cambria Math"/>
          <w:spacing w:val="-5"/>
          <w:position w:val="-7"/>
          <w:sz w:val="24"/>
        </w:rPr>
        <w:t>∑</w:t>
      </w:r>
      <w:r>
        <w:rPr>
          <w:rFonts w:ascii="Cambria Math" w:hAnsi="Cambria Math" w:eastAsia="Cambria Math"/>
          <w:spacing w:val="-5"/>
          <w:sz w:val="17"/>
        </w:rPr>
        <w:t>𝑧</w:t>
      </w:r>
    </w:p>
    <w:p>
      <w:pPr>
        <w:spacing w:line="240" w:lineRule="auto" w:before="0"/>
        <w:rPr>
          <w:rFonts w:ascii="Cambria Math"/>
          <w:sz w:val="17"/>
        </w:rPr>
      </w:pPr>
      <w:r>
        <w:rPr/>
        <w:br w:type="column"/>
      </w:r>
      <w:r>
        <w:rPr>
          <w:rFonts w:ascii="Cambria Math"/>
          <w:sz w:val="17"/>
        </w:rPr>
      </w:r>
    </w:p>
    <w:p>
      <w:pPr>
        <w:pStyle w:val="BodyText"/>
        <w:spacing w:before="152"/>
        <w:rPr>
          <w:rFonts w:ascii="Cambria Math"/>
          <w:sz w:val="17"/>
        </w:rPr>
      </w:pPr>
    </w:p>
    <w:p>
      <w:pPr>
        <w:spacing w:line="129" w:lineRule="exact" w:before="0"/>
        <w:ind w:left="215" w:right="0" w:firstLine="0"/>
        <w:jc w:val="left"/>
        <w:rPr>
          <w:rFonts w:ascii="Cambria Math" w:eastAsia="Cambria Math"/>
          <w:sz w:val="24"/>
        </w:rPr>
      </w:pPr>
      <w:r>
        <w:rPr>
          <w:rFonts w:ascii="Cambria Math" w:eastAsia="Cambria Math"/>
          <w:spacing w:val="-4"/>
          <w:w w:val="105"/>
          <w:sz w:val="24"/>
        </w:rPr>
        <w:t>𝑊</w:t>
      </w:r>
      <w:r>
        <w:rPr>
          <w:rFonts w:ascii="Cambria Math" w:eastAsia="Cambria Math"/>
          <w:spacing w:val="-4"/>
          <w:w w:val="105"/>
          <w:sz w:val="24"/>
          <w:vertAlign w:val="subscript"/>
        </w:rPr>
        <w:t>𝑠</w:t>
      </w:r>
      <w:r>
        <w:rPr>
          <w:rFonts w:ascii="Cambria Math" w:eastAsia="Cambria Math"/>
          <w:spacing w:val="-4"/>
          <w:w w:val="105"/>
          <w:sz w:val="24"/>
          <w:vertAlign w:val="baseline"/>
        </w:rPr>
        <w:t>𝑥</w:t>
      </w:r>
      <w:r>
        <w:rPr>
          <w:rFonts w:ascii="Cambria Math" w:eastAsia="Cambria Math"/>
          <w:spacing w:val="-4"/>
          <w:w w:val="105"/>
          <w:sz w:val="24"/>
          <w:vertAlign w:val="subscript"/>
        </w:rPr>
        <w:t>𝑠</w:t>
      </w:r>
    </w:p>
    <w:p>
      <w:pPr>
        <w:spacing w:after="0" w:line="129" w:lineRule="exact"/>
        <w:jc w:val="left"/>
        <w:rPr>
          <w:rFonts w:ascii="Cambria Math" w:eastAsia="Cambria Math"/>
          <w:sz w:val="24"/>
        </w:rPr>
        <w:sectPr>
          <w:type w:val="continuous"/>
          <w:pgSz w:w="12240" w:h="15840"/>
          <w:pgMar w:header="0" w:footer="1068" w:top="1340" w:bottom="1260" w:left="1720" w:right="680"/>
          <w:cols w:num="3" w:equalWidth="0">
            <w:col w:w="474" w:space="40"/>
            <w:col w:w="368" w:space="39"/>
            <w:col w:w="8919"/>
          </w:cols>
        </w:sectPr>
      </w:pPr>
    </w:p>
    <w:p>
      <w:pPr>
        <w:tabs>
          <w:tab w:pos="1630" w:val="left" w:leader="none"/>
        </w:tabs>
        <w:spacing w:line="88" w:lineRule="auto" w:before="51"/>
        <w:ind w:left="267" w:right="0" w:firstLine="0"/>
        <w:jc w:val="left"/>
        <w:rPr>
          <w:rFonts w:ascii="Cambria Math" w:eastAsia="Cambria Math"/>
          <w:sz w:val="17"/>
        </w:rPr>
      </w:pPr>
      <w:r>
        <w:rPr>
          <w:rFonts w:ascii="Cambria Math" w:eastAsia="Cambria Math"/>
          <w:position w:val="-12"/>
          <w:sz w:val="24"/>
        </w:rPr>
        <w:t>=</w:t>
      </w:r>
      <w:r>
        <w:rPr>
          <w:rFonts w:ascii="Cambria Math" w:eastAsia="Cambria Math"/>
          <w:spacing w:val="119"/>
          <w:position w:val="-12"/>
          <w:sz w:val="24"/>
        </w:rPr>
        <w:t> </w:t>
      </w:r>
      <w:r>
        <w:rPr>
          <w:spacing w:val="105"/>
          <w:w w:val="150"/>
          <w:sz w:val="17"/>
          <w:u w:val="single"/>
        </w:rPr>
        <w:t> </w:t>
      </w:r>
      <w:r>
        <w:rPr>
          <w:rFonts w:ascii="Cambria Math" w:eastAsia="Cambria Math"/>
          <w:spacing w:val="-5"/>
          <w:sz w:val="17"/>
          <w:u w:val="single"/>
        </w:rPr>
        <w:t>𝑠=1</w:t>
      </w:r>
      <w:r>
        <w:rPr>
          <w:rFonts w:ascii="Cambria Math" w:eastAsia="Cambria Math"/>
          <w:sz w:val="17"/>
          <w:u w:val="single"/>
        </w:rPr>
        <w:tab/>
      </w:r>
    </w:p>
    <w:p>
      <w:pPr>
        <w:pStyle w:val="BodyText"/>
        <w:spacing w:line="178" w:lineRule="exact" w:before="44"/>
        <w:ind w:left="267"/>
        <w:rPr>
          <w:rFonts w:ascii="Cambria Math"/>
        </w:rPr>
      </w:pPr>
      <w:r>
        <w:rPr/>
        <w:br w:type="column"/>
      </w:r>
      <w:r>
        <w:rPr>
          <w:rFonts w:ascii="Cambria Math"/>
          <w:spacing w:val="-2"/>
          <w:position w:val="1"/>
        </w:rPr>
        <w:t>(</w:t>
      </w:r>
      <w:r>
        <w:rPr>
          <w:rFonts w:ascii="Cambria Math"/>
          <w:spacing w:val="-2"/>
        </w:rPr>
        <w:t>2.5</w:t>
      </w:r>
      <w:r>
        <w:rPr>
          <w:rFonts w:ascii="Cambria Math"/>
          <w:spacing w:val="-2"/>
          <w:position w:val="1"/>
        </w:rPr>
        <w:t>)</w:t>
      </w:r>
    </w:p>
    <w:p>
      <w:pPr>
        <w:spacing w:after="0" w:line="178" w:lineRule="exact"/>
        <w:rPr>
          <w:rFonts w:ascii="Cambria Math"/>
        </w:rPr>
        <w:sectPr>
          <w:type w:val="continuous"/>
          <w:pgSz w:w="12240" w:h="15840"/>
          <w:pgMar w:header="0" w:footer="1068" w:top="1340" w:bottom="1260" w:left="1720" w:right="680"/>
          <w:cols w:num="2" w:equalWidth="0">
            <w:col w:w="1671" w:space="6656"/>
            <w:col w:w="1513"/>
          </w:cols>
        </w:sectPr>
      </w:pPr>
    </w:p>
    <w:p>
      <w:pPr>
        <w:spacing w:line="145" w:lineRule="exact" w:before="0"/>
        <w:ind w:left="874" w:right="0" w:firstLine="0"/>
        <w:jc w:val="left"/>
        <w:rPr>
          <w:rFonts w:ascii="Cambria Math" w:eastAsia="Cambria Math"/>
          <w:sz w:val="17"/>
        </w:rPr>
      </w:pPr>
      <w:r>
        <w:rPr/>
        <mc:AlternateContent>
          <mc:Choice Requires="wps">
            <w:drawing>
              <wp:anchor distT="0" distB="0" distL="0" distR="0" allowOverlap="1" layoutInCell="1" locked="0" behindDoc="0" simplePos="0" relativeHeight="15744512">
                <wp:simplePos x="0" y="0"/>
                <wp:positionH relativeFrom="page">
                  <wp:posOffset>1539494</wp:posOffset>
                </wp:positionH>
                <wp:positionV relativeFrom="paragraph">
                  <wp:posOffset>15814</wp:posOffset>
                </wp:positionV>
                <wp:extent cx="108585" cy="1524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08585" cy="152400"/>
                        </a:xfrm>
                        <a:prstGeom prst="rect">
                          <a:avLst/>
                        </a:prstGeom>
                      </wps:spPr>
                      <wps:txbx>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w:pict>
              <v:shape style="position:absolute;margin-left:121.220001pt;margin-top:1.245225pt;width:8.550pt;height:12pt;mso-position-horizontal-relative:page;mso-position-vertical-relative:paragraph;z-index:15744512" type="#_x0000_t202" id="docshape70"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v:textbox>
                <w10:wrap type="none"/>
              </v:shape>
            </w:pict>
          </mc:Fallback>
        </mc:AlternateContent>
      </w:r>
      <w:r>
        <w:rPr>
          <w:rFonts w:ascii="Cambria Math" w:eastAsia="Cambria Math"/>
          <w:spacing w:val="-10"/>
          <w:w w:val="110"/>
          <w:sz w:val="17"/>
        </w:rPr>
        <w:t>𝑧</w:t>
      </w:r>
    </w:p>
    <w:p>
      <w:pPr>
        <w:spacing w:line="174" w:lineRule="exact" w:before="0"/>
        <w:ind w:left="874" w:right="0" w:firstLine="0"/>
        <w:jc w:val="left"/>
        <w:rPr>
          <w:rFonts w:ascii="Cambria Math" w:eastAsia="Cambria Math"/>
          <w:sz w:val="17"/>
        </w:rPr>
      </w:pPr>
      <w:r>
        <w:rPr>
          <w:rFonts w:ascii="Cambria Math" w:eastAsia="Cambria Math"/>
          <w:spacing w:val="-5"/>
          <w:sz w:val="17"/>
        </w:rPr>
        <w:t>𝑠=1</w:t>
      </w:r>
    </w:p>
    <w:p>
      <w:pPr>
        <w:spacing w:line="275" w:lineRule="exact" w:before="0"/>
        <w:ind w:left="0" w:right="0" w:firstLine="0"/>
        <w:jc w:val="left"/>
        <w:rPr>
          <w:rFonts w:ascii="Cambria Math" w:eastAsia="Cambria Math"/>
          <w:sz w:val="24"/>
        </w:rPr>
      </w:pPr>
      <w:r>
        <w:rPr/>
        <w:br w:type="column"/>
      </w:r>
      <w:r>
        <w:rPr>
          <w:rFonts w:ascii="Cambria Math" w:eastAsia="Cambria Math"/>
          <w:spacing w:val="-5"/>
          <w:w w:val="105"/>
          <w:sz w:val="24"/>
        </w:rPr>
        <w:t>𝑊</w:t>
      </w:r>
      <w:r>
        <w:rPr>
          <w:rFonts w:ascii="Cambria Math" w:eastAsia="Cambria Math"/>
          <w:spacing w:val="-5"/>
          <w:w w:val="105"/>
          <w:sz w:val="24"/>
          <w:vertAlign w:val="subscript"/>
        </w:rPr>
        <w:t>𝑠</w:t>
      </w:r>
    </w:p>
    <w:p>
      <w:pPr>
        <w:spacing w:after="0" w:line="275" w:lineRule="exact"/>
        <w:jc w:val="left"/>
        <w:rPr>
          <w:rFonts w:ascii="Cambria Math" w:eastAsia="Cambria Math"/>
          <w:sz w:val="24"/>
        </w:rPr>
        <w:sectPr>
          <w:type w:val="continuous"/>
          <w:pgSz w:w="12240" w:h="15840"/>
          <w:pgMar w:header="0" w:footer="1068" w:top="1340" w:bottom="1260" w:left="1720" w:right="680"/>
          <w:cols w:num="2" w:equalWidth="0">
            <w:col w:w="1183" w:space="38"/>
            <w:col w:w="8619"/>
          </w:cols>
        </w:sectPr>
      </w:pPr>
    </w:p>
    <w:p>
      <w:pPr>
        <w:pStyle w:val="BodyText"/>
        <w:rPr>
          <w:rFonts w:ascii="Cambria Math"/>
          <w:sz w:val="20"/>
        </w:rPr>
      </w:pPr>
    </w:p>
    <w:p>
      <w:pPr>
        <w:pStyle w:val="BodyText"/>
        <w:rPr>
          <w:rFonts w:ascii="Cambria Math"/>
          <w:sz w:val="20"/>
        </w:rPr>
      </w:pPr>
    </w:p>
    <w:p>
      <w:pPr>
        <w:pStyle w:val="BodyText"/>
        <w:spacing w:before="37"/>
        <w:rPr>
          <w:rFonts w:ascii="Cambria Math"/>
          <w:sz w:val="20"/>
        </w:rPr>
      </w:pPr>
    </w:p>
    <w:p>
      <w:pPr>
        <w:spacing w:after="0"/>
        <w:rPr>
          <w:rFonts w:ascii="Cambria Math"/>
          <w:sz w:val="20"/>
        </w:rPr>
        <w:sectPr>
          <w:type w:val="continuous"/>
          <w:pgSz w:w="12240" w:h="15840"/>
          <w:pgMar w:header="0" w:footer="1068" w:top="1340" w:bottom="1260" w:left="1720" w:right="680"/>
        </w:sectPr>
      </w:pPr>
    </w:p>
    <w:p>
      <w:pPr>
        <w:spacing w:before="59"/>
        <w:ind w:left="267" w:right="0" w:firstLine="0"/>
        <w:jc w:val="left"/>
        <w:rPr>
          <w:rFonts w:ascii="Cambria Math" w:eastAsia="Cambria Math"/>
          <w:sz w:val="24"/>
        </w:rPr>
      </w:pPr>
      <w:r>
        <w:rPr>
          <w:rFonts w:ascii="Cambria Math" w:eastAsia="Cambria Math"/>
          <w:spacing w:val="-5"/>
          <w:sz w:val="24"/>
        </w:rPr>
        <w:t>𝑊𝑃𝐼</w:t>
      </w:r>
    </w:p>
    <w:p>
      <w:pPr>
        <w:spacing w:line="166" w:lineRule="exact" w:before="237"/>
        <w:ind w:left="0" w:right="0" w:firstLine="0"/>
        <w:jc w:val="right"/>
        <w:rPr>
          <w:rFonts w:ascii="Cambria Math" w:hAnsi="Cambria Math" w:eastAsia="Cambria Math"/>
          <w:sz w:val="17"/>
        </w:rPr>
      </w:pPr>
      <w:r>
        <w:rPr>
          <w:rFonts w:ascii="Cambria Math" w:hAnsi="Cambria Math" w:eastAsia="Cambria Math"/>
          <w:spacing w:val="-5"/>
          <w:w w:val="105"/>
          <w:position w:val="-8"/>
          <w:sz w:val="24"/>
        </w:rPr>
        <w:t>∑</w:t>
      </w:r>
      <w:r>
        <w:rPr>
          <w:rFonts w:ascii="Cambria Math" w:hAnsi="Cambria Math" w:eastAsia="Cambria Math"/>
          <w:spacing w:val="-5"/>
          <w:w w:val="105"/>
          <w:sz w:val="17"/>
        </w:rPr>
        <w:t>𝑛</w:t>
      </w:r>
    </w:p>
    <w:p>
      <w:pPr>
        <w:spacing w:line="240" w:lineRule="auto" w:before="0"/>
        <w:rPr>
          <w:rFonts w:ascii="Cambria Math"/>
          <w:sz w:val="17"/>
        </w:rPr>
      </w:pPr>
      <w:r>
        <w:rPr/>
        <w:br w:type="column"/>
      </w:r>
      <w:r>
        <w:rPr>
          <w:rFonts w:ascii="Cambria Math"/>
          <w:sz w:val="17"/>
        </w:rPr>
      </w:r>
    </w:p>
    <w:p>
      <w:pPr>
        <w:pStyle w:val="BodyText"/>
        <w:rPr>
          <w:rFonts w:ascii="Cambria Math"/>
          <w:sz w:val="17"/>
        </w:rPr>
      </w:pPr>
    </w:p>
    <w:p>
      <w:pPr>
        <w:pStyle w:val="BodyText"/>
        <w:spacing w:before="11"/>
        <w:rPr>
          <w:rFonts w:ascii="Cambria Math"/>
          <w:sz w:val="17"/>
        </w:rPr>
      </w:pPr>
    </w:p>
    <w:p>
      <w:pPr>
        <w:spacing w:line="134" w:lineRule="exact" w:before="0"/>
        <w:ind w:left="175" w:right="0" w:firstLine="0"/>
        <w:jc w:val="left"/>
        <w:rPr>
          <w:rFonts w:ascii="Cambria Math" w:eastAsia="Cambria Math"/>
          <w:sz w:val="24"/>
        </w:rPr>
      </w:pPr>
      <w:r>
        <w:rPr>
          <w:rFonts w:ascii="Cambria Math" w:eastAsia="Cambria Math"/>
          <w:spacing w:val="-4"/>
          <w:w w:val="110"/>
          <w:sz w:val="24"/>
        </w:rPr>
        <w:t>𝑊</w:t>
      </w:r>
      <w:r>
        <w:rPr>
          <w:rFonts w:ascii="Cambria Math" w:eastAsia="Cambria Math"/>
          <w:spacing w:val="-4"/>
          <w:w w:val="110"/>
          <w:sz w:val="24"/>
          <w:vertAlign w:val="subscript"/>
        </w:rPr>
        <w:t>𝑖</w:t>
      </w:r>
      <w:r>
        <w:rPr>
          <w:rFonts w:ascii="Cambria Math" w:eastAsia="Cambria Math"/>
          <w:spacing w:val="-4"/>
          <w:w w:val="110"/>
          <w:sz w:val="24"/>
          <w:vertAlign w:val="baseline"/>
        </w:rPr>
        <w:t>𝑋</w:t>
      </w:r>
      <w:r>
        <w:rPr>
          <w:rFonts w:ascii="Cambria Math" w:eastAsia="Cambria Math"/>
          <w:spacing w:val="-4"/>
          <w:w w:val="110"/>
          <w:sz w:val="24"/>
          <w:vertAlign w:val="subscript"/>
        </w:rPr>
        <w:t>𝑖</w:t>
      </w:r>
    </w:p>
    <w:p>
      <w:pPr>
        <w:spacing w:after="0" w:line="134" w:lineRule="exact"/>
        <w:jc w:val="left"/>
        <w:rPr>
          <w:rFonts w:ascii="Cambria Math" w:eastAsia="Cambria Math"/>
          <w:sz w:val="24"/>
        </w:rPr>
        <w:sectPr>
          <w:type w:val="continuous"/>
          <w:pgSz w:w="12240" w:h="15840"/>
          <w:pgMar w:header="0" w:footer="1068" w:top="1340" w:bottom="1260" w:left="1720" w:right="680"/>
          <w:cols w:num="2" w:equalWidth="0">
            <w:col w:w="902" w:space="40"/>
            <w:col w:w="8898"/>
          </w:cols>
        </w:sectPr>
      </w:pPr>
    </w:p>
    <w:p>
      <w:pPr>
        <w:tabs>
          <w:tab w:pos="1609" w:val="left" w:leader="none"/>
        </w:tabs>
        <w:spacing w:line="84" w:lineRule="auto" w:before="59"/>
        <w:ind w:left="267" w:right="0" w:firstLine="0"/>
        <w:jc w:val="left"/>
        <w:rPr>
          <w:rFonts w:ascii="Cambria Math" w:eastAsia="Cambria Math"/>
          <w:sz w:val="17"/>
        </w:rPr>
      </w:pPr>
      <w:r>
        <w:rPr>
          <w:rFonts w:ascii="Cambria Math" w:eastAsia="Cambria Math"/>
          <w:position w:val="-11"/>
          <w:sz w:val="24"/>
        </w:rPr>
        <w:t>=</w:t>
      </w:r>
      <w:r>
        <w:rPr>
          <w:rFonts w:ascii="Cambria Math" w:eastAsia="Cambria Math"/>
          <w:spacing w:val="119"/>
          <w:position w:val="-11"/>
          <w:sz w:val="24"/>
        </w:rPr>
        <w:t> </w:t>
      </w:r>
      <w:r>
        <w:rPr>
          <w:spacing w:val="105"/>
          <w:w w:val="150"/>
          <w:sz w:val="17"/>
          <w:u w:val="single"/>
        </w:rPr>
        <w:t> </w:t>
      </w:r>
      <w:r>
        <w:rPr>
          <w:rFonts w:ascii="Cambria Math" w:eastAsia="Cambria Math"/>
          <w:spacing w:val="-5"/>
          <w:sz w:val="17"/>
          <w:u w:val="single"/>
        </w:rPr>
        <w:t>𝑖=1</w:t>
      </w:r>
      <w:r>
        <w:rPr>
          <w:rFonts w:ascii="Cambria Math" w:eastAsia="Cambria Math"/>
          <w:sz w:val="17"/>
          <w:u w:val="single"/>
        </w:rPr>
        <w:tab/>
      </w:r>
    </w:p>
    <w:p>
      <w:pPr>
        <w:pStyle w:val="BodyText"/>
        <w:spacing w:line="175" w:lineRule="exact" w:before="39"/>
        <w:ind w:left="267"/>
        <w:rPr>
          <w:rFonts w:ascii="Cambria Math"/>
        </w:rPr>
      </w:pPr>
      <w:r>
        <w:rPr/>
        <w:br w:type="column"/>
      </w:r>
      <w:r>
        <w:rPr>
          <w:rFonts w:ascii="Cambria Math"/>
          <w:spacing w:val="-2"/>
          <w:position w:val="1"/>
        </w:rPr>
        <w:t>(</w:t>
      </w:r>
      <w:r>
        <w:rPr>
          <w:rFonts w:ascii="Cambria Math"/>
          <w:spacing w:val="-2"/>
        </w:rPr>
        <w:t>2.6</w:t>
      </w:r>
      <w:r>
        <w:rPr>
          <w:rFonts w:ascii="Cambria Math"/>
          <w:spacing w:val="-2"/>
          <w:position w:val="1"/>
        </w:rPr>
        <w:t>)</w:t>
      </w:r>
    </w:p>
    <w:p>
      <w:pPr>
        <w:spacing w:after="0" w:line="175" w:lineRule="exact"/>
        <w:rPr>
          <w:rFonts w:ascii="Cambria Math"/>
        </w:rPr>
        <w:sectPr>
          <w:type w:val="continuous"/>
          <w:pgSz w:w="12240" w:h="15840"/>
          <w:pgMar w:header="0" w:footer="1068" w:top="1340" w:bottom="1260" w:left="1720" w:right="680"/>
          <w:cols w:num="2" w:equalWidth="0">
            <w:col w:w="1650" w:space="6392"/>
            <w:col w:w="1798"/>
          </w:cols>
        </w:sectPr>
      </w:pPr>
    </w:p>
    <w:p>
      <w:pPr>
        <w:spacing w:line="150" w:lineRule="exact" w:before="0"/>
        <w:ind w:left="874" w:right="0" w:firstLine="0"/>
        <w:jc w:val="left"/>
        <w:rPr>
          <w:rFonts w:ascii="Cambria Math" w:eastAsia="Cambria Math"/>
          <w:sz w:val="17"/>
        </w:rPr>
      </w:pPr>
      <w:r>
        <w:rPr/>
        <mc:AlternateContent>
          <mc:Choice Requires="wps">
            <w:drawing>
              <wp:anchor distT="0" distB="0" distL="0" distR="0" allowOverlap="1" layoutInCell="1" locked="0" behindDoc="0" simplePos="0" relativeHeight="15745024">
                <wp:simplePos x="0" y="0"/>
                <wp:positionH relativeFrom="page">
                  <wp:posOffset>1539494</wp:posOffset>
                </wp:positionH>
                <wp:positionV relativeFrom="paragraph">
                  <wp:posOffset>17382</wp:posOffset>
                </wp:positionV>
                <wp:extent cx="108585" cy="1524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08585" cy="152400"/>
                        </a:xfrm>
                        <a:prstGeom prst="rect">
                          <a:avLst/>
                        </a:prstGeom>
                      </wps:spPr>
                      <wps:txbx>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w:pict>
              <v:shape style="position:absolute;margin-left:121.220001pt;margin-top:1.36873pt;width:8.550pt;height:12pt;mso-position-horizontal-relative:page;mso-position-vertical-relative:paragraph;z-index:15745024" type="#_x0000_t202" id="docshape71"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v:textbox>
                <w10:wrap type="none"/>
              </v:shape>
            </w:pict>
          </mc:Fallback>
        </mc:AlternateContent>
      </w:r>
      <w:r>
        <w:rPr>
          <w:rFonts w:ascii="Cambria Math" w:eastAsia="Cambria Math"/>
          <w:spacing w:val="-10"/>
          <w:w w:val="115"/>
          <w:sz w:val="17"/>
        </w:rPr>
        <w:t>𝑛</w:t>
      </w:r>
    </w:p>
    <w:p>
      <w:pPr>
        <w:spacing w:line="179" w:lineRule="exact" w:before="0"/>
        <w:ind w:left="874" w:right="0" w:firstLine="0"/>
        <w:jc w:val="left"/>
        <w:rPr>
          <w:rFonts w:ascii="Cambria Math" w:eastAsia="Cambria Math"/>
          <w:sz w:val="17"/>
        </w:rPr>
      </w:pPr>
      <w:r>
        <w:rPr>
          <w:rFonts w:ascii="Cambria Math" w:eastAsia="Cambria Math"/>
          <w:spacing w:val="-5"/>
          <w:sz w:val="17"/>
        </w:rPr>
        <w:t>𝑖=1</w:t>
      </w:r>
    </w:p>
    <w:p>
      <w:pPr>
        <w:spacing w:line="277" w:lineRule="exact" w:before="0"/>
        <w:ind w:left="0" w:right="0" w:firstLine="0"/>
        <w:jc w:val="left"/>
        <w:rPr>
          <w:rFonts w:ascii="Cambria Math" w:eastAsia="Cambria Math"/>
          <w:sz w:val="24"/>
        </w:rPr>
      </w:pPr>
      <w:r>
        <w:rPr/>
        <w:br w:type="column"/>
      </w:r>
      <w:r>
        <w:rPr>
          <w:rFonts w:ascii="Cambria Math" w:eastAsia="Cambria Math"/>
          <w:spacing w:val="-5"/>
          <w:w w:val="110"/>
          <w:sz w:val="24"/>
        </w:rPr>
        <w:t>𝑊</w:t>
      </w:r>
      <w:r>
        <w:rPr>
          <w:rFonts w:ascii="Cambria Math" w:eastAsia="Cambria Math"/>
          <w:spacing w:val="-5"/>
          <w:w w:val="110"/>
          <w:sz w:val="24"/>
          <w:vertAlign w:val="subscript"/>
        </w:rPr>
        <w:t>𝑖</w:t>
      </w:r>
    </w:p>
    <w:p>
      <w:pPr>
        <w:spacing w:after="0" w:line="277" w:lineRule="exact"/>
        <w:jc w:val="left"/>
        <w:rPr>
          <w:rFonts w:ascii="Cambria Math" w:eastAsia="Cambria Math"/>
          <w:sz w:val="24"/>
        </w:rPr>
        <w:sectPr>
          <w:type w:val="continuous"/>
          <w:pgSz w:w="12240" w:h="15840"/>
          <w:pgMar w:header="0" w:footer="1068" w:top="1340" w:bottom="1260" w:left="1720" w:right="680"/>
          <w:cols w:num="2" w:equalWidth="0">
            <w:col w:w="1161" w:space="40"/>
            <w:col w:w="8639"/>
          </w:cols>
        </w:sectPr>
      </w:pPr>
    </w:p>
    <w:p>
      <w:pPr>
        <w:pStyle w:val="BodyText"/>
        <w:rPr>
          <w:rFonts w:ascii="Cambria Math"/>
        </w:rPr>
      </w:pPr>
    </w:p>
    <w:p>
      <w:pPr>
        <w:pStyle w:val="BodyText"/>
        <w:spacing w:before="229"/>
        <w:rPr>
          <w:rFonts w:ascii="Cambria Math"/>
        </w:rPr>
      </w:pPr>
    </w:p>
    <w:p>
      <w:pPr>
        <w:pStyle w:val="BodyText"/>
        <w:spacing w:line="480" w:lineRule="auto" w:before="1"/>
        <w:ind w:left="267" w:right="726"/>
        <w:jc w:val="both"/>
      </w:pPr>
      <w:r>
        <w:rPr/>
        <w:t>In equation 2.5,</w:t>
      </w:r>
      <w:r>
        <w:rPr>
          <w:spacing w:val="40"/>
        </w:rPr>
        <w:t> </w:t>
      </w:r>
      <w:r>
        <w:rPr>
          <w:rFonts w:ascii="Cambria Math" w:eastAsia="Cambria Math"/>
        </w:rPr>
        <w:t>𝑋</w:t>
      </w:r>
      <w:r>
        <w:rPr>
          <w:rFonts w:ascii="Cambria Math" w:eastAsia="Cambria Math"/>
          <w:vertAlign w:val="subscript"/>
        </w:rPr>
        <w:t>𝑖</w:t>
      </w:r>
      <w:r>
        <w:rPr>
          <w:rFonts w:ascii="Cambria Math" w:eastAsia="Cambria Math"/>
          <w:vertAlign w:val="baseline"/>
        </w:rPr>
        <w:t> </w:t>
      </w:r>
      <w:r>
        <w:rPr>
          <w:vertAlign w:val="baseline"/>
        </w:rPr>
        <w:t>is the WPI component </w:t>
      </w:r>
      <w:r>
        <w:rPr>
          <w:rFonts w:ascii="Cambria Math" w:eastAsia="Cambria Math"/>
          <w:vertAlign w:val="baseline"/>
        </w:rPr>
        <w:t>𝑖 </w:t>
      </w:r>
      <w:r>
        <w:rPr>
          <w:vertAlign w:val="baseline"/>
        </w:rPr>
        <w:t>(Resource, Access, Use, Capacity and Environment), </w:t>
      </w:r>
      <w:r>
        <w:rPr>
          <w:rFonts w:ascii="Cambria Math" w:eastAsia="Cambria Math"/>
          <w:vertAlign w:val="baseline"/>
        </w:rPr>
        <w:t>𝑊</w:t>
      </w:r>
      <w:r>
        <w:rPr>
          <w:rFonts w:ascii="Cambria Math" w:eastAsia="Cambria Math"/>
          <w:vertAlign w:val="subscript"/>
        </w:rPr>
        <w:t>𝑠</w:t>
      </w:r>
      <w:r>
        <w:rPr>
          <w:rFonts w:ascii="Cambria Math" w:eastAsia="Cambria Math"/>
          <w:vertAlign w:val="baseline"/>
        </w:rPr>
        <w:t> </w:t>
      </w:r>
      <w:r>
        <w:rPr>
          <w:vertAlign w:val="baseline"/>
        </w:rPr>
        <w:t>is the weight assigned at each sub-component, </w:t>
      </w:r>
      <w:r>
        <w:rPr>
          <w:rFonts w:ascii="Cambria Math" w:eastAsia="Cambria Math"/>
          <w:vertAlign w:val="baseline"/>
        </w:rPr>
        <w:t>𝑥</w:t>
      </w:r>
      <w:r>
        <w:rPr>
          <w:rFonts w:ascii="Cambria Math" w:eastAsia="Cambria Math"/>
          <w:vertAlign w:val="subscript"/>
        </w:rPr>
        <w:t>𝑠</w:t>
      </w:r>
      <w:r>
        <w:rPr>
          <w:rFonts w:ascii="Cambria Math" w:eastAsia="Cambria Math"/>
          <w:vertAlign w:val="baseline"/>
        </w:rPr>
        <w:t> </w:t>
      </w:r>
      <w:r>
        <w:rPr>
          <w:vertAlign w:val="baseline"/>
        </w:rPr>
        <w:t>is the respective WPI sub-component and</w:t>
      </w:r>
      <w:r>
        <w:rPr>
          <w:spacing w:val="40"/>
          <w:vertAlign w:val="baseline"/>
        </w:rPr>
        <w:t> </w:t>
      </w:r>
      <w:r>
        <w:rPr>
          <w:rFonts w:ascii="Cambria Math" w:eastAsia="Cambria Math"/>
          <w:vertAlign w:val="baseline"/>
        </w:rPr>
        <w:t>𝑧 </w:t>
      </w:r>
      <w:r>
        <w:rPr>
          <w:vertAlign w:val="baseline"/>
        </w:rPr>
        <w:t>is the number of WPI sub-components. In equation 2.6,</w:t>
      </w:r>
      <w:r>
        <w:rPr>
          <w:spacing w:val="40"/>
          <w:vertAlign w:val="baseline"/>
        </w:rPr>
        <w:t> </w:t>
      </w:r>
      <w:r>
        <w:rPr>
          <w:rFonts w:ascii="Cambria Math" w:eastAsia="Cambria Math"/>
          <w:vertAlign w:val="baseline"/>
        </w:rPr>
        <w:t>𝑊𝑃𝐼 </w:t>
      </w:r>
      <w:r>
        <w:rPr>
          <w:vertAlign w:val="baseline"/>
        </w:rPr>
        <w:t>is the water poverty index value for a particular locality, </w:t>
      </w:r>
      <w:r>
        <w:rPr>
          <w:rFonts w:ascii="Cambria Math" w:eastAsia="Cambria Math"/>
          <w:vertAlign w:val="baseline"/>
        </w:rPr>
        <w:t>𝑊</w:t>
      </w:r>
      <w:r>
        <w:rPr>
          <w:rFonts w:ascii="Cambria Math" w:eastAsia="Cambria Math"/>
          <w:vertAlign w:val="subscript"/>
        </w:rPr>
        <w:t>𝑖</w:t>
      </w:r>
      <w:r>
        <w:rPr>
          <w:rFonts w:ascii="Cambria Math" w:eastAsia="Cambria Math"/>
          <w:vertAlign w:val="baseline"/>
        </w:rPr>
        <w:t> </w:t>
      </w:r>
      <w:r>
        <w:rPr>
          <w:vertAlign w:val="baseline"/>
        </w:rPr>
        <w:t>is the weight applied to each component,</w:t>
      </w:r>
      <w:r>
        <w:rPr>
          <w:spacing w:val="-3"/>
          <w:vertAlign w:val="baseline"/>
        </w:rPr>
        <w:t> </w:t>
      </w:r>
      <w:r>
        <w:rPr>
          <w:rFonts w:ascii="Cambria Math" w:eastAsia="Cambria Math"/>
          <w:vertAlign w:val="baseline"/>
        </w:rPr>
        <w:t>𝑋</w:t>
      </w:r>
      <w:r>
        <w:rPr>
          <w:rFonts w:ascii="Cambria Math" w:eastAsia="Cambria Math"/>
          <w:vertAlign w:val="subscript"/>
        </w:rPr>
        <w:t>𝑖</w:t>
      </w:r>
      <w:r>
        <w:rPr>
          <w:rFonts w:ascii="Cambria Math" w:eastAsia="Cambria Math"/>
          <w:spacing w:val="17"/>
          <w:vertAlign w:val="baseline"/>
        </w:rPr>
        <w:t> </w:t>
      </w:r>
      <w:r>
        <w:rPr>
          <w:vertAlign w:val="baseline"/>
        </w:rPr>
        <w:t>is</w:t>
      </w:r>
      <w:r>
        <w:rPr>
          <w:spacing w:val="-3"/>
          <w:vertAlign w:val="baseline"/>
        </w:rPr>
        <w:t> </w:t>
      </w:r>
      <w:r>
        <w:rPr>
          <w:vertAlign w:val="baseline"/>
        </w:rPr>
        <w:t>the</w:t>
      </w:r>
      <w:r>
        <w:rPr>
          <w:spacing w:val="-4"/>
          <w:vertAlign w:val="baseline"/>
        </w:rPr>
        <w:t> </w:t>
      </w:r>
      <w:r>
        <w:rPr>
          <w:vertAlign w:val="baseline"/>
        </w:rPr>
        <w:t>WPI</w:t>
      </w:r>
      <w:r>
        <w:rPr>
          <w:spacing w:val="-9"/>
          <w:vertAlign w:val="baseline"/>
        </w:rPr>
        <w:t> </w:t>
      </w:r>
      <w:r>
        <w:rPr>
          <w:vertAlign w:val="baseline"/>
        </w:rPr>
        <w:t>component</w:t>
      </w:r>
      <w:r>
        <w:rPr>
          <w:spacing w:val="-2"/>
          <w:vertAlign w:val="baseline"/>
        </w:rPr>
        <w:t> </w:t>
      </w:r>
      <w:r>
        <w:rPr>
          <w:rFonts w:ascii="Cambria Math" w:eastAsia="Cambria Math"/>
          <w:vertAlign w:val="baseline"/>
        </w:rPr>
        <w:t>𝑖 </w:t>
      </w:r>
      <w:r>
        <w:rPr>
          <w:vertAlign w:val="baseline"/>
        </w:rPr>
        <w:t>(Resource,</w:t>
      </w:r>
      <w:r>
        <w:rPr>
          <w:spacing w:val="-3"/>
          <w:vertAlign w:val="baseline"/>
        </w:rPr>
        <w:t> </w:t>
      </w:r>
      <w:r>
        <w:rPr>
          <w:vertAlign w:val="baseline"/>
        </w:rPr>
        <w:t>Access,</w:t>
      </w:r>
      <w:r>
        <w:rPr>
          <w:spacing w:val="-3"/>
          <w:vertAlign w:val="baseline"/>
        </w:rPr>
        <w:t> </w:t>
      </w:r>
      <w:r>
        <w:rPr>
          <w:vertAlign w:val="baseline"/>
        </w:rPr>
        <w:t>Use,</w:t>
      </w:r>
      <w:r>
        <w:rPr>
          <w:spacing w:val="-3"/>
          <w:vertAlign w:val="baseline"/>
        </w:rPr>
        <w:t> </w:t>
      </w:r>
      <w:r>
        <w:rPr>
          <w:vertAlign w:val="baseline"/>
        </w:rPr>
        <w:t>Capacity</w:t>
      </w:r>
      <w:r>
        <w:rPr>
          <w:spacing w:val="-8"/>
          <w:vertAlign w:val="baseline"/>
        </w:rPr>
        <w:t> </w:t>
      </w:r>
      <w:r>
        <w:rPr>
          <w:vertAlign w:val="baseline"/>
        </w:rPr>
        <w:t>and Environment) and</w:t>
      </w:r>
      <w:r>
        <w:rPr>
          <w:spacing w:val="-15"/>
          <w:vertAlign w:val="baseline"/>
        </w:rPr>
        <w:t> </w:t>
      </w:r>
      <w:r>
        <w:rPr>
          <w:rFonts w:ascii="Cambria Math" w:eastAsia="Cambria Math"/>
          <w:vertAlign w:val="baseline"/>
        </w:rPr>
        <w:t>𝑛</w:t>
      </w:r>
      <w:r>
        <w:rPr>
          <w:rFonts w:ascii="Cambria Math" w:eastAsia="Cambria Math"/>
          <w:spacing w:val="-14"/>
          <w:vertAlign w:val="baseline"/>
        </w:rPr>
        <w:t> </w:t>
      </w:r>
      <w:r>
        <w:rPr>
          <w:vertAlign w:val="baseline"/>
        </w:rPr>
        <w:t>is</w:t>
      </w:r>
      <w:r>
        <w:rPr>
          <w:spacing w:val="-15"/>
          <w:vertAlign w:val="baseline"/>
        </w:rPr>
        <w:t> </w:t>
      </w:r>
      <w:r>
        <w:rPr>
          <w:vertAlign w:val="baseline"/>
        </w:rPr>
        <w:t>the</w:t>
      </w:r>
      <w:r>
        <w:rPr>
          <w:spacing w:val="-15"/>
          <w:vertAlign w:val="baseline"/>
        </w:rPr>
        <w:t> </w:t>
      </w:r>
      <w:r>
        <w:rPr>
          <w:vertAlign w:val="baseline"/>
        </w:rPr>
        <w:t>number</w:t>
      </w:r>
      <w:r>
        <w:rPr>
          <w:spacing w:val="-15"/>
          <w:vertAlign w:val="baseline"/>
        </w:rPr>
        <w:t> </w:t>
      </w:r>
      <w:r>
        <w:rPr>
          <w:vertAlign w:val="baseline"/>
        </w:rPr>
        <w:t>of</w:t>
      </w:r>
      <w:r>
        <w:rPr>
          <w:spacing w:val="-15"/>
          <w:vertAlign w:val="baseline"/>
        </w:rPr>
        <w:t> </w:t>
      </w:r>
      <w:r>
        <w:rPr>
          <w:vertAlign w:val="baseline"/>
        </w:rPr>
        <w:t>WPI</w:t>
      </w:r>
      <w:r>
        <w:rPr>
          <w:spacing w:val="-15"/>
          <w:vertAlign w:val="baseline"/>
        </w:rPr>
        <w:t> </w:t>
      </w:r>
      <w:r>
        <w:rPr>
          <w:vertAlign w:val="baseline"/>
        </w:rPr>
        <w:t>components.The</w:t>
      </w:r>
      <w:r>
        <w:rPr>
          <w:spacing w:val="-15"/>
          <w:vertAlign w:val="baseline"/>
        </w:rPr>
        <w:t> </w:t>
      </w:r>
      <w:r>
        <w:rPr>
          <w:vertAlign w:val="baseline"/>
        </w:rPr>
        <w:t>additive</w:t>
      </w:r>
      <w:r>
        <w:rPr>
          <w:spacing w:val="-15"/>
          <w:vertAlign w:val="baseline"/>
        </w:rPr>
        <w:t> </w:t>
      </w:r>
      <w:r>
        <w:rPr>
          <w:vertAlign w:val="baseline"/>
        </w:rPr>
        <w:t>aggregation</w:t>
      </w:r>
      <w:r>
        <w:rPr>
          <w:spacing w:val="-15"/>
          <w:vertAlign w:val="baseline"/>
        </w:rPr>
        <w:t> </w:t>
      </w:r>
      <w:r>
        <w:rPr>
          <w:vertAlign w:val="baseline"/>
        </w:rPr>
        <w:t>has</w:t>
      </w:r>
      <w:r>
        <w:rPr>
          <w:spacing w:val="-15"/>
          <w:vertAlign w:val="baseline"/>
        </w:rPr>
        <w:t> </w:t>
      </w:r>
      <w:r>
        <w:rPr>
          <w:vertAlign w:val="baseline"/>
        </w:rPr>
        <w:t>widespread</w:t>
      </w:r>
      <w:r>
        <w:rPr>
          <w:spacing w:val="-15"/>
          <w:vertAlign w:val="baseline"/>
        </w:rPr>
        <w:t> </w:t>
      </w:r>
      <w:r>
        <w:rPr>
          <w:vertAlign w:val="baseline"/>
        </w:rPr>
        <w:t>application in</w:t>
      </w:r>
      <w:r>
        <w:rPr>
          <w:spacing w:val="-5"/>
          <w:vertAlign w:val="baseline"/>
        </w:rPr>
        <w:t> </w:t>
      </w:r>
      <w:r>
        <w:rPr>
          <w:vertAlign w:val="baseline"/>
        </w:rPr>
        <w:t>most</w:t>
      </w:r>
      <w:r>
        <w:rPr>
          <w:spacing w:val="-5"/>
          <w:vertAlign w:val="baseline"/>
        </w:rPr>
        <w:t> </w:t>
      </w:r>
      <w:r>
        <w:rPr>
          <w:vertAlign w:val="baseline"/>
        </w:rPr>
        <w:t>empirical</w:t>
      </w:r>
      <w:r>
        <w:rPr>
          <w:spacing w:val="-5"/>
          <w:vertAlign w:val="baseline"/>
        </w:rPr>
        <w:t> </w:t>
      </w:r>
      <w:r>
        <w:rPr>
          <w:vertAlign w:val="baseline"/>
        </w:rPr>
        <w:t>studies</w:t>
      </w:r>
      <w:r>
        <w:rPr>
          <w:spacing w:val="-3"/>
          <w:vertAlign w:val="baseline"/>
        </w:rPr>
        <w:t> </w:t>
      </w:r>
      <w:r>
        <w:rPr>
          <w:vertAlign w:val="baseline"/>
        </w:rPr>
        <w:t>(Sullivan,</w:t>
      </w:r>
      <w:r>
        <w:rPr>
          <w:spacing w:val="-6"/>
          <w:vertAlign w:val="baseline"/>
        </w:rPr>
        <w:t> </w:t>
      </w:r>
      <w:r>
        <w:rPr>
          <w:vertAlign w:val="baseline"/>
        </w:rPr>
        <w:t>2002,</w:t>
      </w:r>
      <w:r>
        <w:rPr>
          <w:spacing w:val="-6"/>
          <w:vertAlign w:val="baseline"/>
        </w:rPr>
        <w:t> </w:t>
      </w:r>
      <w:r>
        <w:rPr>
          <w:vertAlign w:val="baseline"/>
        </w:rPr>
        <w:t>Sullivan</w:t>
      </w:r>
      <w:r>
        <w:rPr>
          <w:spacing w:val="-3"/>
          <w:vertAlign w:val="baseline"/>
        </w:rPr>
        <w:t> </w:t>
      </w:r>
      <w:r>
        <w:rPr>
          <w:i/>
          <w:vertAlign w:val="baseline"/>
        </w:rPr>
        <w:t>et</w:t>
      </w:r>
      <w:r>
        <w:rPr>
          <w:i/>
          <w:spacing w:val="-5"/>
          <w:vertAlign w:val="baseline"/>
        </w:rPr>
        <w:t> </w:t>
      </w:r>
      <w:r>
        <w:rPr>
          <w:i/>
          <w:vertAlign w:val="baseline"/>
        </w:rPr>
        <w:t>al.</w:t>
      </w:r>
      <w:r>
        <w:rPr>
          <w:vertAlign w:val="baseline"/>
        </w:rPr>
        <w:t>,</w:t>
      </w:r>
      <w:r>
        <w:rPr>
          <w:spacing w:val="-6"/>
          <w:vertAlign w:val="baseline"/>
        </w:rPr>
        <w:t> </w:t>
      </w:r>
      <w:r>
        <w:rPr>
          <w:vertAlign w:val="baseline"/>
        </w:rPr>
        <w:t>2003;</w:t>
      </w:r>
      <w:r>
        <w:rPr>
          <w:spacing w:val="-5"/>
          <w:vertAlign w:val="baseline"/>
        </w:rPr>
        <w:t> </w:t>
      </w:r>
      <w:r>
        <w:rPr>
          <w:vertAlign w:val="baseline"/>
        </w:rPr>
        <w:t>Yahaya</w:t>
      </w:r>
      <w:r>
        <w:rPr>
          <w:spacing w:val="-4"/>
          <w:vertAlign w:val="baseline"/>
        </w:rPr>
        <w:t> </w:t>
      </w:r>
      <w:r>
        <w:rPr>
          <w:i/>
          <w:vertAlign w:val="baseline"/>
        </w:rPr>
        <w:t>et</w:t>
      </w:r>
      <w:r>
        <w:rPr>
          <w:i/>
          <w:spacing w:val="-5"/>
          <w:vertAlign w:val="baseline"/>
        </w:rPr>
        <w:t> </w:t>
      </w:r>
      <w:r>
        <w:rPr>
          <w:i/>
          <w:vertAlign w:val="baseline"/>
        </w:rPr>
        <w:t>al.,</w:t>
      </w:r>
      <w:r>
        <w:rPr>
          <w:i/>
          <w:spacing w:val="-6"/>
          <w:vertAlign w:val="baseline"/>
        </w:rPr>
        <w:t> </w:t>
      </w:r>
      <w:r>
        <w:rPr>
          <w:vertAlign w:val="baseline"/>
        </w:rPr>
        <w:t>2009;</w:t>
      </w:r>
      <w:r>
        <w:rPr>
          <w:spacing w:val="-5"/>
          <w:vertAlign w:val="baseline"/>
        </w:rPr>
        <w:t> </w:t>
      </w:r>
      <w:r>
        <w:rPr>
          <w:vertAlign w:val="baseline"/>
        </w:rPr>
        <w:t>Garriga and Foguet, 2010; Manandhar, </w:t>
      </w:r>
      <w:r>
        <w:rPr>
          <w:i/>
          <w:vertAlign w:val="baseline"/>
        </w:rPr>
        <w:t>et al.</w:t>
      </w:r>
      <w:r>
        <w:rPr>
          <w:vertAlign w:val="baseline"/>
        </w:rPr>
        <w:t>, 2012) due to its simplicity and ease of understanding to non-water experts.</w:t>
      </w:r>
    </w:p>
    <w:p>
      <w:pPr>
        <w:pStyle w:val="BodyText"/>
        <w:spacing w:line="480" w:lineRule="auto" w:before="234"/>
        <w:ind w:left="267" w:right="729"/>
        <w:jc w:val="both"/>
      </w:pPr>
      <w:r>
        <w:rPr/>
        <w:t>However, this aggregation process imposes the problem of compensability (induces high values of some components to sufficiently offset or compensate other poor performing components)</w:t>
      </w:r>
      <w:r>
        <w:rPr>
          <w:spacing w:val="-15"/>
        </w:rPr>
        <w:t> </w:t>
      </w:r>
      <w:r>
        <w:rPr/>
        <w:t>(Munda</w:t>
      </w:r>
      <w:r>
        <w:rPr>
          <w:spacing w:val="-15"/>
        </w:rPr>
        <w:t> </w:t>
      </w:r>
      <w:r>
        <w:rPr/>
        <w:t>and</w:t>
      </w:r>
      <w:r>
        <w:rPr>
          <w:spacing w:val="-15"/>
        </w:rPr>
        <w:t> </w:t>
      </w:r>
      <w:r>
        <w:rPr/>
        <w:t>Nardo,</w:t>
      </w:r>
      <w:r>
        <w:rPr>
          <w:spacing w:val="-15"/>
        </w:rPr>
        <w:t> </w:t>
      </w:r>
      <w:r>
        <w:rPr/>
        <w:t>2005a;</w:t>
      </w:r>
      <w:r>
        <w:rPr>
          <w:spacing w:val="-15"/>
        </w:rPr>
        <w:t> </w:t>
      </w:r>
      <w:r>
        <w:rPr/>
        <w:t>Munda</w:t>
      </w:r>
      <w:r>
        <w:rPr>
          <w:spacing w:val="-15"/>
        </w:rPr>
        <w:t> </w:t>
      </w:r>
      <w:r>
        <w:rPr/>
        <w:t>and</w:t>
      </w:r>
      <w:r>
        <w:rPr>
          <w:spacing w:val="-15"/>
        </w:rPr>
        <w:t> </w:t>
      </w:r>
      <w:r>
        <w:rPr/>
        <w:t>Nardo,</w:t>
      </w:r>
      <w:r>
        <w:rPr>
          <w:spacing w:val="-15"/>
        </w:rPr>
        <w:t> </w:t>
      </w:r>
      <w:r>
        <w:rPr/>
        <w:t>2005b;</w:t>
      </w:r>
      <w:r>
        <w:rPr>
          <w:spacing w:val="-15"/>
        </w:rPr>
        <w:t> </w:t>
      </w:r>
      <w:r>
        <w:rPr/>
        <w:t>Nardo</w:t>
      </w:r>
      <w:r>
        <w:rPr>
          <w:spacing w:val="-15"/>
        </w:rPr>
        <w:t> </w:t>
      </w:r>
      <w:r>
        <w:rPr>
          <w:i/>
        </w:rPr>
        <w:t>et</w:t>
      </w:r>
      <w:r>
        <w:rPr>
          <w:i/>
          <w:spacing w:val="-15"/>
        </w:rPr>
        <w:t> </w:t>
      </w:r>
      <w:r>
        <w:rPr>
          <w:i/>
        </w:rPr>
        <w:t>al.</w:t>
      </w:r>
      <w:r>
        <w:rPr/>
        <w:t>,</w:t>
      </w:r>
      <w:r>
        <w:rPr>
          <w:spacing w:val="-15"/>
        </w:rPr>
        <w:t> </w:t>
      </w:r>
      <w:r>
        <w:rPr/>
        <w:t>2008)</w:t>
      </w:r>
      <w:r>
        <w:rPr>
          <w:spacing w:val="-15"/>
        </w:rPr>
        <w:t> </w:t>
      </w:r>
      <w:r>
        <w:rPr/>
        <w:t>which significantly reduces the usefulness of the water poverty index for decision making. It is on this</w:t>
      </w:r>
      <w:r>
        <w:rPr>
          <w:spacing w:val="-4"/>
        </w:rPr>
        <w:t> </w:t>
      </w:r>
      <w:r>
        <w:rPr/>
        <w:t>basis</w:t>
      </w:r>
      <w:r>
        <w:rPr>
          <w:spacing w:val="-3"/>
        </w:rPr>
        <w:t> </w:t>
      </w:r>
      <w:r>
        <w:rPr/>
        <w:t>that</w:t>
      </w:r>
      <w:r>
        <w:rPr>
          <w:spacing w:val="-3"/>
        </w:rPr>
        <w:t> </w:t>
      </w:r>
      <w:r>
        <w:rPr/>
        <w:t>Garriga</w:t>
      </w:r>
      <w:r>
        <w:rPr>
          <w:spacing w:val="-3"/>
        </w:rPr>
        <w:t> </w:t>
      </w:r>
      <w:r>
        <w:rPr/>
        <w:t>and</w:t>
      </w:r>
      <w:r>
        <w:rPr>
          <w:spacing w:val="-4"/>
        </w:rPr>
        <w:t> </w:t>
      </w:r>
      <w:r>
        <w:rPr/>
        <w:t>Foguet</w:t>
      </w:r>
      <w:r>
        <w:rPr>
          <w:spacing w:val="-2"/>
        </w:rPr>
        <w:t> </w:t>
      </w:r>
      <w:r>
        <w:rPr/>
        <w:t>(2010)</w:t>
      </w:r>
      <w:r>
        <w:rPr>
          <w:spacing w:val="-2"/>
        </w:rPr>
        <w:t> </w:t>
      </w:r>
      <w:r>
        <w:rPr/>
        <w:t>suggested</w:t>
      </w:r>
      <w:r>
        <w:rPr>
          <w:spacing w:val="-3"/>
        </w:rPr>
        <w:t> </w:t>
      </w:r>
      <w:r>
        <w:rPr/>
        <w:t>that</w:t>
      </w:r>
      <w:r>
        <w:rPr>
          <w:spacing w:val="-4"/>
        </w:rPr>
        <w:t> </w:t>
      </w:r>
      <w:r>
        <w:rPr/>
        <w:t>additive</w:t>
      </w:r>
      <w:r>
        <w:rPr>
          <w:spacing w:val="-2"/>
        </w:rPr>
        <w:t> </w:t>
      </w:r>
      <w:r>
        <w:rPr/>
        <w:t>aggregation</w:t>
      </w:r>
      <w:r>
        <w:rPr>
          <w:spacing w:val="-3"/>
        </w:rPr>
        <w:t> </w:t>
      </w:r>
      <w:r>
        <w:rPr/>
        <w:t>should</w:t>
      </w:r>
      <w:r>
        <w:rPr>
          <w:spacing w:val="-4"/>
        </w:rPr>
        <w:t> </w:t>
      </w:r>
      <w:r>
        <w:rPr/>
        <w:t>only</w:t>
      </w:r>
      <w:r>
        <w:rPr>
          <w:spacing w:val="-5"/>
        </w:rPr>
        <w:t> be</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right="730"/>
        <w:jc w:val="both"/>
      </w:pPr>
      <w:r>
        <w:rPr/>
        <w:t>applied if the components are mutually independent. However, it is far from realistic to assume that no synergy exists among the sub-components of the water poverty index. Compensability among the individual components is therefore implicit in additive aggregation (Munda and Nardo, 2005a).</w:t>
      </w:r>
    </w:p>
    <w:p>
      <w:pPr>
        <w:pStyle w:val="Heading1"/>
        <w:numPr>
          <w:ilvl w:val="3"/>
          <w:numId w:val="6"/>
        </w:numPr>
        <w:tabs>
          <w:tab w:pos="986" w:val="left" w:leader="none"/>
        </w:tabs>
        <w:spacing w:line="240" w:lineRule="auto" w:before="8" w:after="0"/>
        <w:ind w:left="986" w:right="0" w:hanging="719"/>
        <w:jc w:val="both"/>
      </w:pPr>
      <w:r>
        <w:rPr/>
        <w:t>Multiplicative</w:t>
      </w:r>
      <w:r>
        <w:rPr>
          <w:spacing w:val="-2"/>
        </w:rPr>
        <w:t> </w:t>
      </w:r>
      <w:r>
        <w:rPr/>
        <w:t>aggregation</w:t>
      </w:r>
      <w:r>
        <w:rPr>
          <w:spacing w:val="-2"/>
        </w:rPr>
        <w:t> function</w:t>
      </w:r>
    </w:p>
    <w:p>
      <w:pPr>
        <w:pStyle w:val="BodyText"/>
        <w:spacing w:before="14"/>
        <w:rPr>
          <w:b/>
        </w:rPr>
      </w:pPr>
    </w:p>
    <w:p>
      <w:pPr>
        <w:pStyle w:val="BodyText"/>
        <w:spacing w:line="480" w:lineRule="auto"/>
        <w:ind w:left="267" w:right="727"/>
        <w:jc w:val="both"/>
      </w:pPr>
      <w:r>
        <w:rPr/>
        <w:t>This</w:t>
      </w:r>
      <w:r>
        <w:rPr>
          <w:spacing w:val="-3"/>
        </w:rPr>
        <w:t> </w:t>
      </w:r>
      <w:r>
        <w:rPr/>
        <w:t>multiplicative</w:t>
      </w:r>
      <w:r>
        <w:rPr>
          <w:spacing w:val="-4"/>
        </w:rPr>
        <w:t> </w:t>
      </w:r>
      <w:r>
        <w:rPr/>
        <w:t>aggregation</w:t>
      </w:r>
      <w:r>
        <w:rPr>
          <w:spacing w:val="-1"/>
        </w:rPr>
        <w:t> </w:t>
      </w:r>
      <w:r>
        <w:rPr/>
        <w:t>function</w:t>
      </w:r>
      <w:r>
        <w:rPr>
          <w:spacing w:val="-3"/>
        </w:rPr>
        <w:t> </w:t>
      </w:r>
      <w:r>
        <w:rPr/>
        <w:t>(weighted</w:t>
      </w:r>
      <w:r>
        <w:rPr>
          <w:spacing w:val="-3"/>
        </w:rPr>
        <w:t> </w:t>
      </w:r>
      <w:r>
        <w:rPr/>
        <w:t>geometric</w:t>
      </w:r>
      <w:r>
        <w:rPr>
          <w:spacing w:val="-2"/>
        </w:rPr>
        <w:t> </w:t>
      </w:r>
      <w:r>
        <w:rPr/>
        <w:t>mean)</w:t>
      </w:r>
      <w:r>
        <w:rPr>
          <w:spacing w:val="-3"/>
        </w:rPr>
        <w:t> </w:t>
      </w:r>
      <w:r>
        <w:rPr/>
        <w:t>is</w:t>
      </w:r>
      <w:r>
        <w:rPr>
          <w:spacing w:val="-3"/>
        </w:rPr>
        <w:t> </w:t>
      </w:r>
      <w:r>
        <w:rPr/>
        <w:t>derived</w:t>
      </w:r>
      <w:r>
        <w:rPr>
          <w:spacing w:val="-3"/>
        </w:rPr>
        <w:t> </w:t>
      </w:r>
      <w:r>
        <w:rPr/>
        <w:t>based</w:t>
      </w:r>
      <w:r>
        <w:rPr>
          <w:spacing w:val="-1"/>
        </w:rPr>
        <w:t> </w:t>
      </w:r>
      <w:r>
        <w:rPr/>
        <w:t>on</w:t>
      </w:r>
      <w:r>
        <w:rPr>
          <w:spacing w:val="-3"/>
        </w:rPr>
        <w:t> </w:t>
      </w:r>
      <w:r>
        <w:rPr/>
        <w:t>the product of all the five components of water poverty (Garriga and Foguet, 2010). Multiplicative aggregation though has less wide application, has been acknowledged as the most appropriate aggregation technique (Garriga and Foguet, 2010; Sullivan and Jemmali, 2014;</w:t>
      </w:r>
      <w:r>
        <w:rPr>
          <w:spacing w:val="-1"/>
        </w:rPr>
        <w:t> </w:t>
      </w:r>
      <w:r>
        <w:rPr/>
        <w:t>El-Gafy,</w:t>
      </w:r>
      <w:r>
        <w:rPr>
          <w:spacing w:val="-1"/>
        </w:rPr>
        <w:t> </w:t>
      </w:r>
      <w:r>
        <w:rPr/>
        <w:t>2018). Its appropriateness</w:t>
      </w:r>
      <w:r>
        <w:rPr>
          <w:spacing w:val="-1"/>
        </w:rPr>
        <w:t> </w:t>
      </w:r>
      <w:r>
        <w:rPr/>
        <w:t>is</w:t>
      </w:r>
      <w:r>
        <w:rPr>
          <w:spacing w:val="-1"/>
        </w:rPr>
        <w:t> </w:t>
      </w:r>
      <w:r>
        <w:rPr/>
        <w:t>due</w:t>
      </w:r>
      <w:r>
        <w:rPr>
          <w:spacing w:val="-2"/>
        </w:rPr>
        <w:t> </w:t>
      </w:r>
      <w:r>
        <w:rPr/>
        <w:t>to</w:t>
      </w:r>
      <w:r>
        <w:rPr>
          <w:spacing w:val="-1"/>
        </w:rPr>
        <w:t> </w:t>
      </w:r>
      <w:r>
        <w:rPr/>
        <w:t>the</w:t>
      </w:r>
      <w:r>
        <w:rPr>
          <w:spacing w:val="-2"/>
        </w:rPr>
        <w:t> </w:t>
      </w:r>
      <w:r>
        <w:rPr/>
        <w:t>fact</w:t>
      </w:r>
      <w:r>
        <w:rPr>
          <w:spacing w:val="-1"/>
        </w:rPr>
        <w:t> </w:t>
      </w:r>
      <w:r>
        <w:rPr/>
        <w:t>that</w:t>
      </w:r>
      <w:r>
        <w:rPr>
          <w:spacing w:val="-1"/>
        </w:rPr>
        <w:t> </w:t>
      </w:r>
      <w:r>
        <w:rPr/>
        <w:t>unlike</w:t>
      </w:r>
      <w:r>
        <w:rPr>
          <w:spacing w:val="-2"/>
        </w:rPr>
        <w:t> </w:t>
      </w:r>
      <w:r>
        <w:rPr/>
        <w:t>the</w:t>
      </w:r>
      <w:r>
        <w:rPr>
          <w:spacing w:val="-2"/>
        </w:rPr>
        <w:t> </w:t>
      </w:r>
      <w:r>
        <w:rPr/>
        <w:t>additive</w:t>
      </w:r>
      <w:r>
        <w:rPr>
          <w:spacing w:val="-2"/>
        </w:rPr>
        <w:t> </w:t>
      </w:r>
      <w:r>
        <w:rPr/>
        <w:t>function, it</w:t>
      </w:r>
      <w:r>
        <w:rPr>
          <w:spacing w:val="-4"/>
        </w:rPr>
        <w:t> </w:t>
      </w:r>
      <w:r>
        <w:rPr/>
        <w:t>does</w:t>
      </w:r>
      <w:r>
        <w:rPr>
          <w:spacing w:val="-5"/>
        </w:rPr>
        <w:t> </w:t>
      </w:r>
      <w:r>
        <w:rPr/>
        <w:t>not</w:t>
      </w:r>
      <w:r>
        <w:rPr>
          <w:spacing w:val="-4"/>
        </w:rPr>
        <w:t> </w:t>
      </w:r>
      <w:r>
        <w:rPr/>
        <w:t>allow</w:t>
      </w:r>
      <w:r>
        <w:rPr>
          <w:spacing w:val="-8"/>
        </w:rPr>
        <w:t> </w:t>
      </w:r>
      <w:r>
        <w:rPr/>
        <w:t>compensability</w:t>
      </w:r>
      <w:r>
        <w:rPr>
          <w:spacing w:val="-12"/>
        </w:rPr>
        <w:t> </w:t>
      </w:r>
      <w:r>
        <w:rPr/>
        <w:t>among</w:t>
      </w:r>
      <w:r>
        <w:rPr>
          <w:spacing w:val="-7"/>
        </w:rPr>
        <w:t> </w:t>
      </w:r>
      <w:r>
        <w:rPr/>
        <w:t>the</w:t>
      </w:r>
      <w:r>
        <w:rPr>
          <w:spacing w:val="-5"/>
        </w:rPr>
        <w:t> </w:t>
      </w:r>
      <w:r>
        <w:rPr/>
        <w:t>different</w:t>
      </w:r>
      <w:r>
        <w:rPr>
          <w:spacing w:val="-4"/>
        </w:rPr>
        <w:t> </w:t>
      </w:r>
      <w:r>
        <w:rPr/>
        <w:t>components</w:t>
      </w:r>
      <w:r>
        <w:rPr>
          <w:spacing w:val="-5"/>
        </w:rPr>
        <w:t> </w:t>
      </w:r>
      <w:r>
        <w:rPr/>
        <w:t>of</w:t>
      </w:r>
      <w:r>
        <w:rPr>
          <w:spacing w:val="-6"/>
        </w:rPr>
        <w:t> </w:t>
      </w:r>
      <w:r>
        <w:rPr/>
        <w:t>the</w:t>
      </w:r>
      <w:r>
        <w:rPr>
          <w:spacing w:val="-5"/>
        </w:rPr>
        <w:t> </w:t>
      </w:r>
      <w:r>
        <w:rPr/>
        <w:t>water</w:t>
      </w:r>
      <w:r>
        <w:rPr>
          <w:spacing w:val="-6"/>
        </w:rPr>
        <w:t> </w:t>
      </w:r>
      <w:r>
        <w:rPr/>
        <w:t>poverty</w:t>
      </w:r>
      <w:r>
        <w:rPr>
          <w:spacing w:val="-12"/>
        </w:rPr>
        <w:t> </w:t>
      </w:r>
      <w:r>
        <w:rPr/>
        <w:t>index (Garriga and Foguet, 2010; Sullivan and Jemmali, 2014). Nonetheless, multiplicative aggregation is without the problem of eclipsity - though it is more pronounced in additive aggregation.</w:t>
      </w:r>
      <w:r>
        <w:rPr>
          <w:spacing w:val="-6"/>
        </w:rPr>
        <w:t> </w:t>
      </w:r>
      <w:r>
        <w:rPr/>
        <w:t>Regardless</w:t>
      </w:r>
      <w:r>
        <w:rPr>
          <w:spacing w:val="-6"/>
        </w:rPr>
        <w:t> </w:t>
      </w:r>
      <w:r>
        <w:rPr/>
        <w:t>of</w:t>
      </w:r>
      <w:r>
        <w:rPr>
          <w:spacing w:val="-7"/>
        </w:rPr>
        <w:t> </w:t>
      </w:r>
      <w:r>
        <w:rPr/>
        <w:t>this</w:t>
      </w:r>
      <w:r>
        <w:rPr>
          <w:spacing w:val="-6"/>
        </w:rPr>
        <w:t> </w:t>
      </w:r>
      <w:r>
        <w:rPr/>
        <w:t>drawback,</w:t>
      </w:r>
      <w:r>
        <w:rPr>
          <w:spacing w:val="-6"/>
        </w:rPr>
        <w:t> </w:t>
      </w:r>
      <w:r>
        <w:rPr/>
        <w:t>it</w:t>
      </w:r>
      <w:r>
        <w:rPr>
          <w:spacing w:val="-5"/>
        </w:rPr>
        <w:t> </w:t>
      </w:r>
      <w:r>
        <w:rPr/>
        <w:t>has</w:t>
      </w:r>
      <w:r>
        <w:rPr>
          <w:spacing w:val="-6"/>
        </w:rPr>
        <w:t> </w:t>
      </w:r>
      <w:r>
        <w:rPr/>
        <w:t>been</w:t>
      </w:r>
      <w:r>
        <w:rPr>
          <w:spacing w:val="-6"/>
        </w:rPr>
        <w:t> </w:t>
      </w:r>
      <w:r>
        <w:rPr/>
        <w:t>aptly</w:t>
      </w:r>
      <w:r>
        <w:rPr>
          <w:spacing w:val="-11"/>
        </w:rPr>
        <w:t> </w:t>
      </w:r>
      <w:r>
        <w:rPr/>
        <w:t>suggested</w:t>
      </w:r>
      <w:r>
        <w:rPr>
          <w:spacing w:val="-6"/>
        </w:rPr>
        <w:t> </w:t>
      </w:r>
      <w:r>
        <w:rPr/>
        <w:t>by</w:t>
      </w:r>
      <w:r>
        <w:rPr>
          <w:spacing w:val="-11"/>
        </w:rPr>
        <w:t> </w:t>
      </w:r>
      <w:r>
        <w:rPr/>
        <w:t>Garriga</w:t>
      </w:r>
      <w:r>
        <w:rPr>
          <w:spacing w:val="-7"/>
        </w:rPr>
        <w:t> </w:t>
      </w:r>
      <w:r>
        <w:rPr/>
        <w:t>and</w:t>
      </w:r>
      <w:r>
        <w:rPr>
          <w:spacing w:val="-6"/>
        </w:rPr>
        <w:t> </w:t>
      </w:r>
      <w:r>
        <w:rPr/>
        <w:t>Foguet (2010) that the use of multiplicative function might be an in-between solution between non and full compensatory procedures as all components of the water poverty</w:t>
      </w:r>
      <w:r>
        <w:rPr>
          <w:spacing w:val="-3"/>
        </w:rPr>
        <w:t> </w:t>
      </w:r>
      <w:r>
        <w:rPr/>
        <w:t>index are equally </w:t>
      </w:r>
      <w:r>
        <w:rPr>
          <w:spacing w:val="-2"/>
        </w:rPr>
        <w:t>legitimate.</w:t>
      </w:r>
    </w:p>
    <w:p>
      <w:pPr>
        <w:pStyle w:val="BodyText"/>
        <w:spacing w:line="480" w:lineRule="auto" w:before="2"/>
        <w:ind w:left="267" w:right="728"/>
        <w:jc w:val="both"/>
      </w:pPr>
      <w:r>
        <w:rPr/>
        <w:t>In</w:t>
      </w:r>
      <w:r>
        <w:rPr>
          <w:spacing w:val="-7"/>
        </w:rPr>
        <w:t> </w:t>
      </w:r>
      <w:r>
        <w:rPr/>
        <w:t>numeric</w:t>
      </w:r>
      <w:r>
        <w:rPr>
          <w:spacing w:val="-8"/>
        </w:rPr>
        <w:t> </w:t>
      </w:r>
      <w:r>
        <w:rPr/>
        <w:t>terms,</w:t>
      </w:r>
      <w:r>
        <w:rPr>
          <w:spacing w:val="-6"/>
        </w:rPr>
        <w:t> </w:t>
      </w:r>
      <w:r>
        <w:rPr/>
        <w:t>the</w:t>
      </w:r>
      <w:r>
        <w:rPr>
          <w:spacing w:val="-7"/>
        </w:rPr>
        <w:t> </w:t>
      </w:r>
      <w:r>
        <w:rPr/>
        <w:t>multiplicative</w:t>
      </w:r>
      <w:r>
        <w:rPr>
          <w:spacing w:val="-8"/>
        </w:rPr>
        <w:t> </w:t>
      </w:r>
      <w:r>
        <w:rPr/>
        <w:t>function</w:t>
      </w:r>
      <w:r>
        <w:rPr>
          <w:spacing w:val="-7"/>
        </w:rPr>
        <w:t> </w:t>
      </w:r>
      <w:r>
        <w:rPr/>
        <w:t>at</w:t>
      </w:r>
      <w:r>
        <w:rPr>
          <w:spacing w:val="-6"/>
        </w:rPr>
        <w:t> </w:t>
      </w:r>
      <w:r>
        <w:rPr/>
        <w:t>the</w:t>
      </w:r>
      <w:r>
        <w:rPr>
          <w:spacing w:val="-8"/>
        </w:rPr>
        <w:t> </w:t>
      </w:r>
      <w:r>
        <w:rPr/>
        <w:t>sub-component</w:t>
      </w:r>
      <w:r>
        <w:rPr>
          <w:spacing w:val="-7"/>
        </w:rPr>
        <w:t> </w:t>
      </w:r>
      <w:r>
        <w:rPr/>
        <w:t>and</w:t>
      </w:r>
      <w:r>
        <w:rPr>
          <w:spacing w:val="-7"/>
        </w:rPr>
        <w:t> </w:t>
      </w:r>
      <w:r>
        <w:rPr/>
        <w:t>component</w:t>
      </w:r>
      <w:r>
        <w:rPr>
          <w:spacing w:val="-7"/>
        </w:rPr>
        <w:t> </w:t>
      </w:r>
      <w:r>
        <w:rPr/>
        <w:t>level</w:t>
      </w:r>
      <w:r>
        <w:rPr>
          <w:spacing w:val="-6"/>
        </w:rPr>
        <w:t> </w:t>
      </w:r>
      <w:r>
        <w:rPr/>
        <w:t>can be formulated in equation 2.7 and 2.8 respectively as follows:</w:t>
      </w:r>
    </w:p>
    <w:p>
      <w:pPr>
        <w:spacing w:after="0" w:line="480" w:lineRule="auto"/>
        <w:jc w:val="both"/>
        <w:sectPr>
          <w:pgSz w:w="12240" w:h="15840"/>
          <w:pgMar w:header="0" w:footer="1068" w:top="1340" w:bottom="1260" w:left="1720" w:right="680"/>
        </w:sectPr>
      </w:pPr>
    </w:p>
    <w:p>
      <w:pPr>
        <w:tabs>
          <w:tab w:pos="2113" w:val="left" w:leader="none"/>
        </w:tabs>
        <w:spacing w:line="169" w:lineRule="exact" w:before="91"/>
        <w:ind w:left="1246" w:right="0" w:firstLine="0"/>
        <w:jc w:val="left"/>
        <w:rPr>
          <w:rFonts w:ascii="Cambria Math" w:hAnsi="Cambria Math" w:eastAsia="Cambria Math"/>
          <w:sz w:val="14"/>
        </w:rPr>
      </w:pPr>
      <w:r>
        <w:rPr>
          <w:rFonts w:ascii="Cambria Math" w:hAnsi="Cambria Math" w:eastAsia="Cambria Math"/>
          <w:spacing w:val="-10"/>
          <w:w w:val="110"/>
          <w:position w:val="1"/>
          <w:sz w:val="17"/>
        </w:rPr>
        <w:t>𝑧</w:t>
      </w:r>
      <w:r>
        <w:rPr>
          <w:rFonts w:ascii="Cambria Math" w:hAnsi="Cambria Math" w:eastAsia="Cambria Math"/>
          <w:position w:val="1"/>
          <w:sz w:val="17"/>
        </w:rPr>
        <w:tab/>
      </w:r>
      <w:r>
        <w:rPr>
          <w:rFonts w:ascii="Cambria Math" w:hAnsi="Cambria Math" w:eastAsia="Cambria Math"/>
          <w:spacing w:val="-87"/>
          <w:w w:val="110"/>
          <w:position w:val="-4"/>
          <w:sz w:val="14"/>
        </w:rPr>
        <w:t>∑</w:t>
      </w:r>
      <w:r>
        <w:rPr>
          <w:rFonts w:ascii="Cambria Math" w:hAnsi="Cambria Math" w:eastAsia="Cambria Math"/>
          <w:spacing w:val="-87"/>
          <w:w w:val="110"/>
          <w:sz w:val="14"/>
        </w:rPr>
        <w:t>𝑧</w:t>
      </w:r>
    </w:p>
    <w:p>
      <w:pPr>
        <w:spacing w:line="155" w:lineRule="exact" w:before="0"/>
        <w:ind w:left="45" w:right="0" w:firstLine="0"/>
        <w:jc w:val="left"/>
        <w:rPr>
          <w:rFonts w:ascii="Cambria Math"/>
          <w:sz w:val="14"/>
        </w:rPr>
      </w:pPr>
      <w:r>
        <w:rPr/>
        <w:br w:type="column"/>
      </w:r>
      <w:r>
        <w:rPr>
          <w:rFonts w:ascii="Cambria Math"/>
          <w:spacing w:val="-10"/>
          <w:w w:val="105"/>
          <w:sz w:val="14"/>
        </w:rPr>
        <w:t>1</w:t>
      </w:r>
    </w:p>
    <w:p>
      <w:pPr>
        <w:spacing w:line="73" w:lineRule="exact" w:before="32"/>
        <w:ind w:left="160" w:right="0" w:firstLine="0"/>
        <w:jc w:val="left"/>
        <w:rPr>
          <w:rFonts w:ascii="Cambria Math" w:eastAsia="Cambria Math"/>
          <w:sz w:val="14"/>
        </w:rPr>
      </w:pPr>
      <w:r>
        <w:rPr/>
        <mc:AlternateContent>
          <mc:Choice Requires="wps">
            <w:drawing>
              <wp:anchor distT="0" distB="0" distL="0" distR="0" allowOverlap="1" layoutInCell="1" locked="0" behindDoc="1" simplePos="0" relativeHeight="482496512">
                <wp:simplePos x="0" y="0"/>
                <wp:positionH relativeFrom="page">
                  <wp:posOffset>2434082</wp:posOffset>
                </wp:positionH>
                <wp:positionV relativeFrom="paragraph">
                  <wp:posOffset>9205</wp:posOffset>
                </wp:positionV>
                <wp:extent cx="386080" cy="762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386080" cy="7620"/>
                        </a:xfrm>
                        <a:custGeom>
                          <a:avLst/>
                          <a:gdLst/>
                          <a:ahLst/>
                          <a:cxnLst/>
                          <a:rect l="l" t="t" r="r" b="b"/>
                          <a:pathLst>
                            <a:path w="386080" h="7620">
                              <a:moveTo>
                                <a:pt x="385876" y="0"/>
                              </a:moveTo>
                              <a:lnTo>
                                <a:pt x="0" y="0"/>
                              </a:lnTo>
                              <a:lnTo>
                                <a:pt x="0" y="7619"/>
                              </a:lnTo>
                              <a:lnTo>
                                <a:pt x="385876" y="7619"/>
                              </a:lnTo>
                              <a:lnTo>
                                <a:pt x="3858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1.660004pt;margin-top:.72485pt;width:30.384pt;height:.599980pt;mso-position-horizontal-relative:page;mso-position-vertical-relative:paragraph;z-index:-20819968" id="docshape72" filled="true" fillcolor="#000000" stroked="false">
                <v:fill type="solid"/>
                <w10:wrap type="none"/>
              </v:rect>
            </w:pict>
          </mc:Fallback>
        </mc:AlternateContent>
      </w:r>
      <w:r>
        <w:rPr>
          <w:rFonts w:ascii="Cambria Math" w:eastAsia="Cambria Math"/>
          <w:spacing w:val="-5"/>
          <w:w w:val="110"/>
          <w:sz w:val="14"/>
        </w:rPr>
        <w:t>𝑊</w:t>
      </w:r>
      <w:r>
        <w:rPr>
          <w:rFonts w:ascii="Cambria Math" w:eastAsia="Cambria Math"/>
          <w:spacing w:val="-5"/>
          <w:w w:val="110"/>
          <w:position w:val="-2"/>
          <w:sz w:val="14"/>
        </w:rPr>
        <w:t>𝑠</w:t>
      </w:r>
    </w:p>
    <w:p>
      <w:pPr>
        <w:spacing w:after="0" w:line="73" w:lineRule="exact"/>
        <w:jc w:val="left"/>
        <w:rPr>
          <w:rFonts w:ascii="Cambria Math" w:eastAsia="Cambria Math"/>
          <w:sz w:val="14"/>
        </w:rPr>
        <w:sectPr>
          <w:type w:val="continuous"/>
          <w:pgSz w:w="12240" w:h="15840"/>
          <w:pgMar w:header="0" w:footer="1068" w:top="1340" w:bottom="1260" w:left="1720" w:right="680"/>
          <w:cols w:num="2" w:equalWidth="0">
            <w:col w:w="2291" w:space="40"/>
            <w:col w:w="7509"/>
          </w:cols>
        </w:sectPr>
      </w:pPr>
    </w:p>
    <w:p>
      <w:pPr>
        <w:spacing w:before="123"/>
        <w:ind w:left="267" w:right="0" w:firstLine="0"/>
        <w:jc w:val="left"/>
        <w:rPr>
          <w:rFonts w:ascii="Cambria Math" w:hAnsi="Cambria Math" w:eastAsia="Cambria Math"/>
          <w:sz w:val="24"/>
        </w:rPr>
      </w:pPr>
      <w:r>
        <w:rPr>
          <w:rFonts w:ascii="Cambria Math" w:hAnsi="Cambria Math" w:eastAsia="Cambria Math"/>
          <w:w w:val="120"/>
          <w:sz w:val="24"/>
        </w:rPr>
        <w:t>𝑋</w:t>
      </w:r>
      <w:r>
        <w:rPr>
          <w:rFonts w:ascii="Cambria Math" w:hAnsi="Cambria Math" w:eastAsia="Cambria Math"/>
          <w:w w:val="120"/>
          <w:sz w:val="24"/>
          <w:vertAlign w:val="subscript"/>
        </w:rPr>
        <w:t>𝑖</w:t>
      </w:r>
      <w:r>
        <w:rPr>
          <w:rFonts w:ascii="Cambria Math" w:hAnsi="Cambria Math" w:eastAsia="Cambria Math"/>
          <w:spacing w:val="-2"/>
          <w:w w:val="120"/>
          <w:sz w:val="24"/>
          <w:vertAlign w:val="baseline"/>
        </w:rPr>
        <w:t> </w:t>
      </w:r>
      <w:r>
        <w:rPr>
          <w:rFonts w:ascii="Cambria Math" w:hAnsi="Cambria Math" w:eastAsia="Cambria Math"/>
          <w:w w:val="120"/>
          <w:sz w:val="24"/>
          <w:vertAlign w:val="baseline"/>
        </w:rPr>
        <w:t>=</w:t>
      </w:r>
      <w:r>
        <w:rPr>
          <w:rFonts w:ascii="Cambria Math" w:hAnsi="Cambria Math" w:eastAsia="Cambria Math"/>
          <w:spacing w:val="74"/>
          <w:w w:val="150"/>
          <w:sz w:val="24"/>
          <w:vertAlign w:val="baseline"/>
        </w:rPr>
        <w:t> </w:t>
      </w:r>
      <w:r>
        <w:rPr>
          <w:rFonts w:ascii="Cambria Math" w:hAnsi="Cambria Math" w:eastAsia="Cambria Math"/>
          <w:w w:val="120"/>
          <w:sz w:val="24"/>
          <w:vertAlign w:val="baseline"/>
        </w:rPr>
        <w:t>⌊</w:t>
      </w:r>
      <w:r>
        <w:rPr>
          <w:rFonts w:ascii="Cambria Math" w:hAnsi="Cambria Math" w:eastAsia="Cambria Math"/>
          <w:spacing w:val="-28"/>
          <w:w w:val="230"/>
          <w:sz w:val="24"/>
          <w:vertAlign w:val="baseline"/>
        </w:rPr>
        <w:t> </w:t>
      </w:r>
      <w:r>
        <w:rPr>
          <w:rFonts w:ascii="Cambria Math" w:hAnsi="Cambria Math" w:eastAsia="Cambria Math"/>
          <w:w w:val="230"/>
          <w:sz w:val="24"/>
          <w:vertAlign w:val="baseline"/>
        </w:rPr>
        <w:t>𝖦</w:t>
      </w:r>
      <w:r>
        <w:rPr>
          <w:rFonts w:ascii="Cambria Math" w:hAnsi="Cambria Math" w:eastAsia="Cambria Math"/>
          <w:spacing w:val="-30"/>
          <w:w w:val="230"/>
          <w:sz w:val="24"/>
          <w:vertAlign w:val="baseline"/>
        </w:rPr>
        <w:t> </w:t>
      </w:r>
      <w:r>
        <w:rPr>
          <w:rFonts w:ascii="Cambria Math" w:hAnsi="Cambria Math" w:eastAsia="Cambria Math"/>
          <w:spacing w:val="-4"/>
          <w:w w:val="110"/>
          <w:sz w:val="24"/>
          <w:vertAlign w:val="baseline"/>
        </w:rPr>
        <w:t>𝑥</w:t>
      </w:r>
      <w:r>
        <w:rPr>
          <w:rFonts w:ascii="Cambria Math" w:hAnsi="Cambria Math" w:eastAsia="Cambria Math"/>
          <w:spacing w:val="-4"/>
          <w:w w:val="110"/>
          <w:sz w:val="24"/>
          <w:vertAlign w:val="subscript"/>
        </w:rPr>
        <w:t>𝑠</w:t>
      </w:r>
      <w:r>
        <w:rPr>
          <w:rFonts w:ascii="Cambria Math" w:hAnsi="Cambria Math" w:eastAsia="Cambria Math"/>
          <w:spacing w:val="-4"/>
          <w:w w:val="110"/>
          <w:sz w:val="24"/>
          <w:vertAlign w:val="superscript"/>
        </w:rPr>
        <w:t>𝑊</w:t>
      </w:r>
      <w:r>
        <w:rPr>
          <w:rFonts w:ascii="Cambria Math" w:hAnsi="Cambria Math" w:eastAsia="Cambria Math"/>
          <w:spacing w:val="-4"/>
          <w:w w:val="110"/>
          <w:position w:val="6"/>
          <w:sz w:val="14"/>
          <w:vertAlign w:val="baseline"/>
        </w:rPr>
        <w:t>𝑠</w:t>
      </w:r>
      <w:r>
        <w:rPr>
          <w:rFonts w:ascii="Cambria Math" w:hAnsi="Cambria Math" w:eastAsia="Cambria Math"/>
          <w:spacing w:val="-4"/>
          <w:w w:val="110"/>
          <w:sz w:val="24"/>
          <w:vertAlign w:val="baseline"/>
        </w:rPr>
        <w:t>⌋</w:t>
      </w:r>
    </w:p>
    <w:p>
      <w:pPr>
        <w:spacing w:before="92"/>
        <w:ind w:left="1138" w:right="0" w:firstLine="0"/>
        <w:jc w:val="left"/>
        <w:rPr>
          <w:rFonts w:ascii="Cambria Math" w:eastAsia="Cambria Math"/>
          <w:sz w:val="17"/>
        </w:rPr>
      </w:pPr>
      <w:r>
        <w:rPr>
          <w:rFonts w:ascii="Cambria Math" w:eastAsia="Cambria Math"/>
          <w:spacing w:val="-5"/>
          <w:sz w:val="17"/>
        </w:rPr>
        <w:t>𝑠=1</w:t>
      </w:r>
    </w:p>
    <w:p>
      <w:pPr>
        <w:spacing w:line="140" w:lineRule="exact" w:before="0"/>
        <w:ind w:left="59" w:right="0" w:firstLine="0"/>
        <w:jc w:val="left"/>
        <w:rPr>
          <w:rFonts w:ascii="Cambria Math" w:eastAsia="Cambria Math"/>
          <w:sz w:val="14"/>
        </w:rPr>
      </w:pPr>
      <w:r>
        <w:rPr/>
        <w:br w:type="column"/>
      </w:r>
      <w:r>
        <w:rPr>
          <w:rFonts w:ascii="Cambria Math" w:eastAsia="Cambria Math"/>
          <w:spacing w:val="-5"/>
          <w:w w:val="105"/>
          <w:sz w:val="14"/>
        </w:rPr>
        <w:t>𝑠=1</w:t>
      </w:r>
    </w:p>
    <w:p>
      <w:pPr>
        <w:pStyle w:val="BodyText"/>
        <w:spacing w:before="113"/>
        <w:ind w:left="267"/>
        <w:rPr>
          <w:rFonts w:ascii="Cambria Math"/>
        </w:rPr>
      </w:pPr>
      <w:r>
        <w:rPr/>
        <w:br w:type="column"/>
      </w:r>
      <w:r>
        <w:rPr>
          <w:rFonts w:ascii="Cambria Math"/>
          <w:spacing w:val="-2"/>
          <w:position w:val="1"/>
        </w:rPr>
        <w:t>(</w:t>
      </w:r>
      <w:r>
        <w:rPr>
          <w:rFonts w:ascii="Cambria Math"/>
          <w:spacing w:val="-2"/>
        </w:rPr>
        <w:t>2.7</w:t>
      </w:r>
      <w:r>
        <w:rPr>
          <w:rFonts w:ascii="Cambria Math"/>
          <w:spacing w:val="-2"/>
          <w:position w:val="1"/>
        </w:rPr>
        <w:t>)</w:t>
      </w:r>
    </w:p>
    <w:p>
      <w:pPr>
        <w:spacing w:after="0"/>
        <w:rPr>
          <w:rFonts w:ascii="Cambria Math"/>
        </w:rPr>
        <w:sectPr>
          <w:type w:val="continuous"/>
          <w:pgSz w:w="12240" w:h="15840"/>
          <w:pgMar w:header="0" w:footer="1068" w:top="1340" w:bottom="1260" w:left="1720" w:right="680"/>
          <w:cols w:num="3" w:equalWidth="0">
            <w:col w:w="2113" w:space="40"/>
            <w:col w:w="355" w:space="5543"/>
            <w:col w:w="1789"/>
          </w:cols>
        </w:sectPr>
      </w:pPr>
    </w:p>
    <w:p>
      <w:pPr>
        <w:spacing w:before="31"/>
        <w:ind w:left="267" w:right="0" w:firstLine="0"/>
        <w:jc w:val="left"/>
        <w:rPr>
          <w:rFonts w:ascii="Cambria Math" w:eastAsia="Cambria Math"/>
          <w:sz w:val="24"/>
        </w:rPr>
      </w:pPr>
      <w:r>
        <w:rPr>
          <w:rFonts w:ascii="Cambria Math" w:eastAsia="Cambria Math"/>
          <w:sz w:val="24"/>
        </w:rPr>
        <w:t>𝑊𝑃𝐼</w:t>
      </w:r>
      <w:r>
        <w:rPr>
          <w:rFonts w:ascii="Cambria Math" w:eastAsia="Cambria Math"/>
          <w:spacing w:val="21"/>
          <w:sz w:val="24"/>
        </w:rPr>
        <w:t> </w:t>
      </w:r>
      <w:r>
        <w:rPr>
          <w:rFonts w:ascii="Cambria Math" w:eastAsia="Cambria Math"/>
          <w:spacing w:val="-10"/>
          <w:sz w:val="24"/>
        </w:rPr>
        <w:t>=</w:t>
      </w:r>
    </w:p>
    <w:p>
      <w:pPr>
        <w:pStyle w:val="BodyText"/>
        <w:rPr>
          <w:rFonts w:ascii="Cambria Math"/>
          <w:sz w:val="16"/>
        </w:rPr>
      </w:pPr>
    </w:p>
    <w:p>
      <w:pPr>
        <w:spacing w:after="0"/>
        <w:rPr>
          <w:rFonts w:ascii="Cambria Math"/>
          <w:sz w:val="16"/>
        </w:rPr>
        <w:sectPr>
          <w:pgSz w:w="12240" w:h="15840"/>
          <w:pgMar w:header="0" w:footer="1068" w:top="1380" w:bottom="1260" w:left="1720" w:right="680"/>
        </w:sectPr>
      </w:pPr>
    </w:p>
    <w:p>
      <w:pPr>
        <w:pStyle w:val="BodyText"/>
        <w:spacing w:before="12"/>
        <w:rPr>
          <w:rFonts w:ascii="Cambria Math"/>
          <w:sz w:val="14"/>
        </w:rPr>
      </w:pPr>
    </w:p>
    <w:p>
      <w:pPr>
        <w:tabs>
          <w:tab w:pos="1729" w:val="left" w:leader="none"/>
        </w:tabs>
        <w:spacing w:line="188" w:lineRule="exact" w:before="0"/>
        <w:ind w:left="846" w:right="0" w:firstLine="0"/>
        <w:jc w:val="left"/>
        <w:rPr>
          <w:rFonts w:ascii="Cambria Math" w:hAnsi="Cambria Math" w:eastAsia="Cambria Math"/>
          <w:sz w:val="14"/>
        </w:rPr>
      </w:pPr>
      <w:r>
        <w:rPr>
          <w:rFonts w:ascii="Cambria Math" w:hAnsi="Cambria Math" w:eastAsia="Cambria Math"/>
          <w:spacing w:val="-10"/>
          <w:w w:val="115"/>
          <w:position w:val="1"/>
          <w:sz w:val="17"/>
        </w:rPr>
        <w:t>𝑛</w:t>
      </w:r>
      <w:r>
        <w:rPr>
          <w:rFonts w:ascii="Cambria Math" w:hAnsi="Cambria Math" w:eastAsia="Cambria Math"/>
          <w:position w:val="1"/>
          <w:sz w:val="17"/>
        </w:rPr>
        <w:tab/>
      </w:r>
      <w:r>
        <w:rPr>
          <w:rFonts w:ascii="Cambria Math" w:hAnsi="Cambria Math" w:eastAsia="Cambria Math"/>
          <w:spacing w:val="-87"/>
          <w:w w:val="115"/>
          <w:position w:val="-5"/>
          <w:sz w:val="14"/>
        </w:rPr>
        <w:t>∑</w:t>
      </w:r>
      <w:r>
        <w:rPr>
          <w:rFonts w:ascii="Cambria Math" w:hAnsi="Cambria Math" w:eastAsia="Cambria Math"/>
          <w:spacing w:val="-87"/>
          <w:w w:val="115"/>
          <w:sz w:val="14"/>
        </w:rPr>
        <w:t>𝑛</w:t>
      </w:r>
    </w:p>
    <w:p>
      <w:pPr>
        <w:spacing w:before="75"/>
        <w:ind w:left="10" w:right="0" w:firstLine="0"/>
        <w:jc w:val="left"/>
        <w:rPr>
          <w:rFonts w:ascii="Cambria Math"/>
          <w:sz w:val="14"/>
        </w:rPr>
      </w:pPr>
      <w:r>
        <w:rPr/>
        <w:br w:type="column"/>
      </w:r>
      <w:r>
        <w:rPr>
          <w:rFonts w:ascii="Cambria Math"/>
          <w:spacing w:val="-10"/>
          <w:w w:val="105"/>
          <w:sz w:val="14"/>
        </w:rPr>
        <w:t>1</w:t>
      </w:r>
    </w:p>
    <w:p>
      <w:pPr>
        <w:spacing w:line="90" w:lineRule="exact" w:before="35"/>
        <w:ind w:left="123" w:right="0" w:firstLine="0"/>
        <w:jc w:val="left"/>
        <w:rPr>
          <w:rFonts w:ascii="Cambria Math" w:eastAsia="Cambria Math"/>
          <w:sz w:val="14"/>
        </w:rPr>
      </w:pPr>
      <w:r>
        <w:rPr/>
        <mc:AlternateContent>
          <mc:Choice Requires="wps">
            <w:drawing>
              <wp:anchor distT="0" distB="0" distL="0" distR="0" allowOverlap="1" layoutInCell="1" locked="0" behindDoc="0" simplePos="0" relativeHeight="15746048">
                <wp:simplePos x="0" y="0"/>
                <wp:positionH relativeFrom="page">
                  <wp:posOffset>2190242</wp:posOffset>
                </wp:positionH>
                <wp:positionV relativeFrom="paragraph">
                  <wp:posOffset>9476</wp:posOffset>
                </wp:positionV>
                <wp:extent cx="369570" cy="762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369570" cy="7620"/>
                        </a:xfrm>
                        <a:custGeom>
                          <a:avLst/>
                          <a:gdLst/>
                          <a:ahLst/>
                          <a:cxnLst/>
                          <a:rect l="l" t="t" r="r" b="b"/>
                          <a:pathLst>
                            <a:path w="369570" h="7620">
                              <a:moveTo>
                                <a:pt x="369112" y="0"/>
                              </a:moveTo>
                              <a:lnTo>
                                <a:pt x="0" y="0"/>
                              </a:lnTo>
                              <a:lnTo>
                                <a:pt x="0" y="7620"/>
                              </a:lnTo>
                              <a:lnTo>
                                <a:pt x="369112" y="7620"/>
                              </a:lnTo>
                              <a:lnTo>
                                <a:pt x="369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2.460007pt;margin-top:.746191pt;width:29.064pt;height:.6pt;mso-position-horizontal-relative:page;mso-position-vertical-relative:paragraph;z-index:15746048" id="docshape73" filled="true" fillcolor="#000000" stroked="false">
                <v:fill type="solid"/>
                <w10:wrap type="none"/>
              </v:rect>
            </w:pict>
          </mc:Fallback>
        </mc:AlternateContent>
      </w:r>
      <w:r>
        <w:rPr>
          <w:rFonts w:ascii="Cambria Math" w:eastAsia="Cambria Math"/>
          <w:spacing w:val="-5"/>
          <w:w w:val="115"/>
          <w:sz w:val="14"/>
        </w:rPr>
        <w:t>𝑊</w:t>
      </w:r>
      <w:r>
        <w:rPr>
          <w:rFonts w:ascii="Cambria Math" w:eastAsia="Cambria Math"/>
          <w:spacing w:val="-5"/>
          <w:w w:val="115"/>
          <w:position w:val="-3"/>
          <w:sz w:val="14"/>
        </w:rPr>
        <w:t>𝐼</w:t>
      </w:r>
    </w:p>
    <w:p>
      <w:pPr>
        <w:spacing w:after="0" w:line="90" w:lineRule="exact"/>
        <w:jc w:val="left"/>
        <w:rPr>
          <w:rFonts w:ascii="Cambria Math" w:eastAsia="Cambria Math"/>
          <w:sz w:val="14"/>
        </w:rPr>
        <w:sectPr>
          <w:type w:val="continuous"/>
          <w:pgSz w:w="12240" w:h="15840"/>
          <w:pgMar w:header="0" w:footer="1068" w:top="1340" w:bottom="1260" w:left="1720" w:right="680"/>
          <w:cols w:num="2" w:equalWidth="0">
            <w:col w:w="1926" w:space="40"/>
            <w:col w:w="7874"/>
          </w:cols>
        </w:sectPr>
      </w:pPr>
    </w:p>
    <w:p>
      <w:pPr>
        <w:spacing w:before="106"/>
        <w:ind w:left="267" w:right="0" w:firstLine="0"/>
        <w:jc w:val="left"/>
        <w:rPr>
          <w:rFonts w:ascii="Cambria Math" w:hAnsi="Cambria Math" w:eastAsia="Cambria Math"/>
          <w:sz w:val="24"/>
        </w:rPr>
      </w:pPr>
      <w:r>
        <w:rPr>
          <w:rFonts w:ascii="Cambria Math" w:hAnsi="Cambria Math" w:eastAsia="Cambria Math"/>
          <w:w w:val="120"/>
          <w:sz w:val="24"/>
        </w:rPr>
        <w:t>=</w:t>
      </w:r>
      <w:r>
        <w:rPr>
          <w:rFonts w:ascii="Cambria Math" w:hAnsi="Cambria Math" w:eastAsia="Cambria Math"/>
          <w:spacing w:val="50"/>
          <w:w w:val="120"/>
          <w:sz w:val="24"/>
        </w:rPr>
        <w:t> </w:t>
      </w:r>
      <w:r>
        <w:rPr>
          <w:rFonts w:ascii="Cambria Math" w:hAnsi="Cambria Math" w:eastAsia="Cambria Math"/>
          <w:w w:val="120"/>
          <w:sz w:val="24"/>
        </w:rPr>
        <w:t>⌊</w:t>
      </w:r>
      <w:r>
        <w:rPr>
          <w:rFonts w:ascii="Cambria Math" w:hAnsi="Cambria Math" w:eastAsia="Cambria Math"/>
          <w:spacing w:val="-12"/>
          <w:w w:val="120"/>
          <w:sz w:val="24"/>
        </w:rPr>
        <w:t> </w:t>
      </w:r>
      <w:r>
        <w:rPr>
          <w:rFonts w:ascii="Cambria Math" w:hAnsi="Cambria Math" w:eastAsia="Cambria Math"/>
          <w:w w:val="230"/>
          <w:sz w:val="24"/>
        </w:rPr>
        <w:t>𝖦</w:t>
      </w:r>
      <w:r>
        <w:rPr>
          <w:rFonts w:ascii="Cambria Math" w:hAnsi="Cambria Math" w:eastAsia="Cambria Math"/>
          <w:spacing w:val="-32"/>
          <w:w w:val="230"/>
          <w:sz w:val="24"/>
        </w:rPr>
        <w:t> </w:t>
      </w:r>
      <w:r>
        <w:rPr>
          <w:rFonts w:ascii="Cambria Math" w:hAnsi="Cambria Math" w:eastAsia="Cambria Math"/>
          <w:spacing w:val="-2"/>
          <w:w w:val="110"/>
          <w:sz w:val="24"/>
        </w:rPr>
        <w:t>𝑋</w:t>
      </w:r>
      <w:r>
        <w:rPr>
          <w:rFonts w:ascii="Cambria Math" w:hAnsi="Cambria Math" w:eastAsia="Cambria Math"/>
          <w:spacing w:val="-2"/>
          <w:w w:val="110"/>
          <w:sz w:val="24"/>
          <w:vertAlign w:val="subscript"/>
        </w:rPr>
        <w:t>𝑖</w:t>
      </w:r>
      <w:r>
        <w:rPr>
          <w:rFonts w:ascii="Cambria Math" w:hAnsi="Cambria Math" w:eastAsia="Cambria Math"/>
          <w:spacing w:val="-2"/>
          <w:w w:val="110"/>
          <w:sz w:val="24"/>
          <w:vertAlign w:val="superscript"/>
        </w:rPr>
        <w:t>𝑊</w:t>
      </w:r>
      <w:r>
        <w:rPr>
          <w:rFonts w:ascii="Cambria Math" w:hAnsi="Cambria Math" w:eastAsia="Cambria Math"/>
          <w:spacing w:val="-2"/>
          <w:w w:val="110"/>
          <w:position w:val="7"/>
          <w:sz w:val="14"/>
          <w:vertAlign w:val="baseline"/>
        </w:rPr>
        <w:t>𝑖</w:t>
      </w:r>
      <w:r>
        <w:rPr>
          <w:rFonts w:ascii="Cambria Math" w:hAnsi="Cambria Math" w:eastAsia="Cambria Math"/>
          <w:spacing w:val="-2"/>
          <w:w w:val="110"/>
          <w:sz w:val="24"/>
          <w:vertAlign w:val="baseline"/>
        </w:rPr>
        <w:t>⌋</w:t>
      </w:r>
    </w:p>
    <w:p>
      <w:pPr>
        <w:spacing w:before="92"/>
        <w:ind w:left="73" w:right="0" w:firstLine="0"/>
        <w:jc w:val="center"/>
        <w:rPr>
          <w:rFonts w:ascii="Cambria Math" w:eastAsia="Cambria Math"/>
          <w:sz w:val="17"/>
        </w:rPr>
      </w:pPr>
      <w:r>
        <w:rPr>
          <w:rFonts w:ascii="Cambria Math" w:eastAsia="Cambria Math"/>
          <w:spacing w:val="-5"/>
          <w:w w:val="105"/>
          <w:sz w:val="17"/>
        </w:rPr>
        <w:t>𝑖=1</w:t>
      </w:r>
    </w:p>
    <w:p>
      <w:pPr>
        <w:spacing w:line="139" w:lineRule="exact" w:before="0"/>
        <w:ind w:left="58" w:right="0" w:firstLine="0"/>
        <w:jc w:val="left"/>
        <w:rPr>
          <w:rFonts w:ascii="Cambria Math" w:eastAsia="Cambria Math"/>
          <w:sz w:val="14"/>
        </w:rPr>
      </w:pPr>
      <w:r>
        <w:rPr/>
        <w:br w:type="column"/>
      </w:r>
      <w:r>
        <w:rPr>
          <w:rFonts w:ascii="Cambria Math" w:eastAsia="Cambria Math"/>
          <w:spacing w:val="-5"/>
          <w:w w:val="105"/>
          <w:sz w:val="14"/>
        </w:rPr>
        <w:t>𝑖=1</w:t>
      </w:r>
    </w:p>
    <w:p>
      <w:pPr>
        <w:pStyle w:val="BodyText"/>
        <w:spacing w:before="96"/>
        <w:ind w:left="267"/>
        <w:rPr>
          <w:rFonts w:ascii="Cambria Math"/>
        </w:rPr>
      </w:pPr>
      <w:r>
        <w:rPr/>
        <w:br w:type="column"/>
      </w:r>
      <w:r>
        <w:rPr>
          <w:rFonts w:ascii="Cambria Math"/>
          <w:spacing w:val="-2"/>
          <w:position w:val="1"/>
        </w:rPr>
        <w:t>(</w:t>
      </w:r>
      <w:r>
        <w:rPr>
          <w:rFonts w:ascii="Cambria Math"/>
          <w:spacing w:val="-2"/>
        </w:rPr>
        <w:t>2.8</w:t>
      </w:r>
      <w:r>
        <w:rPr>
          <w:rFonts w:ascii="Cambria Math"/>
          <w:spacing w:val="-2"/>
          <w:position w:val="1"/>
        </w:rPr>
        <w:t>)</w:t>
      </w:r>
    </w:p>
    <w:p>
      <w:pPr>
        <w:spacing w:after="0"/>
        <w:rPr>
          <w:rFonts w:ascii="Cambria Math"/>
        </w:rPr>
        <w:sectPr>
          <w:type w:val="continuous"/>
          <w:pgSz w:w="12240" w:h="15840"/>
          <w:pgMar w:header="0" w:footer="1068" w:top="1340" w:bottom="1260" w:left="1720" w:right="680"/>
          <w:cols w:num="3" w:equalWidth="0">
            <w:col w:w="1729" w:space="40"/>
            <w:col w:w="338" w:space="5059"/>
            <w:col w:w="2674"/>
          </w:cols>
        </w:sectPr>
      </w:pPr>
    </w:p>
    <w:p>
      <w:pPr>
        <w:pStyle w:val="BodyText"/>
        <w:rPr>
          <w:rFonts w:ascii="Cambria Math"/>
        </w:rPr>
      </w:pPr>
    </w:p>
    <w:p>
      <w:pPr>
        <w:pStyle w:val="BodyText"/>
        <w:spacing w:before="232"/>
        <w:rPr>
          <w:rFonts w:ascii="Cambria Math"/>
        </w:rPr>
      </w:pPr>
    </w:p>
    <w:p>
      <w:pPr>
        <w:pStyle w:val="BodyText"/>
        <w:spacing w:line="480" w:lineRule="auto"/>
        <w:ind w:left="267" w:right="726"/>
        <w:jc w:val="both"/>
      </w:pPr>
      <w:r>
        <w:rPr/>
        <w:t>In equation 2.7,</w:t>
      </w:r>
      <w:r>
        <w:rPr>
          <w:spacing w:val="40"/>
        </w:rPr>
        <w:t> </w:t>
      </w:r>
      <w:r>
        <w:rPr>
          <w:rFonts w:ascii="Cambria Math" w:eastAsia="Cambria Math"/>
        </w:rPr>
        <w:t>𝑋</w:t>
      </w:r>
      <w:r>
        <w:rPr>
          <w:rFonts w:ascii="Cambria Math" w:eastAsia="Cambria Math"/>
          <w:vertAlign w:val="subscript"/>
        </w:rPr>
        <w:t>𝑖</w:t>
      </w:r>
      <w:r>
        <w:rPr>
          <w:rFonts w:ascii="Cambria Math" w:eastAsia="Cambria Math"/>
          <w:vertAlign w:val="baseline"/>
        </w:rPr>
        <w:t> </w:t>
      </w:r>
      <w:r>
        <w:rPr>
          <w:vertAlign w:val="baseline"/>
        </w:rPr>
        <w:t>is the WPI component </w:t>
      </w:r>
      <w:r>
        <w:rPr>
          <w:rFonts w:ascii="Cambria Math" w:eastAsia="Cambria Math"/>
          <w:vertAlign w:val="baseline"/>
        </w:rPr>
        <w:t>𝑖 </w:t>
      </w:r>
      <w:r>
        <w:rPr>
          <w:vertAlign w:val="baseline"/>
        </w:rPr>
        <w:t>(Resource, Access, Use, Capacity and Environment), </w:t>
      </w:r>
      <w:r>
        <w:rPr>
          <w:rFonts w:ascii="Cambria Math" w:eastAsia="Cambria Math"/>
          <w:vertAlign w:val="baseline"/>
        </w:rPr>
        <w:t>𝑊</w:t>
      </w:r>
      <w:r>
        <w:rPr>
          <w:rFonts w:ascii="Cambria Math" w:eastAsia="Cambria Math"/>
          <w:vertAlign w:val="subscript"/>
        </w:rPr>
        <w:t>𝑠</w:t>
      </w:r>
      <w:r>
        <w:rPr>
          <w:rFonts w:ascii="Cambria Math" w:eastAsia="Cambria Math"/>
          <w:vertAlign w:val="baseline"/>
        </w:rPr>
        <w:t> </w:t>
      </w:r>
      <w:r>
        <w:rPr>
          <w:vertAlign w:val="baseline"/>
        </w:rPr>
        <w:t>is the weight assigned at each sub-component, </w:t>
      </w:r>
      <w:r>
        <w:rPr>
          <w:rFonts w:ascii="Cambria Math" w:eastAsia="Cambria Math"/>
          <w:vertAlign w:val="baseline"/>
        </w:rPr>
        <w:t>𝑥</w:t>
      </w:r>
      <w:r>
        <w:rPr>
          <w:rFonts w:ascii="Cambria Math" w:eastAsia="Cambria Math"/>
          <w:vertAlign w:val="subscript"/>
        </w:rPr>
        <w:t>𝑠</w:t>
      </w:r>
      <w:r>
        <w:rPr>
          <w:rFonts w:ascii="Cambria Math" w:eastAsia="Cambria Math"/>
          <w:vertAlign w:val="baseline"/>
        </w:rPr>
        <w:t> </w:t>
      </w:r>
      <w:r>
        <w:rPr>
          <w:vertAlign w:val="baseline"/>
        </w:rPr>
        <w:t>is the respective WPI sub-component and</w:t>
      </w:r>
      <w:r>
        <w:rPr>
          <w:spacing w:val="40"/>
          <w:vertAlign w:val="baseline"/>
        </w:rPr>
        <w:t> </w:t>
      </w:r>
      <w:r>
        <w:rPr>
          <w:rFonts w:ascii="Cambria Math" w:eastAsia="Cambria Math"/>
          <w:vertAlign w:val="baseline"/>
        </w:rPr>
        <w:t>𝑧 </w:t>
      </w:r>
      <w:r>
        <w:rPr>
          <w:vertAlign w:val="baseline"/>
        </w:rPr>
        <w:t>is the number of WPI sub-components. In equation 2.8,</w:t>
      </w:r>
      <w:r>
        <w:rPr>
          <w:spacing w:val="40"/>
          <w:vertAlign w:val="baseline"/>
        </w:rPr>
        <w:t> </w:t>
      </w:r>
      <w:r>
        <w:rPr>
          <w:rFonts w:ascii="Cambria Math" w:eastAsia="Cambria Math"/>
          <w:vertAlign w:val="baseline"/>
        </w:rPr>
        <w:t>𝑊𝑃𝐼 </w:t>
      </w:r>
      <w:r>
        <w:rPr>
          <w:vertAlign w:val="baseline"/>
        </w:rPr>
        <w:t>is the water poverty index value for a particular locality, </w:t>
      </w:r>
      <w:r>
        <w:rPr>
          <w:rFonts w:ascii="Cambria Math" w:eastAsia="Cambria Math"/>
          <w:vertAlign w:val="baseline"/>
        </w:rPr>
        <w:t>𝑊</w:t>
      </w:r>
      <w:r>
        <w:rPr>
          <w:rFonts w:ascii="Cambria Math" w:eastAsia="Cambria Math"/>
          <w:vertAlign w:val="subscript"/>
        </w:rPr>
        <w:t>𝑖</w:t>
      </w:r>
      <w:r>
        <w:rPr>
          <w:rFonts w:ascii="Cambria Math" w:eastAsia="Cambria Math"/>
          <w:vertAlign w:val="baseline"/>
        </w:rPr>
        <w:t> </w:t>
      </w:r>
      <w:r>
        <w:rPr>
          <w:vertAlign w:val="baseline"/>
        </w:rPr>
        <w:t>is the weight applied to each component,</w:t>
      </w:r>
      <w:r>
        <w:rPr>
          <w:spacing w:val="-3"/>
          <w:vertAlign w:val="baseline"/>
        </w:rPr>
        <w:t> </w:t>
      </w:r>
      <w:r>
        <w:rPr>
          <w:rFonts w:ascii="Cambria Math" w:eastAsia="Cambria Math"/>
          <w:vertAlign w:val="baseline"/>
        </w:rPr>
        <w:t>𝑋</w:t>
      </w:r>
      <w:r>
        <w:rPr>
          <w:rFonts w:ascii="Cambria Math" w:eastAsia="Cambria Math"/>
          <w:vertAlign w:val="subscript"/>
        </w:rPr>
        <w:t>𝑖</w:t>
      </w:r>
      <w:r>
        <w:rPr>
          <w:rFonts w:ascii="Cambria Math" w:eastAsia="Cambria Math"/>
          <w:spacing w:val="17"/>
          <w:vertAlign w:val="baseline"/>
        </w:rPr>
        <w:t> </w:t>
      </w:r>
      <w:r>
        <w:rPr>
          <w:vertAlign w:val="baseline"/>
        </w:rPr>
        <w:t>is</w:t>
      </w:r>
      <w:r>
        <w:rPr>
          <w:spacing w:val="-3"/>
          <w:vertAlign w:val="baseline"/>
        </w:rPr>
        <w:t> </w:t>
      </w:r>
      <w:r>
        <w:rPr>
          <w:vertAlign w:val="baseline"/>
        </w:rPr>
        <w:t>the</w:t>
      </w:r>
      <w:r>
        <w:rPr>
          <w:spacing w:val="-4"/>
          <w:vertAlign w:val="baseline"/>
        </w:rPr>
        <w:t> </w:t>
      </w:r>
      <w:r>
        <w:rPr>
          <w:vertAlign w:val="baseline"/>
        </w:rPr>
        <w:t>WPI</w:t>
      </w:r>
      <w:r>
        <w:rPr>
          <w:spacing w:val="-9"/>
          <w:vertAlign w:val="baseline"/>
        </w:rPr>
        <w:t> </w:t>
      </w:r>
      <w:r>
        <w:rPr>
          <w:vertAlign w:val="baseline"/>
        </w:rPr>
        <w:t>component</w:t>
      </w:r>
      <w:r>
        <w:rPr>
          <w:spacing w:val="-2"/>
          <w:vertAlign w:val="baseline"/>
        </w:rPr>
        <w:t> </w:t>
      </w:r>
      <w:r>
        <w:rPr>
          <w:rFonts w:ascii="Cambria Math" w:eastAsia="Cambria Math"/>
          <w:vertAlign w:val="baseline"/>
        </w:rPr>
        <w:t>𝑖 </w:t>
      </w:r>
      <w:r>
        <w:rPr>
          <w:vertAlign w:val="baseline"/>
        </w:rPr>
        <w:t>(Resource,</w:t>
      </w:r>
      <w:r>
        <w:rPr>
          <w:spacing w:val="-3"/>
          <w:vertAlign w:val="baseline"/>
        </w:rPr>
        <w:t> </w:t>
      </w:r>
      <w:r>
        <w:rPr>
          <w:vertAlign w:val="baseline"/>
        </w:rPr>
        <w:t>Access,</w:t>
      </w:r>
      <w:r>
        <w:rPr>
          <w:spacing w:val="-3"/>
          <w:vertAlign w:val="baseline"/>
        </w:rPr>
        <w:t> </w:t>
      </w:r>
      <w:r>
        <w:rPr>
          <w:vertAlign w:val="baseline"/>
        </w:rPr>
        <w:t>Use,</w:t>
      </w:r>
      <w:r>
        <w:rPr>
          <w:spacing w:val="-3"/>
          <w:vertAlign w:val="baseline"/>
        </w:rPr>
        <w:t> </w:t>
      </w:r>
      <w:r>
        <w:rPr>
          <w:vertAlign w:val="baseline"/>
        </w:rPr>
        <w:t>Capacity</w:t>
      </w:r>
      <w:r>
        <w:rPr>
          <w:spacing w:val="-8"/>
          <w:vertAlign w:val="baseline"/>
        </w:rPr>
        <w:t> </w:t>
      </w:r>
      <w:r>
        <w:rPr>
          <w:vertAlign w:val="baseline"/>
        </w:rPr>
        <w:t>and</w:t>
      </w:r>
      <w:r>
        <w:rPr>
          <w:spacing w:val="-1"/>
          <w:vertAlign w:val="baseline"/>
        </w:rPr>
        <w:t> </w:t>
      </w:r>
      <w:r>
        <w:rPr>
          <w:vertAlign w:val="baseline"/>
        </w:rPr>
        <w:t>Environment) and </w:t>
      </w:r>
      <w:r>
        <w:rPr>
          <w:rFonts w:ascii="Cambria Math" w:eastAsia="Cambria Math"/>
          <w:vertAlign w:val="baseline"/>
        </w:rPr>
        <w:t>𝑛 </w:t>
      </w:r>
      <w:r>
        <w:rPr>
          <w:vertAlign w:val="baseline"/>
        </w:rPr>
        <w:t>is the number of WPI components.</w:t>
      </w:r>
    </w:p>
    <w:p>
      <w:pPr>
        <w:pStyle w:val="Heading1"/>
        <w:numPr>
          <w:ilvl w:val="2"/>
          <w:numId w:val="6"/>
        </w:numPr>
        <w:tabs>
          <w:tab w:pos="926" w:val="left" w:leader="none"/>
        </w:tabs>
        <w:spacing w:line="240" w:lineRule="auto" w:before="5" w:after="0"/>
        <w:ind w:left="926" w:right="0" w:hanging="659"/>
        <w:jc w:val="left"/>
      </w:pPr>
      <w:r>
        <w:rPr/>
        <w:t>Validity</w:t>
      </w:r>
      <w:r>
        <w:rPr>
          <w:spacing w:val="-2"/>
        </w:rPr>
        <w:t> </w:t>
      </w:r>
      <w:r>
        <w:rPr/>
        <w:t>of</w:t>
      </w:r>
      <w:r>
        <w:rPr>
          <w:spacing w:val="1"/>
        </w:rPr>
        <w:t> </w:t>
      </w:r>
      <w:r>
        <w:rPr/>
        <w:t>the</w:t>
      </w:r>
      <w:r>
        <w:rPr>
          <w:spacing w:val="1"/>
        </w:rPr>
        <w:t> </w:t>
      </w:r>
      <w:r>
        <w:rPr>
          <w:spacing w:val="-4"/>
        </w:rPr>
        <w:t>Index</w:t>
      </w:r>
    </w:p>
    <w:p>
      <w:pPr>
        <w:pStyle w:val="BodyText"/>
        <w:spacing w:before="14"/>
        <w:rPr>
          <w:b/>
        </w:rPr>
      </w:pPr>
    </w:p>
    <w:p>
      <w:pPr>
        <w:pStyle w:val="BodyText"/>
        <w:spacing w:line="480" w:lineRule="auto" w:before="1"/>
        <w:ind w:left="267" w:right="723"/>
        <w:jc w:val="both"/>
      </w:pPr>
      <w:r>
        <w:rPr/>
        <w:t>Validation</w:t>
      </w:r>
      <w:r>
        <w:rPr>
          <w:spacing w:val="-4"/>
        </w:rPr>
        <w:t> </w:t>
      </w:r>
      <w:r>
        <w:rPr/>
        <w:t>is</w:t>
      </w:r>
      <w:r>
        <w:rPr>
          <w:spacing w:val="-3"/>
        </w:rPr>
        <w:t> </w:t>
      </w:r>
      <w:r>
        <w:rPr/>
        <w:t>the</w:t>
      </w:r>
      <w:r>
        <w:rPr>
          <w:spacing w:val="-4"/>
        </w:rPr>
        <w:t> </w:t>
      </w:r>
      <w:r>
        <w:rPr/>
        <w:t>last</w:t>
      </w:r>
      <w:r>
        <w:rPr>
          <w:spacing w:val="-4"/>
        </w:rPr>
        <w:t> </w:t>
      </w:r>
      <w:r>
        <w:rPr/>
        <w:t>stage</w:t>
      </w:r>
      <w:r>
        <w:rPr>
          <w:spacing w:val="-5"/>
        </w:rPr>
        <w:t> </w:t>
      </w:r>
      <w:r>
        <w:rPr/>
        <w:t>of</w:t>
      </w:r>
      <w:r>
        <w:rPr>
          <w:spacing w:val="-5"/>
        </w:rPr>
        <w:t> </w:t>
      </w:r>
      <w:r>
        <w:rPr/>
        <w:t>the</w:t>
      </w:r>
      <w:r>
        <w:rPr>
          <w:spacing w:val="-2"/>
        </w:rPr>
        <w:t> </w:t>
      </w:r>
      <w:r>
        <w:rPr/>
        <w:t>water</w:t>
      </w:r>
      <w:r>
        <w:rPr>
          <w:spacing w:val="-5"/>
        </w:rPr>
        <w:t> </w:t>
      </w:r>
      <w:r>
        <w:rPr/>
        <w:t>poverty</w:t>
      </w:r>
      <w:r>
        <w:rPr>
          <w:spacing w:val="-9"/>
        </w:rPr>
        <w:t> </w:t>
      </w:r>
      <w:r>
        <w:rPr/>
        <w:t>assessment</w:t>
      </w:r>
      <w:r>
        <w:rPr>
          <w:spacing w:val="-3"/>
        </w:rPr>
        <w:t> </w:t>
      </w:r>
      <w:r>
        <w:rPr/>
        <w:t>framework.</w:t>
      </w:r>
      <w:r>
        <w:rPr>
          <w:spacing w:val="-2"/>
        </w:rPr>
        <w:t> </w:t>
      </w:r>
      <w:r>
        <w:rPr/>
        <w:t>Water</w:t>
      </w:r>
      <w:r>
        <w:rPr>
          <w:spacing w:val="-5"/>
        </w:rPr>
        <w:t> </w:t>
      </w:r>
      <w:r>
        <w:rPr/>
        <w:t>poverty</w:t>
      </w:r>
      <w:r>
        <w:rPr>
          <w:spacing w:val="-6"/>
        </w:rPr>
        <w:t> </w:t>
      </w:r>
      <w:r>
        <w:rPr/>
        <w:t>index involves</w:t>
      </w:r>
      <w:r>
        <w:rPr>
          <w:spacing w:val="-3"/>
        </w:rPr>
        <w:t> </w:t>
      </w:r>
      <w:r>
        <w:rPr/>
        <w:t>three</w:t>
      </w:r>
      <w:r>
        <w:rPr>
          <w:spacing w:val="-4"/>
        </w:rPr>
        <w:t> </w:t>
      </w:r>
      <w:r>
        <w:rPr/>
        <w:t>(3)</w:t>
      </w:r>
      <w:r>
        <w:rPr>
          <w:spacing w:val="-5"/>
        </w:rPr>
        <w:t> </w:t>
      </w:r>
      <w:r>
        <w:rPr/>
        <w:t>stages</w:t>
      </w:r>
      <w:r>
        <w:rPr>
          <w:spacing w:val="-2"/>
        </w:rPr>
        <w:t> </w:t>
      </w:r>
      <w:r>
        <w:rPr/>
        <w:t>of</w:t>
      </w:r>
      <w:r>
        <w:rPr>
          <w:spacing w:val="-3"/>
        </w:rPr>
        <w:t> </w:t>
      </w:r>
      <w:r>
        <w:rPr/>
        <w:t>subjective</w:t>
      </w:r>
      <w:r>
        <w:rPr>
          <w:spacing w:val="-4"/>
        </w:rPr>
        <w:t> </w:t>
      </w:r>
      <w:r>
        <w:rPr/>
        <w:t>judgment</w:t>
      </w:r>
      <w:r>
        <w:rPr>
          <w:spacing w:val="-3"/>
        </w:rPr>
        <w:t> </w:t>
      </w:r>
      <w:r>
        <w:rPr/>
        <w:t>of</w:t>
      </w:r>
      <w:r>
        <w:rPr>
          <w:spacing w:val="-3"/>
        </w:rPr>
        <w:t> </w:t>
      </w:r>
      <w:r>
        <w:rPr/>
        <w:t>selection</w:t>
      </w:r>
      <w:r>
        <w:rPr>
          <w:spacing w:val="-3"/>
        </w:rPr>
        <w:t> </w:t>
      </w:r>
      <w:r>
        <w:rPr/>
        <w:t>of</w:t>
      </w:r>
      <w:r>
        <w:rPr>
          <w:spacing w:val="-4"/>
        </w:rPr>
        <w:t> </w:t>
      </w:r>
      <w:r>
        <w:rPr/>
        <w:t>indicators,</w:t>
      </w:r>
      <w:r>
        <w:rPr>
          <w:spacing w:val="-3"/>
        </w:rPr>
        <w:t> </w:t>
      </w:r>
      <w:r>
        <w:rPr/>
        <w:t>the</w:t>
      </w:r>
      <w:r>
        <w:rPr>
          <w:spacing w:val="-3"/>
        </w:rPr>
        <w:t> </w:t>
      </w:r>
      <w:r>
        <w:rPr/>
        <w:t>assignment</w:t>
      </w:r>
      <w:r>
        <w:rPr>
          <w:spacing w:val="-3"/>
        </w:rPr>
        <w:t> </w:t>
      </w:r>
      <w:r>
        <w:rPr/>
        <w:t>of weight and the choice of aggregation technique (Garriga and Foguet, 2010; Korc and Ford, 2013).</w:t>
      </w:r>
      <w:r>
        <w:rPr>
          <w:spacing w:val="40"/>
        </w:rPr>
        <w:t> </w:t>
      </w:r>
      <w:r>
        <w:rPr/>
        <w:t>A justifiable basis for the index validation as noted by</w:t>
      </w:r>
      <w:r>
        <w:rPr>
          <w:spacing w:val="-5"/>
        </w:rPr>
        <w:t> </w:t>
      </w:r>
      <w:r>
        <w:rPr/>
        <w:t>Garriga and Foguet (2010) is that</w:t>
      </w:r>
      <w:r>
        <w:rPr>
          <w:spacing w:val="-15"/>
        </w:rPr>
        <w:t> </w:t>
      </w:r>
      <w:r>
        <w:rPr/>
        <w:t>the</w:t>
      </w:r>
      <w:r>
        <w:rPr>
          <w:spacing w:val="-14"/>
        </w:rPr>
        <w:t> </w:t>
      </w:r>
      <w:r>
        <w:rPr/>
        <w:t>quality</w:t>
      </w:r>
      <w:r>
        <w:rPr>
          <w:spacing w:val="-15"/>
        </w:rPr>
        <w:t> </w:t>
      </w:r>
      <w:r>
        <w:rPr/>
        <w:t>of</w:t>
      </w:r>
      <w:r>
        <w:rPr>
          <w:spacing w:val="-12"/>
        </w:rPr>
        <w:t> </w:t>
      </w:r>
      <w:r>
        <w:rPr/>
        <w:t>the</w:t>
      </w:r>
      <w:r>
        <w:rPr>
          <w:spacing w:val="-12"/>
        </w:rPr>
        <w:t> </w:t>
      </w:r>
      <w:r>
        <w:rPr/>
        <w:t>water</w:t>
      </w:r>
      <w:r>
        <w:rPr>
          <w:spacing w:val="-12"/>
        </w:rPr>
        <w:t> </w:t>
      </w:r>
      <w:r>
        <w:rPr/>
        <w:t>poverty</w:t>
      </w:r>
      <w:r>
        <w:rPr>
          <w:spacing w:val="-15"/>
        </w:rPr>
        <w:t> </w:t>
      </w:r>
      <w:r>
        <w:rPr/>
        <w:t>index</w:t>
      </w:r>
      <w:r>
        <w:rPr>
          <w:spacing w:val="-9"/>
        </w:rPr>
        <w:t> </w:t>
      </w:r>
      <w:r>
        <w:rPr/>
        <w:t>depends</w:t>
      </w:r>
      <w:r>
        <w:rPr>
          <w:spacing w:val="-11"/>
        </w:rPr>
        <w:t> </w:t>
      </w:r>
      <w:r>
        <w:rPr/>
        <w:t>largely</w:t>
      </w:r>
      <w:r>
        <w:rPr>
          <w:spacing w:val="-15"/>
        </w:rPr>
        <w:t> </w:t>
      </w:r>
      <w:r>
        <w:rPr/>
        <w:t>on</w:t>
      </w:r>
      <w:r>
        <w:rPr>
          <w:spacing w:val="-11"/>
        </w:rPr>
        <w:t> </w:t>
      </w:r>
      <w:r>
        <w:rPr/>
        <w:t>the</w:t>
      </w:r>
      <w:r>
        <w:rPr>
          <w:spacing w:val="-12"/>
        </w:rPr>
        <w:t> </w:t>
      </w:r>
      <w:r>
        <w:rPr/>
        <w:t>soundness</w:t>
      </w:r>
      <w:r>
        <w:rPr>
          <w:spacing w:val="-8"/>
        </w:rPr>
        <w:t> </w:t>
      </w:r>
      <w:r>
        <w:rPr/>
        <w:t>of</w:t>
      </w:r>
      <w:r>
        <w:rPr>
          <w:spacing w:val="-12"/>
        </w:rPr>
        <w:t> </w:t>
      </w:r>
      <w:r>
        <w:rPr/>
        <w:t>these</w:t>
      </w:r>
      <w:r>
        <w:rPr>
          <w:spacing w:val="-12"/>
        </w:rPr>
        <w:t> </w:t>
      </w:r>
      <w:r>
        <w:rPr/>
        <w:t>3</w:t>
      </w:r>
      <w:r>
        <w:rPr>
          <w:spacing w:val="-11"/>
        </w:rPr>
        <w:t> </w:t>
      </w:r>
      <w:r>
        <w:rPr/>
        <w:t>stages, in</w:t>
      </w:r>
      <w:r>
        <w:rPr>
          <w:spacing w:val="-4"/>
        </w:rPr>
        <w:t> </w:t>
      </w:r>
      <w:r>
        <w:rPr/>
        <w:t>which</w:t>
      </w:r>
      <w:r>
        <w:rPr>
          <w:spacing w:val="-2"/>
        </w:rPr>
        <w:t> </w:t>
      </w:r>
      <w:r>
        <w:rPr/>
        <w:t>critical</w:t>
      </w:r>
      <w:r>
        <w:rPr>
          <w:spacing w:val="-2"/>
        </w:rPr>
        <w:t> </w:t>
      </w:r>
      <w:r>
        <w:rPr/>
        <w:t>assumptions</w:t>
      </w:r>
      <w:r>
        <w:rPr>
          <w:spacing w:val="-4"/>
        </w:rPr>
        <w:t> </w:t>
      </w:r>
      <w:r>
        <w:rPr/>
        <w:t>were</w:t>
      </w:r>
      <w:r>
        <w:rPr>
          <w:spacing w:val="-6"/>
        </w:rPr>
        <w:t> </w:t>
      </w:r>
      <w:r>
        <w:rPr/>
        <w:t>made.</w:t>
      </w:r>
      <w:r>
        <w:rPr>
          <w:spacing w:val="-3"/>
        </w:rPr>
        <w:t> </w:t>
      </w:r>
      <w:r>
        <w:rPr/>
        <w:t>At</w:t>
      </w:r>
      <w:r>
        <w:rPr>
          <w:spacing w:val="-3"/>
        </w:rPr>
        <w:t> </w:t>
      </w:r>
      <w:r>
        <w:rPr/>
        <w:t>this</w:t>
      </w:r>
      <w:r>
        <w:rPr>
          <w:spacing w:val="-5"/>
        </w:rPr>
        <w:t> </w:t>
      </w:r>
      <w:r>
        <w:rPr/>
        <w:t>stage,</w:t>
      </w:r>
      <w:r>
        <w:rPr>
          <w:spacing w:val="-5"/>
        </w:rPr>
        <w:t> </w:t>
      </w:r>
      <w:r>
        <w:rPr/>
        <w:t>a</w:t>
      </w:r>
      <w:r>
        <w:rPr>
          <w:spacing w:val="-4"/>
        </w:rPr>
        <w:t> </w:t>
      </w:r>
      <w:r>
        <w:rPr/>
        <w:t>sensitivity</w:t>
      </w:r>
      <w:r>
        <w:rPr>
          <w:spacing w:val="-7"/>
        </w:rPr>
        <w:t> </w:t>
      </w:r>
      <w:r>
        <w:rPr/>
        <w:t>analysis</w:t>
      </w:r>
      <w:r>
        <w:rPr>
          <w:spacing w:val="-5"/>
        </w:rPr>
        <w:t> </w:t>
      </w:r>
      <w:r>
        <w:rPr/>
        <w:t>(comparison</w:t>
      </w:r>
      <w:r>
        <w:rPr>
          <w:spacing w:val="-5"/>
        </w:rPr>
        <w:t> </w:t>
      </w:r>
      <w:r>
        <w:rPr/>
        <w:t>of equal vs statistical weights; additive vs multiplicative aggregation procedure) is often conducted to test the robustness of the composite index and improve its parsimony and interpretability of the final results. According to Saisana and Tarantola (2002) sensitivity analysis minimize the risk of producing bizarre composite index.</w:t>
      </w:r>
    </w:p>
    <w:p>
      <w:pPr>
        <w:spacing w:after="0" w:line="480" w:lineRule="auto"/>
        <w:jc w:val="both"/>
        <w:sectPr>
          <w:type w:val="continuous"/>
          <w:pgSz w:w="12240" w:h="15840"/>
          <w:pgMar w:header="0" w:footer="1068" w:top="1340" w:bottom="1260" w:left="1720" w:right="680"/>
        </w:sectPr>
      </w:pPr>
    </w:p>
    <w:p>
      <w:pPr>
        <w:pStyle w:val="Heading1"/>
        <w:numPr>
          <w:ilvl w:val="1"/>
          <w:numId w:val="6"/>
        </w:numPr>
        <w:tabs>
          <w:tab w:pos="986" w:val="left" w:leader="none"/>
        </w:tabs>
        <w:spacing w:line="240" w:lineRule="auto" w:before="70" w:after="0"/>
        <w:ind w:left="986" w:right="0" w:hanging="719"/>
        <w:jc w:val="both"/>
      </w:pPr>
      <w:r>
        <w:rPr/>
        <w:t>Case</w:t>
      </w:r>
      <w:r>
        <w:rPr>
          <w:spacing w:val="-3"/>
        </w:rPr>
        <w:t> </w:t>
      </w:r>
      <w:r>
        <w:rPr/>
        <w:t>Studies</w:t>
      </w:r>
      <w:r>
        <w:rPr>
          <w:spacing w:val="-1"/>
        </w:rPr>
        <w:t> </w:t>
      </w:r>
      <w:r>
        <w:rPr/>
        <w:t>on</w:t>
      </w:r>
      <w:r>
        <w:rPr>
          <w:spacing w:val="-1"/>
        </w:rPr>
        <w:t> </w:t>
      </w:r>
      <w:r>
        <w:rPr/>
        <w:t>Water Poverty</w:t>
      </w:r>
      <w:r>
        <w:rPr>
          <w:spacing w:val="-1"/>
        </w:rPr>
        <w:t> </w:t>
      </w:r>
      <w:r>
        <w:rPr>
          <w:spacing w:val="-4"/>
        </w:rPr>
        <w:t>Index</w:t>
      </w:r>
    </w:p>
    <w:p>
      <w:pPr>
        <w:pStyle w:val="BodyText"/>
        <w:spacing w:before="15"/>
        <w:rPr>
          <w:b/>
        </w:rPr>
      </w:pPr>
    </w:p>
    <w:p>
      <w:pPr>
        <w:pStyle w:val="BodyText"/>
        <w:spacing w:line="480" w:lineRule="auto"/>
        <w:ind w:left="267" w:right="729"/>
        <w:jc w:val="both"/>
      </w:pPr>
      <w:r>
        <w:rPr/>
        <w:t>Evidence of research case studies on water poverty are presented in two sections, namely across the globe and within the Nigerian context as shown in sections 2.8.1 and 2.8.2 </w:t>
      </w:r>
      <w:r>
        <w:rPr>
          <w:spacing w:val="-2"/>
        </w:rPr>
        <w:t>respectively.</w:t>
      </w:r>
    </w:p>
    <w:p>
      <w:pPr>
        <w:pStyle w:val="Heading1"/>
        <w:numPr>
          <w:ilvl w:val="2"/>
          <w:numId w:val="6"/>
        </w:numPr>
        <w:tabs>
          <w:tab w:pos="986" w:val="left" w:leader="none"/>
        </w:tabs>
        <w:spacing w:line="240" w:lineRule="auto" w:before="7" w:after="0"/>
        <w:ind w:left="986" w:right="0" w:hanging="719"/>
        <w:jc w:val="both"/>
      </w:pPr>
      <w:r>
        <w:rPr/>
        <w:t>Cross-country</w:t>
      </w:r>
      <w:r>
        <w:rPr>
          <w:spacing w:val="-6"/>
        </w:rPr>
        <w:t> </w:t>
      </w:r>
      <w:r>
        <w:rPr>
          <w:spacing w:val="-2"/>
        </w:rPr>
        <w:t>evidence</w:t>
      </w:r>
    </w:p>
    <w:p>
      <w:pPr>
        <w:pStyle w:val="BodyText"/>
        <w:spacing w:before="14"/>
        <w:rPr>
          <w:b/>
        </w:rPr>
      </w:pPr>
    </w:p>
    <w:p>
      <w:pPr>
        <w:pStyle w:val="BodyText"/>
        <w:spacing w:line="480" w:lineRule="auto" w:before="1"/>
        <w:ind w:left="267" w:right="728"/>
        <w:jc w:val="both"/>
      </w:pPr>
      <w:r>
        <w:rPr/>
        <w:t>Vast majority of studies have provided evidence of water poverty at community/ local (Sullivan</w:t>
      </w:r>
      <w:r>
        <w:rPr>
          <w:spacing w:val="-5"/>
        </w:rPr>
        <w:t> </w:t>
      </w:r>
      <w:r>
        <w:rPr>
          <w:i/>
        </w:rPr>
        <w:t>et</w:t>
      </w:r>
      <w:r>
        <w:rPr>
          <w:i/>
          <w:spacing w:val="-5"/>
        </w:rPr>
        <w:t> </w:t>
      </w:r>
      <w:r>
        <w:rPr>
          <w:i/>
        </w:rPr>
        <w:t>al.</w:t>
      </w:r>
      <w:r>
        <w:rPr/>
        <w:t>,</w:t>
      </w:r>
      <w:r>
        <w:rPr>
          <w:spacing w:val="-6"/>
        </w:rPr>
        <w:t> </w:t>
      </w:r>
      <w:r>
        <w:rPr/>
        <w:t>2003;</w:t>
      </w:r>
      <w:r>
        <w:rPr>
          <w:spacing w:val="-5"/>
        </w:rPr>
        <w:t> </w:t>
      </w:r>
      <w:r>
        <w:rPr/>
        <w:t>Cullis</w:t>
      </w:r>
      <w:r>
        <w:rPr>
          <w:spacing w:val="-5"/>
        </w:rPr>
        <w:t> </w:t>
      </w:r>
      <w:r>
        <w:rPr/>
        <w:t>and</w:t>
      </w:r>
      <w:r>
        <w:rPr>
          <w:spacing w:val="-6"/>
        </w:rPr>
        <w:t> </w:t>
      </w:r>
      <w:r>
        <w:rPr/>
        <w:t>O’Regan,</w:t>
      </w:r>
      <w:r>
        <w:rPr>
          <w:spacing w:val="-6"/>
        </w:rPr>
        <w:t> </w:t>
      </w:r>
      <w:r>
        <w:rPr/>
        <w:t>2004;</w:t>
      </w:r>
      <w:r>
        <w:rPr>
          <w:spacing w:val="-1"/>
        </w:rPr>
        <w:t> </w:t>
      </w:r>
      <w:r>
        <w:rPr/>
        <w:t>Garriga</w:t>
      </w:r>
      <w:r>
        <w:rPr>
          <w:spacing w:val="-5"/>
        </w:rPr>
        <w:t> </w:t>
      </w:r>
      <w:r>
        <w:rPr/>
        <w:t>and</w:t>
      </w:r>
      <w:r>
        <w:rPr>
          <w:spacing w:val="-3"/>
        </w:rPr>
        <w:t> </w:t>
      </w:r>
      <w:r>
        <w:rPr/>
        <w:t>Foguet,</w:t>
      </w:r>
      <w:r>
        <w:rPr>
          <w:spacing w:val="-5"/>
        </w:rPr>
        <w:t> </w:t>
      </w:r>
      <w:r>
        <w:rPr/>
        <w:t>2010),</w:t>
      </w:r>
      <w:r>
        <w:rPr>
          <w:spacing w:val="-7"/>
        </w:rPr>
        <w:t> </w:t>
      </w:r>
      <w:r>
        <w:rPr/>
        <w:t>basin/</w:t>
      </w:r>
      <w:r>
        <w:rPr>
          <w:spacing w:val="-5"/>
        </w:rPr>
        <w:t> </w:t>
      </w:r>
      <w:r>
        <w:rPr/>
        <w:t>regional (Huang</w:t>
      </w:r>
      <w:r>
        <w:rPr>
          <w:spacing w:val="-3"/>
        </w:rPr>
        <w:t> </w:t>
      </w:r>
      <w:r>
        <w:rPr>
          <w:i/>
        </w:rPr>
        <w:t>et</w:t>
      </w:r>
      <w:r>
        <w:rPr>
          <w:i/>
          <w:spacing w:val="-1"/>
        </w:rPr>
        <w:t> </w:t>
      </w:r>
      <w:r>
        <w:rPr>
          <w:i/>
        </w:rPr>
        <w:t>al.</w:t>
      </w:r>
      <w:r>
        <w:rPr/>
        <w:t>,</w:t>
      </w:r>
      <w:r>
        <w:rPr>
          <w:spacing w:val="-1"/>
        </w:rPr>
        <w:t> </w:t>
      </w:r>
      <w:r>
        <w:rPr/>
        <w:t>2017)</w:t>
      </w:r>
      <w:r>
        <w:rPr>
          <w:spacing w:val="-2"/>
        </w:rPr>
        <w:t> </w:t>
      </w:r>
      <w:r>
        <w:rPr/>
        <w:t>and</w:t>
      </w:r>
      <w:r>
        <w:rPr>
          <w:spacing w:val="-1"/>
        </w:rPr>
        <w:t> </w:t>
      </w:r>
      <w:r>
        <w:rPr/>
        <w:t>national</w:t>
      </w:r>
      <w:r>
        <w:rPr>
          <w:spacing w:val="-1"/>
        </w:rPr>
        <w:t> </w:t>
      </w:r>
      <w:r>
        <w:rPr/>
        <w:t>scale</w:t>
      </w:r>
      <w:r>
        <w:rPr>
          <w:spacing w:val="-2"/>
        </w:rPr>
        <w:t> </w:t>
      </w:r>
      <w:r>
        <w:rPr/>
        <w:t>(Lawrence </w:t>
      </w:r>
      <w:r>
        <w:rPr>
          <w:i/>
        </w:rPr>
        <w:t>et</w:t>
      </w:r>
      <w:r>
        <w:rPr>
          <w:i/>
          <w:spacing w:val="-1"/>
        </w:rPr>
        <w:t> </w:t>
      </w:r>
      <w:r>
        <w:rPr>
          <w:i/>
        </w:rPr>
        <w:t>al.</w:t>
      </w:r>
      <w:r>
        <w:rPr/>
        <w:t>,</w:t>
      </w:r>
      <w:r>
        <w:rPr>
          <w:spacing w:val="-1"/>
        </w:rPr>
        <w:t> </w:t>
      </w:r>
      <w:r>
        <w:rPr/>
        <w:t>2003;</w:t>
      </w:r>
      <w:r>
        <w:rPr>
          <w:spacing w:val="-3"/>
        </w:rPr>
        <w:t> </w:t>
      </w:r>
      <w:r>
        <w:rPr/>
        <w:t>Jemmali</w:t>
      </w:r>
      <w:r>
        <w:rPr>
          <w:spacing w:val="-3"/>
        </w:rPr>
        <w:t> </w:t>
      </w:r>
      <w:r>
        <w:rPr/>
        <w:t>and</w:t>
      </w:r>
      <w:r>
        <w:rPr>
          <w:spacing w:val="-1"/>
        </w:rPr>
        <w:t> </w:t>
      </w:r>
      <w:r>
        <w:rPr/>
        <w:t>Sullivan,</w:t>
      </w:r>
      <w:r>
        <w:rPr>
          <w:spacing w:val="-2"/>
        </w:rPr>
        <w:t> </w:t>
      </w:r>
      <w:r>
        <w:rPr/>
        <w:t>2014; Jemmali and Matoussi, 2013; El-Gafy, 2018). However, while there is a wide consensus in the extant literature that the water poverty index has wide applicability to compare performance across localities, such comparison has been limited partly due to the fact that the variables to be operationalized remained loosely defined and selected on adhoc basis across geographical entities (Sullivan </w:t>
      </w:r>
      <w:r>
        <w:rPr>
          <w:i/>
        </w:rPr>
        <w:t>et al.</w:t>
      </w:r>
      <w:r>
        <w:rPr/>
        <w:t>, 2003; Cullis and O’Regan, 2004; Fenwick, </w:t>
      </w:r>
      <w:r>
        <w:rPr>
          <w:spacing w:val="-2"/>
        </w:rPr>
        <w:t>2010).</w:t>
      </w:r>
    </w:p>
    <w:p>
      <w:pPr>
        <w:pStyle w:val="BodyText"/>
        <w:spacing w:before="1"/>
      </w:pPr>
    </w:p>
    <w:p>
      <w:pPr>
        <w:pStyle w:val="BodyText"/>
        <w:spacing w:line="480" w:lineRule="auto"/>
        <w:ind w:left="267" w:right="728"/>
        <w:jc w:val="both"/>
      </w:pPr>
      <w:r>
        <w:rPr/>
        <w:t>In a</w:t>
      </w:r>
      <w:r>
        <w:rPr>
          <w:spacing w:val="-3"/>
        </w:rPr>
        <w:t> </w:t>
      </w:r>
      <w:r>
        <w:rPr/>
        <w:t>water</w:t>
      </w:r>
      <w:r>
        <w:rPr>
          <w:spacing w:val="-2"/>
        </w:rPr>
        <w:t> </w:t>
      </w:r>
      <w:r>
        <w:rPr/>
        <w:t>poverty</w:t>
      </w:r>
      <w:r>
        <w:rPr>
          <w:spacing w:val="-7"/>
        </w:rPr>
        <w:t> </w:t>
      </w:r>
      <w:r>
        <w:rPr/>
        <w:t>context,</w:t>
      </w:r>
      <w:r>
        <w:rPr>
          <w:spacing w:val="-2"/>
        </w:rPr>
        <w:t> </w:t>
      </w:r>
      <w:r>
        <w:rPr/>
        <w:t>the</w:t>
      </w:r>
      <w:r>
        <w:rPr>
          <w:spacing w:val="-3"/>
        </w:rPr>
        <w:t> </w:t>
      </w:r>
      <w:r>
        <w:rPr/>
        <w:t>study</w:t>
      </w:r>
      <w:r>
        <w:rPr>
          <w:spacing w:val="-9"/>
        </w:rPr>
        <w:t> </w:t>
      </w:r>
      <w:r>
        <w:rPr/>
        <w:t>by</w:t>
      </w:r>
      <w:r>
        <w:rPr>
          <w:spacing w:val="-7"/>
        </w:rPr>
        <w:t> </w:t>
      </w:r>
      <w:r>
        <w:rPr/>
        <w:t>Sullivan </w:t>
      </w:r>
      <w:r>
        <w:rPr>
          <w:i/>
        </w:rPr>
        <w:t>et al.</w:t>
      </w:r>
      <w:r>
        <w:rPr>
          <w:i/>
          <w:spacing w:val="-2"/>
        </w:rPr>
        <w:t> </w:t>
      </w:r>
      <w:r>
        <w:rPr/>
        <w:t>(2003)</w:t>
      </w:r>
      <w:r>
        <w:rPr>
          <w:spacing w:val="-2"/>
        </w:rPr>
        <w:t> </w:t>
      </w:r>
      <w:r>
        <w:rPr/>
        <w:t>conducted</w:t>
      </w:r>
      <w:r>
        <w:rPr>
          <w:spacing w:val="-1"/>
        </w:rPr>
        <w:t> </w:t>
      </w:r>
      <w:r>
        <w:rPr/>
        <w:t>a</w:t>
      </w:r>
      <w:r>
        <w:rPr>
          <w:spacing w:val="-3"/>
        </w:rPr>
        <w:t> </w:t>
      </w:r>
      <w:r>
        <w:rPr/>
        <w:t>pilot</w:t>
      </w:r>
      <w:r>
        <w:rPr>
          <w:spacing w:val="-2"/>
        </w:rPr>
        <w:t> </w:t>
      </w:r>
      <w:r>
        <w:rPr/>
        <w:t>study</w:t>
      </w:r>
      <w:r>
        <w:rPr>
          <w:spacing w:val="-9"/>
        </w:rPr>
        <w:t> </w:t>
      </w:r>
      <w:r>
        <w:rPr/>
        <w:t>to</w:t>
      </w:r>
      <w:r>
        <w:rPr>
          <w:spacing w:val="-2"/>
        </w:rPr>
        <w:t> </w:t>
      </w:r>
      <w:r>
        <w:rPr/>
        <w:t>test the water poverty index at the community level. Data were collected from 12 pilot sites in both rural and urban communities in South-Africa, Sri-Lanka and Tanzania. Based on a survey, over 1500 households were sampled during the rainy and dry season, with some of the</w:t>
      </w:r>
      <w:r>
        <w:rPr>
          <w:spacing w:val="-1"/>
        </w:rPr>
        <w:t> </w:t>
      </w:r>
      <w:r>
        <w:rPr/>
        <w:t>variables</w:t>
      </w:r>
      <w:r>
        <w:rPr>
          <w:spacing w:val="-1"/>
        </w:rPr>
        <w:t> </w:t>
      </w:r>
      <w:r>
        <w:rPr/>
        <w:t>in the</w:t>
      </w:r>
      <w:r>
        <w:rPr>
          <w:spacing w:val="-1"/>
        </w:rPr>
        <w:t> </w:t>
      </w:r>
      <w:r>
        <w:rPr/>
        <w:t>dataset not readily</w:t>
      </w:r>
      <w:r>
        <w:rPr>
          <w:spacing w:val="-5"/>
        </w:rPr>
        <w:t> </w:t>
      </w:r>
      <w:r>
        <w:rPr/>
        <w:t>available</w:t>
      </w:r>
      <w:r>
        <w:rPr>
          <w:spacing w:val="-1"/>
        </w:rPr>
        <w:t> </w:t>
      </w:r>
      <w:r>
        <w:rPr/>
        <w:t>in some</w:t>
      </w:r>
      <w:r>
        <w:rPr>
          <w:spacing w:val="-1"/>
        </w:rPr>
        <w:t> </w:t>
      </w:r>
      <w:r>
        <w:rPr/>
        <w:t>locations. In view of</w:t>
      </w:r>
      <w:r>
        <w:rPr>
          <w:spacing w:val="-1"/>
        </w:rPr>
        <w:t> </w:t>
      </w:r>
      <w:r>
        <w:rPr/>
        <w:t>this, the</w:t>
      </w:r>
      <w:r>
        <w:rPr>
          <w:spacing w:val="-1"/>
        </w:rPr>
        <w:t> </w:t>
      </w:r>
      <w:r>
        <w:rPr/>
        <w:t>study reported only the results of the 4 pilot sites in South Africa and Tanzania respectively. The results of the pentagrams which depicted the visual representation of water situation in a specific location showed that in South Africa, Kwalatha was identified as the neediest community,</w:t>
      </w:r>
      <w:r>
        <w:rPr>
          <w:spacing w:val="14"/>
        </w:rPr>
        <w:t> </w:t>
      </w:r>
      <w:r>
        <w:rPr/>
        <w:t>and</w:t>
      </w:r>
      <w:r>
        <w:rPr>
          <w:spacing w:val="16"/>
        </w:rPr>
        <w:t> </w:t>
      </w:r>
      <w:r>
        <w:rPr/>
        <w:t>that</w:t>
      </w:r>
      <w:r>
        <w:rPr>
          <w:spacing w:val="16"/>
        </w:rPr>
        <w:t> </w:t>
      </w:r>
      <w:r>
        <w:rPr/>
        <w:t>water</w:t>
      </w:r>
      <w:r>
        <w:rPr>
          <w:spacing w:val="15"/>
        </w:rPr>
        <w:t> </w:t>
      </w:r>
      <w:r>
        <w:rPr/>
        <w:t>development</w:t>
      </w:r>
      <w:r>
        <w:rPr>
          <w:spacing w:val="20"/>
        </w:rPr>
        <w:t> </w:t>
      </w:r>
      <w:r>
        <w:rPr/>
        <w:t>priority</w:t>
      </w:r>
      <w:r>
        <w:rPr>
          <w:spacing w:val="11"/>
        </w:rPr>
        <w:t> </w:t>
      </w:r>
      <w:r>
        <w:rPr/>
        <w:t>in</w:t>
      </w:r>
      <w:r>
        <w:rPr>
          <w:spacing w:val="16"/>
        </w:rPr>
        <w:t> </w:t>
      </w:r>
      <w:r>
        <w:rPr/>
        <w:t>any</w:t>
      </w:r>
      <w:r>
        <w:rPr>
          <w:spacing w:val="11"/>
        </w:rPr>
        <w:t> </w:t>
      </w:r>
      <w:r>
        <w:rPr/>
        <w:t>of</w:t>
      </w:r>
      <w:r>
        <w:rPr>
          <w:spacing w:val="15"/>
        </w:rPr>
        <w:t> </w:t>
      </w:r>
      <w:r>
        <w:rPr/>
        <w:t>the</w:t>
      </w:r>
      <w:r>
        <w:rPr>
          <w:spacing w:val="16"/>
        </w:rPr>
        <w:t> </w:t>
      </w:r>
      <w:r>
        <w:rPr/>
        <w:t>five</w:t>
      </w:r>
      <w:r>
        <w:rPr>
          <w:spacing w:val="17"/>
        </w:rPr>
        <w:t> </w:t>
      </w:r>
      <w:r>
        <w:rPr/>
        <w:t>water</w:t>
      </w:r>
      <w:r>
        <w:rPr>
          <w:spacing w:val="17"/>
        </w:rPr>
        <w:t> </w:t>
      </w:r>
      <w:r>
        <w:rPr/>
        <w:t>component</w:t>
      </w:r>
      <w:r>
        <w:rPr>
          <w:spacing w:val="17"/>
        </w:rPr>
        <w:t> </w:t>
      </w:r>
      <w:r>
        <w:rPr>
          <w:spacing w:val="-2"/>
        </w:rPr>
        <w:t>areas</w:t>
      </w:r>
    </w:p>
    <w:p>
      <w:pPr>
        <w:spacing w:after="0" w:line="480" w:lineRule="auto"/>
        <w:jc w:val="both"/>
        <w:sectPr>
          <w:pgSz w:w="12240" w:h="15840"/>
          <w:pgMar w:header="0" w:footer="1068" w:top="1340" w:bottom="1260" w:left="1720" w:right="680"/>
        </w:sectPr>
      </w:pPr>
    </w:p>
    <w:p>
      <w:pPr>
        <w:pStyle w:val="BodyText"/>
        <w:spacing w:line="480" w:lineRule="auto" w:before="63"/>
        <w:ind w:left="267" w:right="732"/>
        <w:jc w:val="both"/>
      </w:pPr>
      <w:r>
        <w:rPr/>
        <w:t>would be beneficial to the community. For Wembezi (a formal settlement), the pentagram indicated</w:t>
      </w:r>
      <w:r>
        <w:rPr>
          <w:spacing w:val="-5"/>
        </w:rPr>
        <w:t> </w:t>
      </w:r>
      <w:r>
        <w:rPr/>
        <w:t>a</w:t>
      </w:r>
      <w:r>
        <w:rPr>
          <w:spacing w:val="-6"/>
        </w:rPr>
        <w:t> </w:t>
      </w:r>
      <w:r>
        <w:rPr/>
        <w:t>very</w:t>
      </w:r>
      <w:r>
        <w:rPr>
          <w:spacing w:val="-10"/>
        </w:rPr>
        <w:t> </w:t>
      </w:r>
      <w:r>
        <w:rPr/>
        <w:t>high</w:t>
      </w:r>
      <w:r>
        <w:rPr>
          <w:spacing w:val="-5"/>
        </w:rPr>
        <w:t> </w:t>
      </w:r>
      <w:r>
        <w:rPr/>
        <w:t>value</w:t>
      </w:r>
      <w:r>
        <w:rPr>
          <w:spacing w:val="-5"/>
        </w:rPr>
        <w:t> </w:t>
      </w:r>
      <w:r>
        <w:rPr/>
        <w:t>for</w:t>
      </w:r>
      <w:r>
        <w:rPr>
          <w:spacing w:val="-6"/>
        </w:rPr>
        <w:t> </w:t>
      </w:r>
      <w:r>
        <w:rPr/>
        <w:t>the</w:t>
      </w:r>
      <w:r>
        <w:rPr>
          <w:spacing w:val="-6"/>
        </w:rPr>
        <w:t> </w:t>
      </w:r>
      <w:r>
        <w:rPr/>
        <w:t>access</w:t>
      </w:r>
      <w:r>
        <w:rPr>
          <w:spacing w:val="-2"/>
        </w:rPr>
        <w:t> </w:t>
      </w:r>
      <w:r>
        <w:rPr/>
        <w:t>component,</w:t>
      </w:r>
      <w:r>
        <w:rPr>
          <w:spacing w:val="-4"/>
        </w:rPr>
        <w:t> </w:t>
      </w:r>
      <w:r>
        <w:rPr/>
        <w:t>while</w:t>
      </w:r>
      <w:r>
        <w:rPr>
          <w:spacing w:val="-5"/>
        </w:rPr>
        <w:t> </w:t>
      </w:r>
      <w:r>
        <w:rPr/>
        <w:t>very</w:t>
      </w:r>
      <w:r>
        <w:rPr>
          <w:spacing w:val="-10"/>
        </w:rPr>
        <w:t> </w:t>
      </w:r>
      <w:r>
        <w:rPr/>
        <w:t>low</w:t>
      </w:r>
      <w:r>
        <w:rPr>
          <w:spacing w:val="-5"/>
        </w:rPr>
        <w:t> </w:t>
      </w:r>
      <w:r>
        <w:rPr/>
        <w:t>on</w:t>
      </w:r>
      <w:r>
        <w:rPr>
          <w:spacing w:val="-5"/>
        </w:rPr>
        <w:t> </w:t>
      </w:r>
      <w:r>
        <w:rPr/>
        <w:t>the</w:t>
      </w:r>
      <w:r>
        <w:rPr>
          <w:spacing w:val="-6"/>
        </w:rPr>
        <w:t> </w:t>
      </w:r>
      <w:r>
        <w:rPr/>
        <w:t>use</w:t>
      </w:r>
      <w:r>
        <w:rPr>
          <w:spacing w:val="-3"/>
        </w:rPr>
        <w:t> </w:t>
      </w:r>
      <w:r>
        <w:rPr/>
        <w:t>component. The pentagram for Tanzania revealed that the two rural communities of Samaria and Nkaranga though geographically contagious were quite different in terms of their water needs; with the former much more in need of improved water provision.</w:t>
      </w:r>
    </w:p>
    <w:p>
      <w:pPr>
        <w:pStyle w:val="BodyText"/>
      </w:pPr>
    </w:p>
    <w:p>
      <w:pPr>
        <w:pStyle w:val="BodyText"/>
        <w:spacing w:line="480" w:lineRule="auto"/>
        <w:ind w:left="267" w:right="725"/>
        <w:jc w:val="both"/>
      </w:pPr>
      <w:r>
        <w:rPr/>
        <w:t>Cullis and O’Regan (2004) employed the water poverty index in their case study of a municipal district in South Africa</w:t>
      </w:r>
      <w:r>
        <w:rPr>
          <w:spacing w:val="-1"/>
        </w:rPr>
        <w:t> </w:t>
      </w:r>
      <w:r>
        <w:rPr/>
        <w:t>to devise water poverty</w:t>
      </w:r>
      <w:r>
        <w:rPr>
          <w:spacing w:val="-3"/>
        </w:rPr>
        <w:t> </w:t>
      </w:r>
      <w:r>
        <w:rPr/>
        <w:t>maps. In the context of</w:t>
      </w:r>
      <w:r>
        <w:rPr>
          <w:spacing w:val="-1"/>
        </w:rPr>
        <w:t> </w:t>
      </w:r>
      <w:r>
        <w:rPr/>
        <w:t>the</w:t>
      </w:r>
      <w:r>
        <w:rPr>
          <w:spacing w:val="-1"/>
        </w:rPr>
        <w:t> </w:t>
      </w:r>
      <w:r>
        <w:rPr/>
        <w:t>study, the authors highlighted the implications of paucity of data for water poverty index in two folds:</w:t>
      </w:r>
      <w:r>
        <w:rPr>
          <w:spacing w:val="-7"/>
        </w:rPr>
        <w:t> </w:t>
      </w:r>
      <w:r>
        <w:rPr/>
        <w:t>(1)</w:t>
      </w:r>
      <w:r>
        <w:rPr>
          <w:spacing w:val="-9"/>
        </w:rPr>
        <w:t> </w:t>
      </w:r>
      <w:r>
        <w:rPr/>
        <w:t>the</w:t>
      </w:r>
      <w:r>
        <w:rPr>
          <w:spacing w:val="-8"/>
        </w:rPr>
        <w:t> </w:t>
      </w:r>
      <w:r>
        <w:rPr/>
        <w:t>lack</w:t>
      </w:r>
      <w:r>
        <w:rPr>
          <w:spacing w:val="-7"/>
        </w:rPr>
        <w:t> </w:t>
      </w:r>
      <w:r>
        <w:rPr/>
        <w:t>of</w:t>
      </w:r>
      <w:r>
        <w:rPr>
          <w:spacing w:val="-8"/>
        </w:rPr>
        <w:t> </w:t>
      </w:r>
      <w:r>
        <w:rPr/>
        <w:t>a</w:t>
      </w:r>
      <w:r>
        <w:rPr>
          <w:spacing w:val="-8"/>
        </w:rPr>
        <w:t> </w:t>
      </w:r>
      <w:r>
        <w:rPr/>
        <w:t>predetermined</w:t>
      </w:r>
      <w:r>
        <w:rPr>
          <w:spacing w:val="-7"/>
        </w:rPr>
        <w:t> </w:t>
      </w:r>
      <w:r>
        <w:rPr/>
        <w:t>of</w:t>
      </w:r>
      <w:r>
        <w:rPr>
          <w:spacing w:val="-8"/>
        </w:rPr>
        <w:t> </w:t>
      </w:r>
      <w:r>
        <w:rPr/>
        <w:t>variables</w:t>
      </w:r>
      <w:r>
        <w:rPr>
          <w:spacing w:val="-5"/>
        </w:rPr>
        <w:t> </w:t>
      </w:r>
      <w:r>
        <w:rPr/>
        <w:t>tend</w:t>
      </w:r>
      <w:r>
        <w:rPr>
          <w:spacing w:val="-8"/>
        </w:rPr>
        <w:t> </w:t>
      </w:r>
      <w:r>
        <w:rPr/>
        <w:t>to</w:t>
      </w:r>
      <w:r>
        <w:rPr>
          <w:spacing w:val="-7"/>
        </w:rPr>
        <w:t> </w:t>
      </w:r>
      <w:r>
        <w:rPr/>
        <w:t>hinder</w:t>
      </w:r>
      <w:r>
        <w:rPr>
          <w:spacing w:val="-8"/>
        </w:rPr>
        <w:t> </w:t>
      </w:r>
      <w:r>
        <w:rPr/>
        <w:t>its</w:t>
      </w:r>
      <w:r>
        <w:rPr>
          <w:spacing w:val="-7"/>
        </w:rPr>
        <w:t> </w:t>
      </w:r>
      <w:r>
        <w:rPr/>
        <w:t>application.</w:t>
      </w:r>
      <w:r>
        <w:rPr>
          <w:spacing w:val="-7"/>
        </w:rPr>
        <w:t> </w:t>
      </w:r>
      <w:r>
        <w:rPr/>
        <w:t>(2)</w:t>
      </w:r>
      <w:r>
        <w:rPr>
          <w:spacing w:val="-9"/>
        </w:rPr>
        <w:t> </w:t>
      </w:r>
      <w:r>
        <w:rPr/>
        <w:t>time</w:t>
      </w:r>
      <w:r>
        <w:rPr>
          <w:spacing w:val="-8"/>
        </w:rPr>
        <w:t> </w:t>
      </w:r>
      <w:r>
        <w:rPr/>
        <w:t>may be a critical constraint for undertaking water poverty</w:t>
      </w:r>
      <w:r>
        <w:rPr>
          <w:spacing w:val="-2"/>
        </w:rPr>
        <w:t> </w:t>
      </w:r>
      <w:r>
        <w:rPr/>
        <w:t>assessment using</w:t>
      </w:r>
      <w:r>
        <w:rPr>
          <w:spacing w:val="-2"/>
        </w:rPr>
        <w:t> </w:t>
      </w:r>
      <w:r>
        <w:rPr/>
        <w:t>water poverty</w:t>
      </w:r>
      <w:r>
        <w:rPr>
          <w:spacing w:val="-4"/>
        </w:rPr>
        <w:t> </w:t>
      </w:r>
      <w:r>
        <w:rPr/>
        <w:t>index. Although the study included a settlement which was previously assessed by Sullivan </w:t>
      </w:r>
      <w:r>
        <w:rPr>
          <w:i/>
        </w:rPr>
        <w:t>et al. </w:t>
      </w:r>
      <w:r>
        <w:rPr/>
        <w:t>(2003),</w:t>
      </w:r>
      <w:r>
        <w:rPr>
          <w:spacing w:val="-1"/>
        </w:rPr>
        <w:t> </w:t>
      </w:r>
      <w:r>
        <w:rPr/>
        <w:t>it was not possible</w:t>
      </w:r>
      <w:r>
        <w:rPr>
          <w:spacing w:val="-1"/>
        </w:rPr>
        <w:t> </w:t>
      </w:r>
      <w:r>
        <w:rPr/>
        <w:t>to compare</w:t>
      </w:r>
      <w:r>
        <w:rPr>
          <w:spacing w:val="-1"/>
        </w:rPr>
        <w:t> </w:t>
      </w:r>
      <w:r>
        <w:rPr/>
        <w:t>the</w:t>
      </w:r>
      <w:r>
        <w:rPr>
          <w:spacing w:val="-1"/>
        </w:rPr>
        <w:t> </w:t>
      </w:r>
      <w:r>
        <w:rPr/>
        <w:t>overall water</w:t>
      </w:r>
      <w:r>
        <w:rPr>
          <w:spacing w:val="-2"/>
        </w:rPr>
        <w:t> </w:t>
      </w:r>
      <w:r>
        <w:rPr/>
        <w:t>poverty</w:t>
      </w:r>
      <w:r>
        <w:rPr>
          <w:spacing w:val="-5"/>
        </w:rPr>
        <w:t> </w:t>
      </w:r>
      <w:r>
        <w:rPr/>
        <w:t>index as different variables were used in both studies- thus highlighting the problem of lack of predefined variables in water poverty assessment framework. In addition, findings from the study showed that the overall water poverty index at the macro scale (sub-catchment and national scale) significantly masked results at the local enumeration scale.</w:t>
      </w:r>
    </w:p>
    <w:p>
      <w:pPr>
        <w:pStyle w:val="BodyText"/>
        <w:spacing w:before="2"/>
      </w:pPr>
    </w:p>
    <w:p>
      <w:pPr>
        <w:pStyle w:val="BodyText"/>
        <w:spacing w:line="480" w:lineRule="auto"/>
        <w:ind w:left="267" w:right="727"/>
        <w:jc w:val="both"/>
      </w:pPr>
      <w:r>
        <w:rPr/>
        <w:t>The specific study conducted by Garriga and Foguet (2010) developed a conceptual framework</w:t>
      </w:r>
      <w:r>
        <w:rPr>
          <w:spacing w:val="-3"/>
        </w:rPr>
        <w:t> </w:t>
      </w:r>
      <w:r>
        <w:rPr/>
        <w:t>for</w:t>
      </w:r>
      <w:r>
        <w:rPr>
          <w:spacing w:val="-3"/>
        </w:rPr>
        <w:t> </w:t>
      </w:r>
      <w:r>
        <w:rPr/>
        <w:t>water</w:t>
      </w:r>
      <w:r>
        <w:rPr>
          <w:spacing w:val="-3"/>
        </w:rPr>
        <w:t> </w:t>
      </w:r>
      <w:r>
        <w:rPr/>
        <w:t>poverty</w:t>
      </w:r>
      <w:r>
        <w:rPr>
          <w:spacing w:val="-8"/>
        </w:rPr>
        <w:t> </w:t>
      </w:r>
      <w:r>
        <w:rPr/>
        <w:t>index</w:t>
      </w:r>
      <w:r>
        <w:rPr>
          <w:spacing w:val="-2"/>
        </w:rPr>
        <w:t> </w:t>
      </w:r>
      <w:r>
        <w:rPr/>
        <w:t>and</w:t>
      </w:r>
      <w:r>
        <w:rPr>
          <w:spacing w:val="-3"/>
        </w:rPr>
        <w:t> </w:t>
      </w:r>
      <w:r>
        <w:rPr/>
        <w:t>applied</w:t>
      </w:r>
      <w:r>
        <w:rPr>
          <w:spacing w:val="-3"/>
        </w:rPr>
        <w:t> </w:t>
      </w:r>
      <w:r>
        <w:rPr/>
        <w:t>a</w:t>
      </w:r>
      <w:r>
        <w:rPr>
          <w:spacing w:val="-4"/>
        </w:rPr>
        <w:t> </w:t>
      </w:r>
      <w:r>
        <w:rPr/>
        <w:t>battery</w:t>
      </w:r>
      <w:r>
        <w:rPr>
          <w:spacing w:val="-11"/>
        </w:rPr>
        <w:t> </w:t>
      </w:r>
      <w:r>
        <w:rPr/>
        <w:t>of</w:t>
      </w:r>
      <w:r>
        <w:rPr>
          <w:spacing w:val="-3"/>
        </w:rPr>
        <w:t> </w:t>
      </w:r>
      <w:r>
        <w:rPr/>
        <w:t>25</w:t>
      </w:r>
      <w:r>
        <w:rPr>
          <w:spacing w:val="-3"/>
        </w:rPr>
        <w:t> </w:t>
      </w:r>
      <w:r>
        <w:rPr/>
        <w:t>indicators</w:t>
      </w:r>
      <w:r>
        <w:rPr>
          <w:spacing w:val="-3"/>
        </w:rPr>
        <w:t> </w:t>
      </w:r>
      <w:r>
        <w:rPr/>
        <w:t>sorted</w:t>
      </w:r>
      <w:r>
        <w:rPr>
          <w:spacing w:val="-3"/>
        </w:rPr>
        <w:t> </w:t>
      </w:r>
      <w:r>
        <w:rPr/>
        <w:t>into</w:t>
      </w:r>
      <w:r>
        <w:rPr>
          <w:spacing w:val="-3"/>
        </w:rPr>
        <w:t> </w:t>
      </w:r>
      <w:r>
        <w:rPr/>
        <w:t>five</w:t>
      </w:r>
      <w:r>
        <w:rPr>
          <w:spacing w:val="-5"/>
        </w:rPr>
        <w:t> </w:t>
      </w:r>
      <w:r>
        <w:rPr/>
        <w:t>(5) components</w:t>
      </w:r>
      <w:r>
        <w:rPr>
          <w:spacing w:val="-9"/>
        </w:rPr>
        <w:t> </w:t>
      </w:r>
      <w:r>
        <w:rPr/>
        <w:t>of</w:t>
      </w:r>
      <w:r>
        <w:rPr>
          <w:spacing w:val="-10"/>
        </w:rPr>
        <w:t> </w:t>
      </w:r>
      <w:r>
        <w:rPr/>
        <w:t>the</w:t>
      </w:r>
      <w:r>
        <w:rPr>
          <w:spacing w:val="-11"/>
        </w:rPr>
        <w:t> </w:t>
      </w:r>
      <w:r>
        <w:rPr/>
        <w:t>water</w:t>
      </w:r>
      <w:r>
        <w:rPr>
          <w:spacing w:val="-8"/>
        </w:rPr>
        <w:t> </w:t>
      </w:r>
      <w:r>
        <w:rPr/>
        <w:t>poverty</w:t>
      </w:r>
      <w:r>
        <w:rPr>
          <w:spacing w:val="-12"/>
        </w:rPr>
        <w:t> </w:t>
      </w:r>
      <w:r>
        <w:rPr/>
        <w:t>construct</w:t>
      </w:r>
      <w:r>
        <w:rPr>
          <w:spacing w:val="-9"/>
        </w:rPr>
        <w:t> </w:t>
      </w:r>
      <w:r>
        <w:rPr/>
        <w:t>to</w:t>
      </w:r>
      <w:r>
        <w:rPr>
          <w:spacing w:val="-9"/>
        </w:rPr>
        <w:t> </w:t>
      </w:r>
      <w:r>
        <w:rPr/>
        <w:t>Turkana</w:t>
      </w:r>
      <w:r>
        <w:rPr>
          <w:spacing w:val="-11"/>
        </w:rPr>
        <w:t> </w:t>
      </w:r>
      <w:r>
        <w:rPr/>
        <w:t>district</w:t>
      </w:r>
      <w:r>
        <w:rPr>
          <w:spacing w:val="-7"/>
        </w:rPr>
        <w:t> </w:t>
      </w:r>
      <w:r>
        <w:rPr/>
        <w:t>(comprising</w:t>
      </w:r>
      <w:r>
        <w:rPr>
          <w:spacing w:val="-12"/>
        </w:rPr>
        <w:t> </w:t>
      </w:r>
      <w:r>
        <w:rPr/>
        <w:t>158</w:t>
      </w:r>
      <w:r>
        <w:rPr>
          <w:spacing w:val="-10"/>
        </w:rPr>
        <w:t> </w:t>
      </w:r>
      <w:r>
        <w:rPr/>
        <w:t>sub-locations in</w:t>
      </w:r>
      <w:r>
        <w:rPr>
          <w:spacing w:val="4"/>
        </w:rPr>
        <w:t> </w:t>
      </w:r>
      <w:r>
        <w:rPr/>
        <w:t>the</w:t>
      </w:r>
      <w:r>
        <w:rPr>
          <w:spacing w:val="6"/>
        </w:rPr>
        <w:t> </w:t>
      </w:r>
      <w:r>
        <w:rPr/>
        <w:t>17</w:t>
      </w:r>
      <w:r>
        <w:rPr>
          <w:spacing w:val="5"/>
        </w:rPr>
        <w:t> </w:t>
      </w:r>
      <w:r>
        <w:rPr/>
        <w:t>administrative</w:t>
      </w:r>
      <w:r>
        <w:rPr>
          <w:spacing w:val="8"/>
        </w:rPr>
        <w:t> </w:t>
      </w:r>
      <w:r>
        <w:rPr/>
        <w:t>divisions)</w:t>
      </w:r>
      <w:r>
        <w:rPr>
          <w:spacing w:val="5"/>
        </w:rPr>
        <w:t> </w:t>
      </w:r>
      <w:r>
        <w:rPr/>
        <w:t>in</w:t>
      </w:r>
      <w:r>
        <w:rPr>
          <w:spacing w:val="7"/>
        </w:rPr>
        <w:t> </w:t>
      </w:r>
      <w:r>
        <w:rPr/>
        <w:t>Kenya.</w:t>
      </w:r>
      <w:r>
        <w:rPr>
          <w:spacing w:val="6"/>
        </w:rPr>
        <w:t> </w:t>
      </w:r>
      <w:r>
        <w:rPr/>
        <w:t>The</w:t>
      </w:r>
      <w:r>
        <w:rPr>
          <w:spacing w:val="7"/>
        </w:rPr>
        <w:t> </w:t>
      </w:r>
      <w:r>
        <w:rPr/>
        <w:t>battery</w:t>
      </w:r>
      <w:r>
        <w:rPr>
          <w:spacing w:val="2"/>
        </w:rPr>
        <w:t> </w:t>
      </w:r>
      <w:r>
        <w:rPr/>
        <w:t>of</w:t>
      </w:r>
      <w:r>
        <w:rPr>
          <w:spacing w:val="5"/>
        </w:rPr>
        <w:t> </w:t>
      </w:r>
      <w:r>
        <w:rPr/>
        <w:t>data</w:t>
      </w:r>
      <w:r>
        <w:rPr>
          <w:spacing w:val="8"/>
        </w:rPr>
        <w:t> </w:t>
      </w:r>
      <w:r>
        <w:rPr/>
        <w:t>was</w:t>
      </w:r>
      <w:r>
        <w:rPr>
          <w:spacing w:val="8"/>
        </w:rPr>
        <w:t> </w:t>
      </w:r>
      <w:r>
        <w:rPr/>
        <w:t>normalized</w:t>
      </w:r>
      <w:r>
        <w:rPr>
          <w:spacing w:val="6"/>
        </w:rPr>
        <w:t> </w:t>
      </w:r>
      <w:r>
        <w:rPr/>
        <w:t>and,</w:t>
      </w:r>
      <w:r>
        <w:rPr>
          <w:spacing w:val="16"/>
        </w:rPr>
        <w:t> </w:t>
      </w:r>
      <w:r>
        <w:rPr>
          <w:spacing w:val="-2"/>
        </w:rPr>
        <w:t>three</w:t>
      </w:r>
    </w:p>
    <w:p>
      <w:pPr>
        <w:pStyle w:val="BodyText"/>
        <w:spacing w:line="477" w:lineRule="auto" w:before="1"/>
        <w:ind w:left="267" w:right="735"/>
        <w:jc w:val="both"/>
      </w:pPr>
      <w:r>
        <w:rPr/>
        <w:t>(3) alternative weighting approaches and two (2) different aggregation functions were </w:t>
      </w:r>
      <w:r>
        <w:rPr>
          <w:spacing w:val="-2"/>
        </w:rPr>
        <w:t>applied.</w:t>
      </w:r>
    </w:p>
    <w:p>
      <w:pPr>
        <w:spacing w:after="0" w:line="477" w:lineRule="auto"/>
        <w:jc w:val="both"/>
        <w:sectPr>
          <w:pgSz w:w="12240" w:h="15840"/>
          <w:pgMar w:header="0" w:footer="1068" w:top="1340" w:bottom="1260" w:left="1720" w:right="680"/>
        </w:sectPr>
      </w:pPr>
    </w:p>
    <w:p>
      <w:pPr>
        <w:pStyle w:val="BodyText"/>
        <w:spacing w:line="480" w:lineRule="auto" w:before="63"/>
        <w:ind w:left="267" w:right="728"/>
        <w:jc w:val="both"/>
      </w:pPr>
      <w:r>
        <w:rPr/>
        <w:t>In</w:t>
      </w:r>
      <w:r>
        <w:rPr>
          <w:spacing w:val="-9"/>
        </w:rPr>
        <w:t> </w:t>
      </w:r>
      <w:r>
        <w:rPr/>
        <w:t>the</w:t>
      </w:r>
      <w:r>
        <w:rPr>
          <w:spacing w:val="-10"/>
        </w:rPr>
        <w:t> </w:t>
      </w:r>
      <w:r>
        <w:rPr/>
        <w:t>study,</w:t>
      </w:r>
      <w:r>
        <w:rPr>
          <w:spacing w:val="-9"/>
        </w:rPr>
        <w:t> </w:t>
      </w:r>
      <w:r>
        <w:rPr/>
        <w:t>the</w:t>
      </w:r>
      <w:r>
        <w:rPr>
          <w:spacing w:val="-10"/>
        </w:rPr>
        <w:t> </w:t>
      </w:r>
      <w:r>
        <w:rPr/>
        <w:t>principal</w:t>
      </w:r>
      <w:r>
        <w:rPr>
          <w:spacing w:val="-9"/>
        </w:rPr>
        <w:t> </w:t>
      </w:r>
      <w:r>
        <w:rPr/>
        <w:t>component</w:t>
      </w:r>
      <w:r>
        <w:rPr>
          <w:spacing w:val="-9"/>
        </w:rPr>
        <w:t> </w:t>
      </w:r>
      <w:r>
        <w:rPr/>
        <w:t>analysis</w:t>
      </w:r>
      <w:r>
        <w:rPr>
          <w:spacing w:val="-9"/>
        </w:rPr>
        <w:t> </w:t>
      </w:r>
      <w:r>
        <w:rPr/>
        <w:t>(PCA)</w:t>
      </w:r>
      <w:r>
        <w:rPr>
          <w:spacing w:val="-10"/>
        </w:rPr>
        <w:t> </w:t>
      </w:r>
      <w:r>
        <w:rPr/>
        <w:t>employed</w:t>
      </w:r>
      <w:r>
        <w:rPr>
          <w:spacing w:val="-9"/>
        </w:rPr>
        <w:t> </w:t>
      </w:r>
      <w:r>
        <w:rPr/>
        <w:t>assessed</w:t>
      </w:r>
      <w:r>
        <w:rPr>
          <w:spacing w:val="-9"/>
        </w:rPr>
        <w:t> </w:t>
      </w:r>
      <w:r>
        <w:rPr/>
        <w:t>the</w:t>
      </w:r>
      <w:r>
        <w:rPr>
          <w:spacing w:val="-10"/>
        </w:rPr>
        <w:t> </w:t>
      </w:r>
      <w:r>
        <w:rPr/>
        <w:t>appropriateness of the proposed 25 indicators as water poverty construct at both index and sub-index level. In</w:t>
      </w:r>
      <w:r>
        <w:rPr>
          <w:spacing w:val="-15"/>
        </w:rPr>
        <w:t> </w:t>
      </w:r>
      <w:r>
        <w:rPr/>
        <w:t>employing</w:t>
      </w:r>
      <w:r>
        <w:rPr>
          <w:spacing w:val="-15"/>
        </w:rPr>
        <w:t> </w:t>
      </w:r>
      <w:r>
        <w:rPr/>
        <w:t>the</w:t>
      </w:r>
      <w:r>
        <w:rPr>
          <w:spacing w:val="-15"/>
        </w:rPr>
        <w:t> </w:t>
      </w:r>
      <w:r>
        <w:rPr/>
        <w:t>PCA,</w:t>
      </w:r>
      <w:r>
        <w:rPr>
          <w:spacing w:val="-15"/>
        </w:rPr>
        <w:t> </w:t>
      </w:r>
      <w:r>
        <w:rPr/>
        <w:t>the</w:t>
      </w:r>
      <w:r>
        <w:rPr>
          <w:spacing w:val="-15"/>
        </w:rPr>
        <w:t> </w:t>
      </w:r>
      <w:r>
        <w:rPr/>
        <w:t>variance</w:t>
      </w:r>
      <w:r>
        <w:rPr>
          <w:spacing w:val="-15"/>
        </w:rPr>
        <w:t> </w:t>
      </w:r>
      <w:r>
        <w:rPr/>
        <w:t>explained</w:t>
      </w:r>
      <w:r>
        <w:rPr>
          <w:spacing w:val="-15"/>
        </w:rPr>
        <w:t> </w:t>
      </w:r>
      <w:r>
        <w:rPr/>
        <w:t>criteria</w:t>
      </w:r>
      <w:r>
        <w:rPr>
          <w:spacing w:val="-15"/>
        </w:rPr>
        <w:t> </w:t>
      </w:r>
      <w:r>
        <w:rPr/>
        <w:t>within</w:t>
      </w:r>
      <w:r>
        <w:rPr>
          <w:spacing w:val="-15"/>
        </w:rPr>
        <w:t> </w:t>
      </w:r>
      <w:r>
        <w:rPr/>
        <w:t>the</w:t>
      </w:r>
      <w:r>
        <w:rPr>
          <w:spacing w:val="-15"/>
        </w:rPr>
        <w:t> </w:t>
      </w:r>
      <w:r>
        <w:rPr/>
        <w:t>PCA</w:t>
      </w:r>
      <w:r>
        <w:rPr>
          <w:spacing w:val="-15"/>
        </w:rPr>
        <w:t> </w:t>
      </w:r>
      <w:r>
        <w:rPr/>
        <w:t>enabled</w:t>
      </w:r>
      <w:r>
        <w:rPr>
          <w:spacing w:val="-15"/>
        </w:rPr>
        <w:t> </w:t>
      </w:r>
      <w:r>
        <w:rPr/>
        <w:t>enough</w:t>
      </w:r>
      <w:r>
        <w:rPr>
          <w:spacing w:val="-15"/>
        </w:rPr>
        <w:t> </w:t>
      </w:r>
      <w:r>
        <w:rPr/>
        <w:t>factors to account for 80% of the variance (Nardo </w:t>
      </w:r>
      <w:r>
        <w:rPr>
          <w:i/>
        </w:rPr>
        <w:t>et al.</w:t>
      </w:r>
      <w:r>
        <w:rPr/>
        <w:t>, 2008). In all, the initial dataset of 25 variables were reduced to 17 non-correlated variables.</w:t>
      </w:r>
    </w:p>
    <w:p>
      <w:pPr>
        <w:pStyle w:val="BodyText"/>
      </w:pPr>
    </w:p>
    <w:p>
      <w:pPr>
        <w:pStyle w:val="BodyText"/>
        <w:spacing w:line="480" w:lineRule="auto"/>
        <w:ind w:left="267" w:right="725"/>
        <w:jc w:val="both"/>
      </w:pPr>
      <w:r>
        <w:rPr/>
        <w:t>The empirical findings from the study provided evidence that the different weighting techniques produced significant differing results. For example, both use and environment variables do not completely fulfill the criteria of independency (lower weights in PCA) for the multiplicative (geometric) form with similar overlap also exhibited in the additive form for access and capacity components. In addition, the study noted that all aggregation functions suffer to a certain extent from the problem of eclipsity, though it was more pronounced in linear aggregation in comparison to multiplicative function. Though, the authors</w:t>
      </w:r>
      <w:r>
        <w:rPr>
          <w:spacing w:val="-6"/>
        </w:rPr>
        <w:t> </w:t>
      </w:r>
      <w:r>
        <w:rPr/>
        <w:t>suggested</w:t>
      </w:r>
      <w:r>
        <w:rPr>
          <w:spacing w:val="-6"/>
        </w:rPr>
        <w:t> </w:t>
      </w:r>
      <w:r>
        <w:rPr/>
        <w:t>that</w:t>
      </w:r>
      <w:r>
        <w:rPr>
          <w:spacing w:val="-6"/>
        </w:rPr>
        <w:t> </w:t>
      </w:r>
      <w:r>
        <w:rPr/>
        <w:t>additive</w:t>
      </w:r>
      <w:r>
        <w:rPr>
          <w:spacing w:val="-6"/>
        </w:rPr>
        <w:t> </w:t>
      </w:r>
      <w:r>
        <w:rPr/>
        <w:t>aggregation</w:t>
      </w:r>
      <w:r>
        <w:rPr>
          <w:spacing w:val="-6"/>
        </w:rPr>
        <w:t> </w:t>
      </w:r>
      <w:r>
        <w:rPr/>
        <w:t>should</w:t>
      </w:r>
      <w:r>
        <w:rPr>
          <w:spacing w:val="-6"/>
        </w:rPr>
        <w:t> </w:t>
      </w:r>
      <w:r>
        <w:rPr/>
        <w:t>only</w:t>
      </w:r>
      <w:r>
        <w:rPr>
          <w:spacing w:val="-12"/>
        </w:rPr>
        <w:t> </w:t>
      </w:r>
      <w:r>
        <w:rPr/>
        <w:t>be</w:t>
      </w:r>
      <w:r>
        <w:rPr>
          <w:spacing w:val="-6"/>
        </w:rPr>
        <w:t> </w:t>
      </w:r>
      <w:r>
        <w:rPr/>
        <w:t>applied</w:t>
      </w:r>
      <w:r>
        <w:rPr>
          <w:spacing w:val="-6"/>
        </w:rPr>
        <w:t> </w:t>
      </w:r>
      <w:r>
        <w:rPr/>
        <w:t>if</w:t>
      </w:r>
      <w:r>
        <w:rPr>
          <w:spacing w:val="-6"/>
        </w:rPr>
        <w:t> </w:t>
      </w:r>
      <w:r>
        <w:rPr/>
        <w:t>indicators</w:t>
      </w:r>
      <w:r>
        <w:rPr>
          <w:spacing w:val="-6"/>
        </w:rPr>
        <w:t> </w:t>
      </w:r>
      <w:r>
        <w:rPr/>
        <w:t>are</w:t>
      </w:r>
      <w:r>
        <w:rPr>
          <w:spacing w:val="-7"/>
        </w:rPr>
        <w:t> </w:t>
      </w:r>
      <w:r>
        <w:rPr/>
        <w:t>mutually independent, the assumption of synergies among the variables is not realistic with full compensability remaining an undesirable feature of additive aggregation. In water poverty context, the study</w:t>
      </w:r>
      <w:r>
        <w:rPr>
          <w:spacing w:val="-3"/>
        </w:rPr>
        <w:t> </w:t>
      </w:r>
      <w:r>
        <w:rPr/>
        <w:t>concluded that all indicators are equally legitimate and the application of non-compensatory aggregation procedures is recommended, in which the use of geometric function might be an in-between solution.</w:t>
      </w:r>
    </w:p>
    <w:p>
      <w:pPr>
        <w:pStyle w:val="BodyText"/>
        <w:spacing w:before="3"/>
      </w:pPr>
    </w:p>
    <w:p>
      <w:pPr>
        <w:pStyle w:val="BodyText"/>
        <w:spacing w:line="480" w:lineRule="auto"/>
        <w:ind w:left="267" w:right="726"/>
        <w:jc w:val="both"/>
      </w:pPr>
      <w:r>
        <w:rPr/>
        <w:t>Zahra </w:t>
      </w:r>
      <w:r>
        <w:rPr>
          <w:i/>
        </w:rPr>
        <w:t>et al. </w:t>
      </w:r>
      <w:r>
        <w:rPr/>
        <w:t>(2012) applied a pressure-state-response model to the analysis of water poverty in</w:t>
      </w:r>
      <w:r>
        <w:rPr>
          <w:spacing w:val="-6"/>
        </w:rPr>
        <w:t> </w:t>
      </w:r>
      <w:r>
        <w:rPr/>
        <w:t>urban</w:t>
      </w:r>
      <w:r>
        <w:rPr>
          <w:spacing w:val="-5"/>
        </w:rPr>
        <w:t> </w:t>
      </w:r>
      <w:r>
        <w:rPr/>
        <w:t>areas</w:t>
      </w:r>
      <w:r>
        <w:rPr>
          <w:spacing w:val="-6"/>
        </w:rPr>
        <w:t> </w:t>
      </w:r>
      <w:r>
        <w:rPr/>
        <w:t>of</w:t>
      </w:r>
      <w:r>
        <w:rPr>
          <w:spacing w:val="-7"/>
        </w:rPr>
        <w:t> </w:t>
      </w:r>
      <w:r>
        <w:rPr/>
        <w:t>Punjab.</w:t>
      </w:r>
      <w:r>
        <w:rPr>
          <w:spacing w:val="-5"/>
        </w:rPr>
        <w:t> </w:t>
      </w:r>
      <w:r>
        <w:rPr/>
        <w:t>In</w:t>
      </w:r>
      <w:r>
        <w:rPr>
          <w:spacing w:val="-5"/>
        </w:rPr>
        <w:t> </w:t>
      </w:r>
      <w:r>
        <w:rPr/>
        <w:t>the</w:t>
      </w:r>
      <w:r>
        <w:rPr>
          <w:spacing w:val="-7"/>
        </w:rPr>
        <w:t> </w:t>
      </w:r>
      <w:r>
        <w:rPr/>
        <w:t>study,</w:t>
      </w:r>
      <w:r>
        <w:rPr>
          <w:spacing w:val="-5"/>
        </w:rPr>
        <w:t> </w:t>
      </w:r>
      <w:r>
        <w:rPr/>
        <w:t>three</w:t>
      </w:r>
      <w:r>
        <w:rPr>
          <w:spacing w:val="-7"/>
        </w:rPr>
        <w:t> </w:t>
      </w:r>
      <w:r>
        <w:rPr/>
        <w:t>(3)</w:t>
      </w:r>
      <w:r>
        <w:rPr>
          <w:spacing w:val="-7"/>
        </w:rPr>
        <w:t> </w:t>
      </w:r>
      <w:r>
        <w:rPr/>
        <w:t>panels</w:t>
      </w:r>
      <w:r>
        <w:rPr>
          <w:spacing w:val="-6"/>
        </w:rPr>
        <w:t> </w:t>
      </w:r>
      <w:r>
        <w:rPr/>
        <w:t>of</w:t>
      </w:r>
      <w:r>
        <w:rPr>
          <w:spacing w:val="-5"/>
        </w:rPr>
        <w:t> </w:t>
      </w:r>
      <w:r>
        <w:rPr/>
        <w:t>five</w:t>
      </w:r>
      <w:r>
        <w:rPr>
          <w:spacing w:val="-6"/>
        </w:rPr>
        <w:t> </w:t>
      </w:r>
      <w:r>
        <w:rPr/>
        <w:t>(5)</w:t>
      </w:r>
      <w:r>
        <w:rPr>
          <w:spacing w:val="-7"/>
        </w:rPr>
        <w:t> </w:t>
      </w:r>
      <w:r>
        <w:rPr/>
        <w:t>small,</w:t>
      </w:r>
      <w:r>
        <w:rPr>
          <w:spacing w:val="-6"/>
        </w:rPr>
        <w:t> </w:t>
      </w:r>
      <w:r>
        <w:rPr/>
        <w:t>five</w:t>
      </w:r>
      <w:r>
        <w:rPr>
          <w:spacing w:val="-7"/>
        </w:rPr>
        <w:t> </w:t>
      </w:r>
      <w:r>
        <w:rPr/>
        <w:t>(5)</w:t>
      </w:r>
      <w:r>
        <w:rPr>
          <w:spacing w:val="-5"/>
        </w:rPr>
        <w:t> </w:t>
      </w:r>
      <w:r>
        <w:rPr/>
        <w:t>intermediate and five (5) large cities were randomly selected from all areas of Punjab city in order to evaluate</w:t>
      </w:r>
      <w:r>
        <w:rPr>
          <w:spacing w:val="7"/>
        </w:rPr>
        <w:t> </w:t>
      </w:r>
      <w:r>
        <w:rPr/>
        <w:t>its</w:t>
      </w:r>
      <w:r>
        <w:rPr>
          <w:spacing w:val="8"/>
        </w:rPr>
        <w:t> </w:t>
      </w:r>
      <w:r>
        <w:rPr/>
        <w:t>water</w:t>
      </w:r>
      <w:r>
        <w:rPr>
          <w:spacing w:val="7"/>
        </w:rPr>
        <w:t> </w:t>
      </w:r>
      <w:r>
        <w:rPr/>
        <w:t>poverty</w:t>
      </w:r>
      <w:r>
        <w:rPr>
          <w:spacing w:val="6"/>
        </w:rPr>
        <w:t> </w:t>
      </w:r>
      <w:r>
        <w:rPr/>
        <w:t>levels.</w:t>
      </w:r>
      <w:r>
        <w:rPr>
          <w:spacing w:val="11"/>
        </w:rPr>
        <w:t> </w:t>
      </w:r>
      <w:r>
        <w:rPr/>
        <w:t>In</w:t>
      </w:r>
      <w:r>
        <w:rPr>
          <w:spacing w:val="8"/>
        </w:rPr>
        <w:t> </w:t>
      </w:r>
      <w:r>
        <w:rPr/>
        <w:t>terms</w:t>
      </w:r>
      <w:r>
        <w:rPr>
          <w:spacing w:val="10"/>
        </w:rPr>
        <w:t> </w:t>
      </w:r>
      <w:r>
        <w:rPr/>
        <w:t>of</w:t>
      </w:r>
      <w:r>
        <w:rPr>
          <w:spacing w:val="7"/>
        </w:rPr>
        <w:t> </w:t>
      </w:r>
      <w:r>
        <w:rPr/>
        <w:t>methodology,</w:t>
      </w:r>
      <w:r>
        <w:rPr>
          <w:spacing w:val="8"/>
        </w:rPr>
        <w:t> </w:t>
      </w:r>
      <w:r>
        <w:rPr/>
        <w:t>equal</w:t>
      </w:r>
      <w:r>
        <w:rPr>
          <w:spacing w:val="8"/>
        </w:rPr>
        <w:t> </w:t>
      </w:r>
      <w:r>
        <w:rPr/>
        <w:t>weights</w:t>
      </w:r>
      <w:r>
        <w:rPr>
          <w:spacing w:val="12"/>
        </w:rPr>
        <w:t> </w:t>
      </w:r>
      <w:r>
        <w:rPr/>
        <w:t>were</w:t>
      </w:r>
      <w:r>
        <w:rPr>
          <w:spacing w:val="6"/>
        </w:rPr>
        <w:t> </w:t>
      </w:r>
      <w:r>
        <w:rPr/>
        <w:t>used</w:t>
      </w:r>
      <w:r>
        <w:rPr>
          <w:spacing w:val="8"/>
        </w:rPr>
        <w:t> </w:t>
      </w:r>
      <w:r>
        <w:rPr/>
        <w:t>for</w:t>
      </w:r>
      <w:r>
        <w:rPr>
          <w:spacing w:val="10"/>
        </w:rPr>
        <w:t> </w:t>
      </w:r>
      <w:r>
        <w:rPr>
          <w:spacing w:val="-5"/>
        </w:rPr>
        <w:t>all</w:t>
      </w:r>
    </w:p>
    <w:p>
      <w:pPr>
        <w:pStyle w:val="BodyText"/>
        <w:spacing w:line="274" w:lineRule="exact"/>
        <w:ind w:left="267"/>
        <w:jc w:val="both"/>
      </w:pPr>
      <w:r>
        <w:rPr/>
        <w:t>the</w:t>
      </w:r>
      <w:r>
        <w:rPr>
          <w:spacing w:val="8"/>
        </w:rPr>
        <w:t> </w:t>
      </w:r>
      <w:r>
        <w:rPr/>
        <w:t>water</w:t>
      </w:r>
      <w:r>
        <w:rPr>
          <w:spacing w:val="11"/>
        </w:rPr>
        <w:t> </w:t>
      </w:r>
      <w:r>
        <w:rPr/>
        <w:t>poverty</w:t>
      </w:r>
      <w:r>
        <w:rPr>
          <w:spacing w:val="6"/>
        </w:rPr>
        <w:t> </w:t>
      </w:r>
      <w:r>
        <w:rPr/>
        <w:t>indicators</w:t>
      </w:r>
      <w:r>
        <w:rPr>
          <w:spacing w:val="10"/>
        </w:rPr>
        <w:t> </w:t>
      </w:r>
      <w:r>
        <w:rPr/>
        <w:t>and</w:t>
      </w:r>
      <w:r>
        <w:rPr>
          <w:spacing w:val="14"/>
        </w:rPr>
        <w:t> </w:t>
      </w:r>
      <w:r>
        <w:rPr/>
        <w:t>a</w:t>
      </w:r>
      <w:r>
        <w:rPr>
          <w:spacing w:val="12"/>
        </w:rPr>
        <w:t> </w:t>
      </w:r>
      <w:r>
        <w:rPr/>
        <w:t>rating</w:t>
      </w:r>
      <w:r>
        <w:rPr>
          <w:spacing w:val="9"/>
        </w:rPr>
        <w:t> </w:t>
      </w:r>
      <w:r>
        <w:rPr/>
        <w:t>continuum</w:t>
      </w:r>
      <w:r>
        <w:rPr>
          <w:spacing w:val="11"/>
        </w:rPr>
        <w:t> </w:t>
      </w:r>
      <w:r>
        <w:rPr/>
        <w:t>between</w:t>
      </w:r>
      <w:r>
        <w:rPr>
          <w:spacing w:val="11"/>
        </w:rPr>
        <w:t> </w:t>
      </w:r>
      <w:r>
        <w:rPr/>
        <w:t>0</w:t>
      </w:r>
      <w:r>
        <w:rPr>
          <w:spacing w:val="13"/>
        </w:rPr>
        <w:t> </w:t>
      </w:r>
      <w:r>
        <w:rPr/>
        <w:t>and</w:t>
      </w:r>
      <w:r>
        <w:rPr>
          <w:spacing w:val="11"/>
        </w:rPr>
        <w:t> </w:t>
      </w:r>
      <w:r>
        <w:rPr/>
        <w:t>1</w:t>
      </w:r>
      <w:r>
        <w:rPr>
          <w:spacing w:val="10"/>
        </w:rPr>
        <w:t> </w:t>
      </w:r>
      <w:r>
        <w:rPr/>
        <w:t>was</w:t>
      </w:r>
      <w:r>
        <w:rPr>
          <w:spacing w:val="14"/>
        </w:rPr>
        <w:t> </w:t>
      </w:r>
      <w:r>
        <w:rPr/>
        <w:t>assigned</w:t>
      </w:r>
      <w:r>
        <w:rPr>
          <w:spacing w:val="12"/>
        </w:rPr>
        <w:t> </w:t>
      </w:r>
      <w:r>
        <w:rPr/>
        <w:t>to</w:t>
      </w:r>
      <w:r>
        <w:rPr>
          <w:spacing w:val="12"/>
        </w:rPr>
        <w:t> </w:t>
      </w:r>
      <w:r>
        <w:rPr>
          <w:spacing w:val="-4"/>
        </w:rPr>
        <w:t>each</w:t>
      </w:r>
    </w:p>
    <w:p>
      <w:pPr>
        <w:spacing w:after="0" w:line="274" w:lineRule="exact"/>
        <w:jc w:val="both"/>
        <w:sectPr>
          <w:pgSz w:w="12240" w:h="15840"/>
          <w:pgMar w:header="0" w:footer="1068" w:top="1340" w:bottom="1260" w:left="1720" w:right="680"/>
        </w:sectPr>
      </w:pPr>
    </w:p>
    <w:p>
      <w:pPr>
        <w:pStyle w:val="BodyText"/>
        <w:spacing w:line="480" w:lineRule="auto" w:before="63"/>
        <w:ind w:left="267" w:right="725"/>
        <w:jc w:val="both"/>
      </w:pPr>
      <w:r>
        <w:rPr/>
        <w:t>parameter of the water poverty</w:t>
      </w:r>
      <w:r>
        <w:rPr>
          <w:spacing w:val="-3"/>
        </w:rPr>
        <w:t> </w:t>
      </w:r>
      <w:r>
        <w:rPr/>
        <w:t>indicator(s). The results of the water poverty</w:t>
      </w:r>
      <w:r>
        <w:rPr>
          <w:spacing w:val="-1"/>
        </w:rPr>
        <w:t> </w:t>
      </w:r>
      <w:r>
        <w:rPr/>
        <w:t>index however showed</w:t>
      </w:r>
      <w:r>
        <w:rPr>
          <w:spacing w:val="-7"/>
        </w:rPr>
        <w:t> </w:t>
      </w:r>
      <w:r>
        <w:rPr/>
        <w:t>the</w:t>
      </w:r>
      <w:r>
        <w:rPr>
          <w:spacing w:val="-8"/>
        </w:rPr>
        <w:t> </w:t>
      </w:r>
      <w:r>
        <w:rPr/>
        <w:t>prevalence</w:t>
      </w:r>
      <w:r>
        <w:rPr>
          <w:spacing w:val="-8"/>
        </w:rPr>
        <w:t> </w:t>
      </w:r>
      <w:r>
        <w:rPr/>
        <w:t>of</w:t>
      </w:r>
      <w:r>
        <w:rPr>
          <w:spacing w:val="-6"/>
        </w:rPr>
        <w:t> </w:t>
      </w:r>
      <w:r>
        <w:rPr/>
        <w:t>water</w:t>
      </w:r>
      <w:r>
        <w:rPr>
          <w:spacing w:val="-8"/>
        </w:rPr>
        <w:t> </w:t>
      </w:r>
      <w:r>
        <w:rPr/>
        <w:t>poverty</w:t>
      </w:r>
      <w:r>
        <w:rPr>
          <w:spacing w:val="-10"/>
        </w:rPr>
        <w:t> </w:t>
      </w:r>
      <w:r>
        <w:rPr/>
        <w:t>within</w:t>
      </w:r>
      <w:r>
        <w:rPr>
          <w:spacing w:val="-7"/>
        </w:rPr>
        <w:t> </w:t>
      </w:r>
      <w:r>
        <w:rPr/>
        <w:t>the</w:t>
      </w:r>
      <w:r>
        <w:rPr>
          <w:spacing w:val="-8"/>
        </w:rPr>
        <w:t> </w:t>
      </w:r>
      <w:r>
        <w:rPr/>
        <w:t>3</w:t>
      </w:r>
      <w:r>
        <w:rPr>
          <w:spacing w:val="-7"/>
        </w:rPr>
        <w:t> </w:t>
      </w:r>
      <w:r>
        <w:rPr/>
        <w:t>different</w:t>
      </w:r>
      <w:r>
        <w:rPr>
          <w:spacing w:val="-7"/>
        </w:rPr>
        <w:t> </w:t>
      </w:r>
      <w:r>
        <w:rPr/>
        <w:t>panels</w:t>
      </w:r>
      <w:r>
        <w:rPr>
          <w:spacing w:val="-7"/>
        </w:rPr>
        <w:t> </w:t>
      </w:r>
      <w:r>
        <w:rPr/>
        <w:t>of</w:t>
      </w:r>
      <w:r>
        <w:rPr>
          <w:spacing w:val="-8"/>
        </w:rPr>
        <w:t> </w:t>
      </w:r>
      <w:r>
        <w:rPr/>
        <w:t>cities</w:t>
      </w:r>
      <w:r>
        <w:rPr>
          <w:spacing w:val="-7"/>
        </w:rPr>
        <w:t> </w:t>
      </w:r>
      <w:r>
        <w:rPr/>
        <w:t>in</w:t>
      </w:r>
      <w:r>
        <w:rPr>
          <w:spacing w:val="-7"/>
        </w:rPr>
        <w:t> </w:t>
      </w:r>
      <w:r>
        <w:rPr/>
        <w:t>Punjab</w:t>
      </w:r>
      <w:r>
        <w:rPr>
          <w:spacing w:val="-8"/>
        </w:rPr>
        <w:t> </w:t>
      </w:r>
      <w:r>
        <w:rPr/>
        <w:t>area. From</w:t>
      </w:r>
      <w:r>
        <w:rPr>
          <w:spacing w:val="-13"/>
        </w:rPr>
        <w:t> </w:t>
      </w:r>
      <w:r>
        <w:rPr/>
        <w:t>a</w:t>
      </w:r>
      <w:r>
        <w:rPr>
          <w:spacing w:val="-12"/>
        </w:rPr>
        <w:t> </w:t>
      </w:r>
      <w:r>
        <w:rPr/>
        <w:t>comparative</w:t>
      </w:r>
      <w:r>
        <w:rPr>
          <w:spacing w:val="-12"/>
        </w:rPr>
        <w:t> </w:t>
      </w:r>
      <w:r>
        <w:rPr/>
        <w:t>viewpoint,</w:t>
      </w:r>
      <w:r>
        <w:rPr>
          <w:spacing w:val="-11"/>
        </w:rPr>
        <w:t> </w:t>
      </w:r>
      <w:r>
        <w:rPr/>
        <w:t>the</w:t>
      </w:r>
      <w:r>
        <w:rPr>
          <w:spacing w:val="-11"/>
        </w:rPr>
        <w:t> </w:t>
      </w:r>
      <w:r>
        <w:rPr/>
        <w:t>study</w:t>
      </w:r>
      <w:r>
        <w:rPr>
          <w:spacing w:val="-15"/>
        </w:rPr>
        <w:t> </w:t>
      </w:r>
      <w:r>
        <w:rPr/>
        <w:t>provided</w:t>
      </w:r>
      <w:r>
        <w:rPr>
          <w:spacing w:val="-11"/>
        </w:rPr>
        <w:t> </w:t>
      </w:r>
      <w:r>
        <w:rPr/>
        <w:t>evidence</w:t>
      </w:r>
      <w:r>
        <w:rPr>
          <w:spacing w:val="-12"/>
        </w:rPr>
        <w:t> </w:t>
      </w:r>
      <w:r>
        <w:rPr/>
        <w:t>that,</w:t>
      </w:r>
      <w:r>
        <w:rPr>
          <w:spacing w:val="-11"/>
        </w:rPr>
        <w:t> </w:t>
      </w:r>
      <w:r>
        <w:rPr/>
        <w:t>large</w:t>
      </w:r>
      <w:r>
        <w:rPr>
          <w:spacing w:val="-12"/>
        </w:rPr>
        <w:t> </w:t>
      </w:r>
      <w:r>
        <w:rPr/>
        <w:t>cities</w:t>
      </w:r>
      <w:r>
        <w:rPr>
          <w:spacing w:val="-9"/>
        </w:rPr>
        <w:t> </w:t>
      </w:r>
      <w:r>
        <w:rPr/>
        <w:t>have</w:t>
      </w:r>
      <w:r>
        <w:rPr>
          <w:spacing w:val="-12"/>
        </w:rPr>
        <w:t> </w:t>
      </w:r>
      <w:r>
        <w:rPr/>
        <w:t>high</w:t>
      </w:r>
      <w:r>
        <w:rPr>
          <w:spacing w:val="-11"/>
        </w:rPr>
        <w:t> </w:t>
      </w:r>
      <w:r>
        <w:rPr/>
        <w:t>water poverty values relative to small cities. They argued that factors such as high population density,</w:t>
      </w:r>
      <w:r>
        <w:rPr>
          <w:spacing w:val="-5"/>
        </w:rPr>
        <w:t> </w:t>
      </w:r>
      <w:r>
        <w:rPr/>
        <w:t>urban</w:t>
      </w:r>
      <w:r>
        <w:rPr>
          <w:spacing w:val="-5"/>
        </w:rPr>
        <w:t> </w:t>
      </w:r>
      <w:r>
        <w:rPr/>
        <w:t>sprawl,</w:t>
      </w:r>
      <w:r>
        <w:rPr>
          <w:spacing w:val="-5"/>
        </w:rPr>
        <w:t> </w:t>
      </w:r>
      <w:r>
        <w:rPr/>
        <w:t>increase</w:t>
      </w:r>
      <w:r>
        <w:rPr>
          <w:spacing w:val="-6"/>
        </w:rPr>
        <w:t> </w:t>
      </w:r>
      <w:r>
        <w:rPr/>
        <w:t>in</w:t>
      </w:r>
      <w:r>
        <w:rPr>
          <w:spacing w:val="-4"/>
        </w:rPr>
        <w:t> </w:t>
      </w:r>
      <w:r>
        <w:rPr/>
        <w:t>slum</w:t>
      </w:r>
      <w:r>
        <w:rPr>
          <w:spacing w:val="-4"/>
        </w:rPr>
        <w:t> </w:t>
      </w:r>
      <w:r>
        <w:rPr/>
        <w:t>and</w:t>
      </w:r>
      <w:r>
        <w:rPr>
          <w:spacing w:val="-5"/>
        </w:rPr>
        <w:t> </w:t>
      </w:r>
      <w:r>
        <w:rPr/>
        <w:t>poor</w:t>
      </w:r>
      <w:r>
        <w:rPr>
          <w:spacing w:val="-2"/>
        </w:rPr>
        <w:t> </w:t>
      </w:r>
      <w:r>
        <w:rPr/>
        <w:t>water</w:t>
      </w:r>
      <w:r>
        <w:rPr>
          <w:spacing w:val="-6"/>
        </w:rPr>
        <w:t> </w:t>
      </w:r>
      <w:r>
        <w:rPr/>
        <w:t>management</w:t>
      </w:r>
      <w:r>
        <w:rPr>
          <w:spacing w:val="-3"/>
        </w:rPr>
        <w:t> </w:t>
      </w:r>
      <w:r>
        <w:rPr/>
        <w:t>policy</w:t>
      </w:r>
      <w:r>
        <w:rPr>
          <w:spacing w:val="-7"/>
        </w:rPr>
        <w:t> </w:t>
      </w:r>
      <w:r>
        <w:rPr/>
        <w:t>were</w:t>
      </w:r>
      <w:r>
        <w:rPr>
          <w:spacing w:val="-6"/>
        </w:rPr>
        <w:t> </w:t>
      </w:r>
      <w:r>
        <w:rPr/>
        <w:t>attributable to this value difference in water poverty rates between large and small cities. The study concluded that there is need for a proper and thorough planning to manage water resources and water demand within the cities.</w:t>
      </w:r>
    </w:p>
    <w:p>
      <w:pPr>
        <w:pStyle w:val="BodyText"/>
        <w:spacing w:before="1"/>
      </w:pPr>
    </w:p>
    <w:p>
      <w:pPr>
        <w:pStyle w:val="BodyText"/>
        <w:spacing w:line="480" w:lineRule="auto"/>
        <w:ind w:left="267" w:right="726"/>
        <w:jc w:val="both"/>
      </w:pPr>
      <w:r>
        <w:rPr/>
        <w:t>The</w:t>
      </w:r>
      <w:r>
        <w:rPr>
          <w:spacing w:val="-2"/>
        </w:rPr>
        <w:t> </w:t>
      </w:r>
      <w:r>
        <w:rPr/>
        <w:t>study</w:t>
      </w:r>
      <w:r>
        <w:rPr>
          <w:spacing w:val="-3"/>
        </w:rPr>
        <w:t> </w:t>
      </w:r>
      <w:r>
        <w:rPr/>
        <w:t>by</w:t>
      </w:r>
      <w:r>
        <w:rPr>
          <w:spacing w:val="-4"/>
        </w:rPr>
        <w:t> </w:t>
      </w:r>
      <w:r>
        <w:rPr/>
        <w:t>Jemmali and Matoussi (2013)</w:t>
      </w:r>
      <w:r>
        <w:rPr>
          <w:spacing w:val="-1"/>
        </w:rPr>
        <w:t> </w:t>
      </w:r>
      <w:r>
        <w:rPr/>
        <w:t>provided new</w:t>
      </w:r>
      <w:r>
        <w:rPr>
          <w:spacing w:val="-1"/>
        </w:rPr>
        <w:t> </w:t>
      </w:r>
      <w:r>
        <w:rPr/>
        <w:t>insights into the methodology</w:t>
      </w:r>
      <w:r>
        <w:rPr>
          <w:spacing w:val="-4"/>
        </w:rPr>
        <w:t> </w:t>
      </w:r>
      <w:r>
        <w:rPr/>
        <w:t>for determining water poverty index in Tunisia based on an objective weighting scheme - principal component analysis. First, the PCA was employed in the reduction of large correlated dataset comprising 14 indicators of the five components of water -poverty index to a small sample of 10 uncorrelated dataset. In the study, the authors then combined the indicators using the additive aggregation method. The choice of additive function was premised</w:t>
      </w:r>
      <w:r>
        <w:rPr>
          <w:spacing w:val="-8"/>
        </w:rPr>
        <w:t> </w:t>
      </w:r>
      <w:r>
        <w:rPr/>
        <w:t>on:</w:t>
      </w:r>
      <w:r>
        <w:rPr>
          <w:spacing w:val="-8"/>
        </w:rPr>
        <w:t> </w:t>
      </w:r>
      <w:r>
        <w:rPr/>
        <w:t>(1)</w:t>
      </w:r>
      <w:r>
        <w:rPr>
          <w:spacing w:val="-9"/>
        </w:rPr>
        <w:t> </w:t>
      </w:r>
      <w:r>
        <w:rPr/>
        <w:t>variables</w:t>
      </w:r>
      <w:r>
        <w:rPr>
          <w:spacing w:val="-8"/>
        </w:rPr>
        <w:t> </w:t>
      </w:r>
      <w:r>
        <w:rPr/>
        <w:t>in</w:t>
      </w:r>
      <w:r>
        <w:rPr>
          <w:spacing w:val="-8"/>
        </w:rPr>
        <w:t> </w:t>
      </w:r>
      <w:r>
        <w:rPr/>
        <w:t>the</w:t>
      </w:r>
      <w:r>
        <w:rPr>
          <w:spacing w:val="-9"/>
        </w:rPr>
        <w:t> </w:t>
      </w:r>
      <w:r>
        <w:rPr/>
        <w:t>same</w:t>
      </w:r>
      <w:r>
        <w:rPr>
          <w:spacing w:val="-9"/>
        </w:rPr>
        <w:t> </w:t>
      </w:r>
      <w:r>
        <w:rPr/>
        <w:t>indices</w:t>
      </w:r>
      <w:r>
        <w:rPr>
          <w:spacing w:val="-7"/>
        </w:rPr>
        <w:t> </w:t>
      </w:r>
      <w:r>
        <w:rPr/>
        <w:t>that</w:t>
      </w:r>
      <w:r>
        <w:rPr>
          <w:spacing w:val="-8"/>
        </w:rPr>
        <w:t> </w:t>
      </w:r>
      <w:r>
        <w:rPr/>
        <w:t>can</w:t>
      </w:r>
      <w:r>
        <w:rPr>
          <w:spacing w:val="-8"/>
        </w:rPr>
        <w:t> </w:t>
      </w:r>
      <w:r>
        <w:rPr/>
        <w:t>compensate</w:t>
      </w:r>
      <w:r>
        <w:rPr>
          <w:spacing w:val="-9"/>
        </w:rPr>
        <w:t> </w:t>
      </w:r>
      <w:r>
        <w:rPr/>
        <w:t>each</w:t>
      </w:r>
      <w:r>
        <w:rPr>
          <w:spacing w:val="-8"/>
        </w:rPr>
        <w:t> </w:t>
      </w:r>
      <w:r>
        <w:rPr/>
        <w:t>other’s</w:t>
      </w:r>
      <w:r>
        <w:rPr>
          <w:spacing w:val="-9"/>
        </w:rPr>
        <w:t> </w:t>
      </w:r>
      <w:r>
        <w:rPr/>
        <w:t>performance and (2) all the variables were considered as having the same importance and therefore no specific weighting was introduced.</w:t>
      </w:r>
    </w:p>
    <w:p>
      <w:pPr>
        <w:pStyle w:val="BodyText"/>
        <w:spacing w:before="1"/>
      </w:pPr>
    </w:p>
    <w:p>
      <w:pPr>
        <w:pStyle w:val="BodyText"/>
        <w:spacing w:line="480" w:lineRule="auto"/>
        <w:ind w:left="267" w:right="730"/>
        <w:jc w:val="both"/>
      </w:pPr>
      <w:r>
        <w:rPr/>
        <w:t>In</w:t>
      </w:r>
      <w:r>
        <w:rPr>
          <w:spacing w:val="-4"/>
        </w:rPr>
        <w:t> </w:t>
      </w:r>
      <w:r>
        <w:rPr/>
        <w:t>arriving</w:t>
      </w:r>
      <w:r>
        <w:rPr>
          <w:spacing w:val="-6"/>
        </w:rPr>
        <w:t> </w:t>
      </w:r>
      <w:r>
        <w:rPr/>
        <w:t>at</w:t>
      </w:r>
      <w:r>
        <w:rPr>
          <w:spacing w:val="-5"/>
        </w:rPr>
        <w:t> </w:t>
      </w:r>
      <w:r>
        <w:rPr/>
        <w:t>the</w:t>
      </w:r>
      <w:r>
        <w:rPr>
          <w:spacing w:val="-7"/>
        </w:rPr>
        <w:t> </w:t>
      </w:r>
      <w:r>
        <w:rPr/>
        <w:t>optimal</w:t>
      </w:r>
      <w:r>
        <w:rPr>
          <w:spacing w:val="-3"/>
        </w:rPr>
        <w:t> </w:t>
      </w:r>
      <w:r>
        <w:rPr/>
        <w:t>weighting</w:t>
      </w:r>
      <w:r>
        <w:rPr>
          <w:spacing w:val="-8"/>
        </w:rPr>
        <w:t> </w:t>
      </w:r>
      <w:r>
        <w:rPr/>
        <w:t>scheme,</w:t>
      </w:r>
      <w:r>
        <w:rPr>
          <w:spacing w:val="-4"/>
        </w:rPr>
        <w:t> </w:t>
      </w:r>
      <w:r>
        <w:rPr/>
        <w:t>the</w:t>
      </w:r>
      <w:r>
        <w:rPr>
          <w:spacing w:val="-6"/>
        </w:rPr>
        <w:t> </w:t>
      </w:r>
      <w:r>
        <w:rPr/>
        <w:t>principal</w:t>
      </w:r>
      <w:r>
        <w:rPr>
          <w:spacing w:val="-5"/>
        </w:rPr>
        <w:t> </w:t>
      </w:r>
      <w:r>
        <w:rPr/>
        <w:t>component</w:t>
      </w:r>
      <w:r>
        <w:rPr>
          <w:spacing w:val="-3"/>
        </w:rPr>
        <w:t> </w:t>
      </w:r>
      <w:r>
        <w:rPr/>
        <w:t>retained</w:t>
      </w:r>
      <w:r>
        <w:rPr>
          <w:spacing w:val="-6"/>
        </w:rPr>
        <w:t> </w:t>
      </w:r>
      <w:r>
        <w:rPr/>
        <w:t>was</w:t>
      </w:r>
      <w:r>
        <w:rPr>
          <w:spacing w:val="-3"/>
        </w:rPr>
        <w:t> </w:t>
      </w:r>
      <w:r>
        <w:rPr/>
        <w:t>weighted with the proportion of variance calculated by dividing the square root of the eigen value of the</w:t>
      </w:r>
      <w:r>
        <w:rPr>
          <w:spacing w:val="-3"/>
        </w:rPr>
        <w:t> </w:t>
      </w:r>
      <w:r>
        <w:rPr/>
        <w:t>corresponding</w:t>
      </w:r>
      <w:r>
        <w:rPr>
          <w:spacing w:val="-6"/>
        </w:rPr>
        <w:t> </w:t>
      </w:r>
      <w:r>
        <w:rPr/>
        <w:t>principal</w:t>
      </w:r>
      <w:r>
        <w:rPr>
          <w:spacing w:val="-3"/>
        </w:rPr>
        <w:t> </w:t>
      </w:r>
      <w:r>
        <w:rPr/>
        <w:t>component</w:t>
      </w:r>
      <w:r>
        <w:rPr>
          <w:spacing w:val="-3"/>
        </w:rPr>
        <w:t> </w:t>
      </w:r>
      <w:r>
        <w:rPr/>
        <w:t>by</w:t>
      </w:r>
      <w:r>
        <w:rPr>
          <w:spacing w:val="-8"/>
        </w:rPr>
        <w:t> </w:t>
      </w:r>
      <w:r>
        <w:rPr/>
        <w:t>the</w:t>
      </w:r>
      <w:r>
        <w:rPr>
          <w:spacing w:val="-3"/>
        </w:rPr>
        <w:t> </w:t>
      </w:r>
      <w:r>
        <w:rPr/>
        <w:t>sum</w:t>
      </w:r>
      <w:r>
        <w:rPr>
          <w:spacing w:val="-3"/>
        </w:rPr>
        <w:t> </w:t>
      </w:r>
      <w:r>
        <w:rPr/>
        <w:t>of</w:t>
      </w:r>
      <w:r>
        <w:rPr>
          <w:spacing w:val="-3"/>
        </w:rPr>
        <w:t> </w:t>
      </w:r>
      <w:r>
        <w:rPr/>
        <w:t>all</w:t>
      </w:r>
      <w:r>
        <w:rPr>
          <w:spacing w:val="-3"/>
        </w:rPr>
        <w:t> </w:t>
      </w:r>
      <w:r>
        <w:rPr/>
        <w:t>the</w:t>
      </w:r>
      <w:r>
        <w:rPr>
          <w:spacing w:val="-3"/>
        </w:rPr>
        <w:t> </w:t>
      </w:r>
      <w:r>
        <w:rPr/>
        <w:t>square</w:t>
      </w:r>
      <w:r>
        <w:rPr>
          <w:spacing w:val="-5"/>
        </w:rPr>
        <w:t> </w:t>
      </w:r>
      <w:r>
        <w:rPr/>
        <w:t>root</w:t>
      </w:r>
      <w:r>
        <w:rPr>
          <w:spacing w:val="-3"/>
        </w:rPr>
        <w:t> </w:t>
      </w:r>
      <w:r>
        <w:rPr/>
        <w:t>of</w:t>
      </w:r>
      <w:r>
        <w:rPr>
          <w:spacing w:val="-4"/>
        </w:rPr>
        <w:t> </w:t>
      </w:r>
      <w:r>
        <w:rPr/>
        <w:t>the</w:t>
      </w:r>
      <w:r>
        <w:rPr>
          <w:spacing w:val="-3"/>
        </w:rPr>
        <w:t> </w:t>
      </w:r>
      <w:r>
        <w:rPr/>
        <w:t>eigen</w:t>
      </w:r>
      <w:r>
        <w:rPr>
          <w:spacing w:val="-3"/>
        </w:rPr>
        <w:t> </w:t>
      </w:r>
      <w:r>
        <w:rPr/>
        <w:t>values. In</w:t>
      </w:r>
      <w:r>
        <w:rPr>
          <w:spacing w:val="-15"/>
        </w:rPr>
        <w:t> </w:t>
      </w:r>
      <w:r>
        <w:rPr/>
        <w:t>the</w:t>
      </w:r>
      <w:r>
        <w:rPr>
          <w:spacing w:val="-15"/>
        </w:rPr>
        <w:t> </w:t>
      </w:r>
      <w:r>
        <w:rPr/>
        <w:t>study,</w:t>
      </w:r>
      <w:r>
        <w:rPr>
          <w:spacing w:val="-15"/>
        </w:rPr>
        <w:t> </w:t>
      </w:r>
      <w:r>
        <w:rPr/>
        <w:t>the</w:t>
      </w:r>
      <w:r>
        <w:rPr>
          <w:spacing w:val="-13"/>
        </w:rPr>
        <w:t> </w:t>
      </w:r>
      <w:r>
        <w:rPr/>
        <w:t>comparison</w:t>
      </w:r>
      <w:r>
        <w:rPr>
          <w:spacing w:val="-15"/>
        </w:rPr>
        <w:t> </w:t>
      </w:r>
      <w:r>
        <w:rPr/>
        <w:t>of</w:t>
      </w:r>
      <w:r>
        <w:rPr>
          <w:spacing w:val="-15"/>
        </w:rPr>
        <w:t> </w:t>
      </w:r>
      <w:r>
        <w:rPr/>
        <w:t>statistically</w:t>
      </w:r>
      <w:r>
        <w:rPr>
          <w:spacing w:val="-15"/>
        </w:rPr>
        <w:t> </w:t>
      </w:r>
      <w:r>
        <w:rPr/>
        <w:t>derived</w:t>
      </w:r>
      <w:r>
        <w:rPr>
          <w:spacing w:val="-13"/>
        </w:rPr>
        <w:t> </w:t>
      </w:r>
      <w:r>
        <w:rPr/>
        <w:t>weights</w:t>
      </w:r>
      <w:r>
        <w:rPr>
          <w:spacing w:val="-13"/>
        </w:rPr>
        <w:t> </w:t>
      </w:r>
      <w:r>
        <w:rPr/>
        <w:t>with</w:t>
      </w:r>
      <w:r>
        <w:rPr>
          <w:spacing w:val="-15"/>
        </w:rPr>
        <w:t> </w:t>
      </w:r>
      <w:r>
        <w:rPr/>
        <w:t>the</w:t>
      </w:r>
      <w:r>
        <w:rPr>
          <w:spacing w:val="-14"/>
        </w:rPr>
        <w:t> </w:t>
      </w:r>
      <w:r>
        <w:rPr/>
        <w:t>classical</w:t>
      </w:r>
      <w:r>
        <w:rPr>
          <w:spacing w:val="-13"/>
        </w:rPr>
        <w:t> </w:t>
      </w:r>
      <w:r>
        <w:rPr/>
        <w:t>(equal)</w:t>
      </w:r>
      <w:r>
        <w:rPr>
          <w:spacing w:val="-15"/>
        </w:rPr>
        <w:t> </w:t>
      </w:r>
      <w:r>
        <w:rPr/>
        <w:t>weights revealed</w:t>
      </w:r>
      <w:r>
        <w:rPr>
          <w:spacing w:val="37"/>
        </w:rPr>
        <w:t> </w:t>
      </w:r>
      <w:r>
        <w:rPr/>
        <w:t>that</w:t>
      </w:r>
      <w:r>
        <w:rPr>
          <w:spacing w:val="40"/>
        </w:rPr>
        <w:t> </w:t>
      </w:r>
      <w:r>
        <w:rPr/>
        <w:t>the</w:t>
      </w:r>
      <w:r>
        <w:rPr>
          <w:spacing w:val="40"/>
        </w:rPr>
        <w:t> </w:t>
      </w:r>
      <w:r>
        <w:rPr/>
        <w:t>PCA</w:t>
      </w:r>
      <w:r>
        <w:rPr>
          <w:spacing w:val="40"/>
        </w:rPr>
        <w:t> </w:t>
      </w:r>
      <w:r>
        <w:rPr/>
        <w:t>eliminated</w:t>
      </w:r>
      <w:r>
        <w:rPr>
          <w:spacing w:val="39"/>
        </w:rPr>
        <w:t> </w:t>
      </w:r>
      <w:r>
        <w:rPr/>
        <w:t>the</w:t>
      </w:r>
      <w:r>
        <w:rPr>
          <w:spacing w:val="40"/>
        </w:rPr>
        <w:t> </w:t>
      </w:r>
      <w:r>
        <w:rPr/>
        <w:t>problem</w:t>
      </w:r>
      <w:r>
        <w:rPr>
          <w:spacing w:val="41"/>
        </w:rPr>
        <w:t> </w:t>
      </w:r>
      <w:r>
        <w:rPr/>
        <w:t>of</w:t>
      </w:r>
      <w:r>
        <w:rPr>
          <w:spacing w:val="38"/>
        </w:rPr>
        <w:t> </w:t>
      </w:r>
      <w:r>
        <w:rPr/>
        <w:t>arbitrary</w:t>
      </w:r>
      <w:r>
        <w:rPr>
          <w:spacing w:val="35"/>
        </w:rPr>
        <w:t> </w:t>
      </w:r>
      <w:r>
        <w:rPr/>
        <w:t>choice</w:t>
      </w:r>
      <w:r>
        <w:rPr>
          <w:spacing w:val="39"/>
        </w:rPr>
        <w:t> </w:t>
      </w:r>
      <w:r>
        <w:rPr/>
        <w:t>of</w:t>
      </w:r>
      <w:r>
        <w:rPr>
          <w:spacing w:val="39"/>
        </w:rPr>
        <w:t> </w:t>
      </w:r>
      <w:r>
        <w:rPr/>
        <w:t>weighting</w:t>
      </w:r>
      <w:r>
        <w:rPr>
          <w:spacing w:val="38"/>
        </w:rPr>
        <w:t> </w:t>
      </w:r>
      <w:r>
        <w:rPr>
          <w:spacing w:val="-2"/>
        </w:rPr>
        <w:t>scheme.</w:t>
      </w:r>
    </w:p>
    <w:p>
      <w:pPr>
        <w:pStyle w:val="BodyText"/>
        <w:spacing w:line="274" w:lineRule="exact"/>
        <w:ind w:left="267"/>
        <w:jc w:val="both"/>
      </w:pPr>
      <w:r>
        <w:rPr/>
        <w:t>Secondly,</w:t>
      </w:r>
      <w:r>
        <w:rPr>
          <w:spacing w:val="32"/>
        </w:rPr>
        <w:t> </w:t>
      </w:r>
      <w:r>
        <w:rPr/>
        <w:t>the</w:t>
      </w:r>
      <w:r>
        <w:rPr>
          <w:spacing w:val="32"/>
        </w:rPr>
        <w:t> </w:t>
      </w:r>
      <w:r>
        <w:rPr/>
        <w:t>study</w:t>
      </w:r>
      <w:r>
        <w:rPr>
          <w:spacing w:val="28"/>
        </w:rPr>
        <w:t> </w:t>
      </w:r>
      <w:r>
        <w:rPr/>
        <w:t>mapped</w:t>
      </w:r>
      <w:r>
        <w:rPr>
          <w:spacing w:val="33"/>
        </w:rPr>
        <w:t> </w:t>
      </w:r>
      <w:r>
        <w:rPr/>
        <w:t>the</w:t>
      </w:r>
      <w:r>
        <w:rPr>
          <w:spacing w:val="32"/>
        </w:rPr>
        <w:t> </w:t>
      </w:r>
      <w:r>
        <w:rPr/>
        <w:t>huge</w:t>
      </w:r>
      <w:r>
        <w:rPr>
          <w:spacing w:val="32"/>
        </w:rPr>
        <w:t> </w:t>
      </w:r>
      <w:r>
        <w:rPr/>
        <w:t>difference</w:t>
      </w:r>
      <w:r>
        <w:rPr>
          <w:spacing w:val="32"/>
        </w:rPr>
        <w:t> </w:t>
      </w:r>
      <w:r>
        <w:rPr/>
        <w:t>between</w:t>
      </w:r>
      <w:r>
        <w:rPr>
          <w:spacing w:val="33"/>
        </w:rPr>
        <w:t> </w:t>
      </w:r>
      <w:r>
        <w:rPr/>
        <w:t>inland</w:t>
      </w:r>
      <w:r>
        <w:rPr>
          <w:spacing w:val="35"/>
        </w:rPr>
        <w:t> </w:t>
      </w:r>
      <w:r>
        <w:rPr/>
        <w:t>(relative</w:t>
      </w:r>
      <w:r>
        <w:rPr>
          <w:spacing w:val="32"/>
        </w:rPr>
        <w:t> </w:t>
      </w:r>
      <w:r>
        <w:rPr/>
        <w:t>water</w:t>
      </w:r>
      <w:r>
        <w:rPr>
          <w:spacing w:val="32"/>
        </w:rPr>
        <w:t> </w:t>
      </w:r>
      <w:r>
        <w:rPr>
          <w:spacing w:val="-2"/>
        </w:rPr>
        <w:t>resource</w:t>
      </w:r>
    </w:p>
    <w:p>
      <w:pPr>
        <w:spacing w:after="0" w:line="274" w:lineRule="exact"/>
        <w:jc w:val="both"/>
        <w:sectPr>
          <w:pgSz w:w="12240" w:h="15840"/>
          <w:pgMar w:header="0" w:footer="1068" w:top="1340" w:bottom="1260" w:left="1720" w:right="680"/>
        </w:sectPr>
      </w:pPr>
    </w:p>
    <w:p>
      <w:pPr>
        <w:pStyle w:val="BodyText"/>
        <w:spacing w:line="480" w:lineRule="auto" w:before="63"/>
        <w:ind w:left="267" w:right="724"/>
        <w:jc w:val="both"/>
      </w:pPr>
      <w:r>
        <w:rPr/>
        <w:t>abundance) regions and coastal (water poor) regions and showed that coastal regions have good water services while inland regions are characterized by low water poverty index – indicating their poverty in terms of access, sanitation and necessary water services. The authors noted that the empirical investigation in the study would be helpful to authorities to enable them design an adequate policy to tackle the huge regional disequilibrium between inland and coastal regions in Tunisia.</w:t>
      </w:r>
    </w:p>
    <w:p>
      <w:pPr>
        <w:pStyle w:val="BodyText"/>
        <w:spacing w:before="1"/>
      </w:pPr>
    </w:p>
    <w:p>
      <w:pPr>
        <w:pStyle w:val="BodyText"/>
        <w:spacing w:line="480" w:lineRule="auto"/>
        <w:ind w:left="267" w:right="728"/>
        <w:jc w:val="both"/>
      </w:pPr>
      <w:r>
        <w:rPr/>
        <w:t>Sullivan and Jemmali (2014) examined the water scarcity situation in MENA (Middle East and</w:t>
      </w:r>
      <w:r>
        <w:rPr>
          <w:spacing w:val="-15"/>
        </w:rPr>
        <w:t> </w:t>
      </w:r>
      <w:r>
        <w:rPr/>
        <w:t>North</w:t>
      </w:r>
      <w:r>
        <w:rPr>
          <w:spacing w:val="-15"/>
        </w:rPr>
        <w:t> </w:t>
      </w:r>
      <w:r>
        <w:rPr/>
        <w:t>Africa)</w:t>
      </w:r>
      <w:r>
        <w:rPr>
          <w:spacing w:val="-15"/>
        </w:rPr>
        <w:t> </w:t>
      </w:r>
      <w:r>
        <w:rPr/>
        <w:t>region</w:t>
      </w:r>
      <w:r>
        <w:rPr>
          <w:spacing w:val="-15"/>
        </w:rPr>
        <w:t> </w:t>
      </w:r>
      <w:r>
        <w:rPr/>
        <w:t>and</w:t>
      </w:r>
      <w:r>
        <w:rPr>
          <w:spacing w:val="-15"/>
        </w:rPr>
        <w:t> </w:t>
      </w:r>
      <w:r>
        <w:rPr/>
        <w:t>analyzed</w:t>
      </w:r>
      <w:r>
        <w:rPr>
          <w:spacing w:val="-15"/>
        </w:rPr>
        <w:t> </w:t>
      </w:r>
      <w:r>
        <w:rPr/>
        <w:t>the</w:t>
      </w:r>
      <w:r>
        <w:rPr>
          <w:spacing w:val="-15"/>
        </w:rPr>
        <w:t> </w:t>
      </w:r>
      <w:r>
        <w:rPr/>
        <w:t>multidimensional</w:t>
      </w:r>
      <w:r>
        <w:rPr>
          <w:spacing w:val="-15"/>
        </w:rPr>
        <w:t> </w:t>
      </w:r>
      <w:r>
        <w:rPr/>
        <w:t>differences</w:t>
      </w:r>
      <w:r>
        <w:rPr>
          <w:spacing w:val="-15"/>
        </w:rPr>
        <w:t> </w:t>
      </w:r>
      <w:r>
        <w:rPr/>
        <w:t>between</w:t>
      </w:r>
      <w:r>
        <w:rPr>
          <w:spacing w:val="-15"/>
        </w:rPr>
        <w:t> </w:t>
      </w:r>
      <w:r>
        <w:rPr/>
        <w:t>low</w:t>
      </w:r>
      <w:r>
        <w:rPr>
          <w:spacing w:val="-15"/>
        </w:rPr>
        <w:t> </w:t>
      </w:r>
      <w:r>
        <w:rPr/>
        <w:t>income yet water rich nations and high income yet water poor countries using the water poverty index. Data pertaining to 14 indicators of the 5-water poverty index were collected and normalized to a measurable form using the minimum-maximum approach. In the study, the authors compared two different weighting approaches at the sub-component level and adopted the second approach as being more useful in determining the weight id the water poverty index. The first approach was referred to as the ‘classical water poverty index’ involving the use of equal weighting and the second approach as ‘modified water poverty index’ – in which weights were statistically determined using the principal component analysis (PCA).</w:t>
      </w:r>
    </w:p>
    <w:p>
      <w:pPr>
        <w:pStyle w:val="BodyText"/>
        <w:spacing w:before="1"/>
      </w:pPr>
    </w:p>
    <w:p>
      <w:pPr>
        <w:pStyle w:val="BodyText"/>
        <w:spacing w:line="480" w:lineRule="auto"/>
        <w:ind w:left="267" w:right="723"/>
        <w:jc w:val="both"/>
      </w:pPr>
      <w:r>
        <w:rPr/>
        <w:t>Aside the kendall’s coefficient of correlation which was employed to determine the degree of</w:t>
      </w:r>
      <w:r>
        <w:rPr>
          <w:spacing w:val="-1"/>
        </w:rPr>
        <w:t> </w:t>
      </w:r>
      <w:r>
        <w:rPr/>
        <w:t>association among</w:t>
      </w:r>
      <w:r>
        <w:rPr>
          <w:spacing w:val="-2"/>
        </w:rPr>
        <w:t> </w:t>
      </w:r>
      <w:r>
        <w:rPr/>
        <w:t>the five</w:t>
      </w:r>
      <w:r>
        <w:rPr>
          <w:spacing w:val="-2"/>
        </w:rPr>
        <w:t> </w:t>
      </w:r>
      <w:r>
        <w:rPr/>
        <w:t>components of</w:t>
      </w:r>
      <w:r>
        <w:rPr>
          <w:spacing w:val="-1"/>
        </w:rPr>
        <w:t> </w:t>
      </w:r>
      <w:r>
        <w:rPr/>
        <w:t>water</w:t>
      </w:r>
      <w:r>
        <w:rPr>
          <w:spacing w:val="-1"/>
        </w:rPr>
        <w:t> </w:t>
      </w:r>
      <w:r>
        <w:rPr/>
        <w:t>poverty</w:t>
      </w:r>
      <w:r>
        <w:rPr>
          <w:spacing w:val="-8"/>
        </w:rPr>
        <w:t> </w:t>
      </w:r>
      <w:r>
        <w:rPr/>
        <w:t>index at the</w:t>
      </w:r>
      <w:r>
        <w:rPr>
          <w:spacing w:val="-1"/>
        </w:rPr>
        <w:t> </w:t>
      </w:r>
      <w:r>
        <w:rPr/>
        <w:t>sub-index level, the diagnostic</w:t>
      </w:r>
      <w:r>
        <w:rPr>
          <w:spacing w:val="-9"/>
        </w:rPr>
        <w:t> </w:t>
      </w:r>
      <w:r>
        <w:rPr/>
        <w:t>test</w:t>
      </w:r>
      <w:r>
        <w:rPr>
          <w:spacing w:val="-8"/>
        </w:rPr>
        <w:t> </w:t>
      </w:r>
      <w:r>
        <w:rPr/>
        <w:t>(Kaiser-Meyer-Oklin</w:t>
      </w:r>
      <w:r>
        <w:rPr>
          <w:spacing w:val="-8"/>
        </w:rPr>
        <w:t> </w:t>
      </w:r>
      <w:r>
        <w:rPr/>
        <w:t>test</w:t>
      </w:r>
      <w:r>
        <w:rPr>
          <w:spacing w:val="-8"/>
        </w:rPr>
        <w:t> </w:t>
      </w:r>
      <w:r>
        <w:rPr/>
        <w:t>of</w:t>
      </w:r>
      <w:r>
        <w:rPr>
          <w:spacing w:val="-9"/>
        </w:rPr>
        <w:t> </w:t>
      </w:r>
      <w:r>
        <w:rPr/>
        <w:t>sampling</w:t>
      </w:r>
      <w:r>
        <w:rPr>
          <w:spacing w:val="-10"/>
        </w:rPr>
        <w:t> </w:t>
      </w:r>
      <w:r>
        <w:rPr/>
        <w:t>adequacy)</w:t>
      </w:r>
      <w:r>
        <w:rPr>
          <w:spacing w:val="-7"/>
        </w:rPr>
        <w:t> </w:t>
      </w:r>
      <w:r>
        <w:rPr/>
        <w:t>of</w:t>
      </w:r>
      <w:r>
        <w:rPr>
          <w:spacing w:val="-9"/>
        </w:rPr>
        <w:t> </w:t>
      </w:r>
      <w:r>
        <w:rPr/>
        <w:t>the</w:t>
      </w:r>
      <w:r>
        <w:rPr>
          <w:spacing w:val="-9"/>
        </w:rPr>
        <w:t> </w:t>
      </w:r>
      <w:r>
        <w:rPr/>
        <w:t>PCA</w:t>
      </w:r>
      <w:r>
        <w:rPr>
          <w:spacing w:val="-9"/>
        </w:rPr>
        <w:t> </w:t>
      </w:r>
      <w:r>
        <w:rPr/>
        <w:t>revealed</w:t>
      </w:r>
      <w:r>
        <w:rPr>
          <w:spacing w:val="-8"/>
        </w:rPr>
        <w:t> </w:t>
      </w:r>
      <w:r>
        <w:rPr/>
        <w:t>that</w:t>
      </w:r>
      <w:r>
        <w:rPr>
          <w:spacing w:val="-8"/>
        </w:rPr>
        <w:t> </w:t>
      </w:r>
      <w:r>
        <w:rPr/>
        <w:t>the two components of Environment and Use were not amenable to factorability and, therefore discarded</w:t>
      </w:r>
      <w:r>
        <w:rPr>
          <w:spacing w:val="3"/>
        </w:rPr>
        <w:t> </w:t>
      </w:r>
      <w:r>
        <w:rPr/>
        <w:t>from</w:t>
      </w:r>
      <w:r>
        <w:rPr>
          <w:spacing w:val="7"/>
        </w:rPr>
        <w:t> </w:t>
      </w:r>
      <w:r>
        <w:rPr/>
        <w:t>the</w:t>
      </w:r>
      <w:r>
        <w:rPr>
          <w:spacing w:val="5"/>
        </w:rPr>
        <w:t> </w:t>
      </w:r>
      <w:r>
        <w:rPr/>
        <w:t>analysis.</w:t>
      </w:r>
      <w:r>
        <w:rPr>
          <w:spacing w:val="6"/>
        </w:rPr>
        <w:t> </w:t>
      </w:r>
      <w:r>
        <w:rPr/>
        <w:t>In</w:t>
      </w:r>
      <w:r>
        <w:rPr>
          <w:spacing w:val="5"/>
        </w:rPr>
        <w:t> </w:t>
      </w:r>
      <w:r>
        <w:rPr/>
        <w:t>total,</w:t>
      </w:r>
      <w:r>
        <w:rPr>
          <w:spacing w:val="5"/>
        </w:rPr>
        <w:t> </w:t>
      </w:r>
      <w:r>
        <w:rPr/>
        <w:t>the</w:t>
      </w:r>
      <w:r>
        <w:rPr>
          <w:spacing w:val="5"/>
        </w:rPr>
        <w:t> </w:t>
      </w:r>
      <w:r>
        <w:rPr/>
        <w:t>PCA</w:t>
      </w:r>
      <w:r>
        <w:rPr>
          <w:spacing w:val="4"/>
        </w:rPr>
        <w:t> </w:t>
      </w:r>
      <w:r>
        <w:rPr/>
        <w:t>retained</w:t>
      </w:r>
      <w:r>
        <w:rPr>
          <w:spacing w:val="3"/>
        </w:rPr>
        <w:t> </w:t>
      </w:r>
      <w:r>
        <w:rPr/>
        <w:t>the</w:t>
      </w:r>
      <w:r>
        <w:rPr>
          <w:spacing w:val="6"/>
        </w:rPr>
        <w:t> </w:t>
      </w:r>
      <w:r>
        <w:rPr/>
        <w:t>first</w:t>
      </w:r>
      <w:r>
        <w:rPr>
          <w:spacing w:val="4"/>
        </w:rPr>
        <w:t> </w:t>
      </w:r>
      <w:r>
        <w:rPr/>
        <w:t>two</w:t>
      </w:r>
      <w:r>
        <w:rPr>
          <w:spacing w:val="6"/>
        </w:rPr>
        <w:t> </w:t>
      </w:r>
      <w:r>
        <w:rPr/>
        <w:t>components</w:t>
      </w:r>
      <w:r>
        <w:rPr>
          <w:spacing w:val="5"/>
        </w:rPr>
        <w:t> </w:t>
      </w:r>
      <w:r>
        <w:rPr>
          <w:spacing w:val="-2"/>
        </w:rPr>
        <w:t>accounting</w:t>
      </w:r>
    </w:p>
    <w:p>
      <w:pPr>
        <w:pStyle w:val="BodyText"/>
        <w:spacing w:line="274" w:lineRule="exact"/>
        <w:ind w:left="267"/>
        <w:jc w:val="both"/>
      </w:pPr>
      <w:r>
        <w:rPr/>
        <w:t>for</w:t>
      </w:r>
      <w:r>
        <w:rPr>
          <w:spacing w:val="-3"/>
        </w:rPr>
        <w:t> </w:t>
      </w:r>
      <w:r>
        <w:rPr/>
        <w:t>97%</w:t>
      </w:r>
      <w:r>
        <w:rPr>
          <w:spacing w:val="-1"/>
        </w:rPr>
        <w:t> </w:t>
      </w:r>
      <w:r>
        <w:rPr/>
        <w:t>of the</w:t>
      </w:r>
      <w:r>
        <w:rPr>
          <w:spacing w:val="-3"/>
        </w:rPr>
        <w:t> </w:t>
      </w:r>
      <w:r>
        <w:rPr/>
        <w:t>variations</w:t>
      </w:r>
      <w:r>
        <w:rPr>
          <w:spacing w:val="2"/>
        </w:rPr>
        <w:t> </w:t>
      </w:r>
      <w:r>
        <w:rPr/>
        <w:t>in water</w:t>
      </w:r>
      <w:r>
        <w:rPr>
          <w:spacing w:val="-2"/>
        </w:rPr>
        <w:t> poverty.</w:t>
      </w:r>
    </w:p>
    <w:p>
      <w:pPr>
        <w:spacing w:after="0" w:line="274" w:lineRule="exact"/>
        <w:jc w:val="both"/>
        <w:sectPr>
          <w:pgSz w:w="12240" w:h="15840"/>
          <w:pgMar w:header="0" w:footer="1068" w:top="1340" w:bottom="1260" w:left="1720" w:right="680"/>
        </w:sectPr>
      </w:pPr>
    </w:p>
    <w:p>
      <w:pPr>
        <w:pStyle w:val="BodyText"/>
        <w:spacing w:line="480" w:lineRule="auto" w:before="63"/>
        <w:ind w:left="267" w:right="727"/>
        <w:jc w:val="both"/>
      </w:pPr>
      <w:r>
        <w:rPr/>
        <w:t>The empirical findings from the study showed that countries with lowest modified water poverty index (MWPI) were the water poorest, while countries with higher modified water poverty</w:t>
      </w:r>
      <w:r>
        <w:rPr>
          <w:spacing w:val="-3"/>
        </w:rPr>
        <w:t> </w:t>
      </w:r>
      <w:r>
        <w:rPr/>
        <w:t>index MWPI) were categorized as water rich countries. Furthermore, by</w:t>
      </w:r>
      <w:r>
        <w:rPr>
          <w:spacing w:val="-3"/>
        </w:rPr>
        <w:t> </w:t>
      </w:r>
      <w:r>
        <w:rPr/>
        <w:t>comparing the</w:t>
      </w:r>
      <w:r>
        <w:rPr>
          <w:spacing w:val="-12"/>
        </w:rPr>
        <w:t> </w:t>
      </w:r>
      <w:r>
        <w:rPr/>
        <w:t>MWPI</w:t>
      </w:r>
      <w:r>
        <w:rPr>
          <w:spacing w:val="-15"/>
        </w:rPr>
        <w:t> </w:t>
      </w:r>
      <w:r>
        <w:rPr/>
        <w:t>map</w:t>
      </w:r>
      <w:r>
        <w:rPr>
          <w:spacing w:val="-11"/>
        </w:rPr>
        <w:t> </w:t>
      </w:r>
      <w:r>
        <w:rPr/>
        <w:t>with</w:t>
      </w:r>
      <w:r>
        <w:rPr>
          <w:spacing w:val="-10"/>
        </w:rPr>
        <w:t> </w:t>
      </w:r>
      <w:r>
        <w:rPr/>
        <w:t>the</w:t>
      </w:r>
      <w:r>
        <w:rPr>
          <w:spacing w:val="-11"/>
        </w:rPr>
        <w:t> </w:t>
      </w:r>
      <w:r>
        <w:rPr/>
        <w:t>individual</w:t>
      </w:r>
      <w:r>
        <w:rPr>
          <w:spacing w:val="-10"/>
        </w:rPr>
        <w:t> </w:t>
      </w:r>
      <w:r>
        <w:rPr/>
        <w:t>map</w:t>
      </w:r>
      <w:r>
        <w:rPr>
          <w:spacing w:val="-11"/>
        </w:rPr>
        <w:t> </w:t>
      </w:r>
      <w:r>
        <w:rPr/>
        <w:t>of</w:t>
      </w:r>
      <w:r>
        <w:rPr>
          <w:spacing w:val="-11"/>
        </w:rPr>
        <w:t> </w:t>
      </w:r>
      <w:r>
        <w:rPr/>
        <w:t>Resource,</w:t>
      </w:r>
      <w:r>
        <w:rPr>
          <w:spacing w:val="-11"/>
        </w:rPr>
        <w:t> </w:t>
      </w:r>
      <w:r>
        <w:rPr/>
        <w:t>Capacity</w:t>
      </w:r>
      <w:r>
        <w:rPr>
          <w:spacing w:val="-15"/>
        </w:rPr>
        <w:t> </w:t>
      </w:r>
      <w:r>
        <w:rPr/>
        <w:t>and</w:t>
      </w:r>
      <w:r>
        <w:rPr>
          <w:spacing w:val="-11"/>
        </w:rPr>
        <w:t> </w:t>
      </w:r>
      <w:r>
        <w:rPr/>
        <w:t>Access,</w:t>
      </w:r>
      <w:r>
        <w:rPr>
          <w:spacing w:val="-10"/>
        </w:rPr>
        <w:t> </w:t>
      </w:r>
      <w:r>
        <w:rPr/>
        <w:t>African</w:t>
      </w:r>
      <w:r>
        <w:rPr>
          <w:spacing w:val="-11"/>
        </w:rPr>
        <w:t> </w:t>
      </w:r>
      <w:r>
        <w:rPr/>
        <w:t>countries such as Ethiopia, Eritrea, Djibouti and Somalia were the most water poor, while countries such as Afghanistan and Mauritania exhibited tendencies of paucity</w:t>
      </w:r>
      <w:r>
        <w:rPr>
          <w:spacing w:val="-1"/>
        </w:rPr>
        <w:t> </w:t>
      </w:r>
      <w:r>
        <w:rPr/>
        <w:t>of water infrastructure, and</w:t>
      </w:r>
      <w:r>
        <w:rPr>
          <w:spacing w:val="-6"/>
        </w:rPr>
        <w:t> </w:t>
      </w:r>
      <w:r>
        <w:rPr/>
        <w:t>hitherto</w:t>
      </w:r>
      <w:r>
        <w:rPr>
          <w:spacing w:val="-6"/>
        </w:rPr>
        <w:t> </w:t>
      </w:r>
      <w:r>
        <w:rPr/>
        <w:t>seen</w:t>
      </w:r>
      <w:r>
        <w:rPr>
          <w:spacing w:val="-6"/>
        </w:rPr>
        <w:t> </w:t>
      </w:r>
      <w:r>
        <w:rPr/>
        <w:t>as</w:t>
      </w:r>
      <w:r>
        <w:rPr>
          <w:spacing w:val="-6"/>
        </w:rPr>
        <w:t> </w:t>
      </w:r>
      <w:r>
        <w:rPr/>
        <w:t>lacking</w:t>
      </w:r>
      <w:r>
        <w:rPr>
          <w:spacing w:val="-8"/>
        </w:rPr>
        <w:t> </w:t>
      </w:r>
      <w:r>
        <w:rPr/>
        <w:t>institutional</w:t>
      </w:r>
      <w:r>
        <w:rPr>
          <w:spacing w:val="-5"/>
        </w:rPr>
        <w:t> </w:t>
      </w:r>
      <w:r>
        <w:rPr/>
        <w:t>capacity.</w:t>
      </w:r>
      <w:r>
        <w:rPr>
          <w:spacing w:val="-3"/>
        </w:rPr>
        <w:t> </w:t>
      </w:r>
      <w:r>
        <w:rPr/>
        <w:t>The</w:t>
      </w:r>
      <w:r>
        <w:rPr>
          <w:spacing w:val="-7"/>
        </w:rPr>
        <w:t> </w:t>
      </w:r>
      <w:r>
        <w:rPr/>
        <w:t>results</w:t>
      </w:r>
      <w:r>
        <w:rPr>
          <w:spacing w:val="-6"/>
        </w:rPr>
        <w:t> </w:t>
      </w:r>
      <w:r>
        <w:rPr/>
        <w:t>from</w:t>
      </w:r>
      <w:r>
        <w:rPr>
          <w:spacing w:val="-5"/>
        </w:rPr>
        <w:t> </w:t>
      </w:r>
      <w:r>
        <w:rPr/>
        <w:t>the</w:t>
      </w:r>
      <w:r>
        <w:rPr>
          <w:spacing w:val="-6"/>
        </w:rPr>
        <w:t> </w:t>
      </w:r>
      <w:r>
        <w:rPr/>
        <w:t>study</w:t>
      </w:r>
      <w:r>
        <w:rPr>
          <w:spacing w:val="-8"/>
        </w:rPr>
        <w:t> </w:t>
      </w:r>
      <w:r>
        <w:rPr/>
        <w:t>further</w:t>
      </w:r>
      <w:r>
        <w:rPr>
          <w:spacing w:val="-7"/>
        </w:rPr>
        <w:t> </w:t>
      </w:r>
      <w:r>
        <w:rPr/>
        <w:t>showed that</w:t>
      </w:r>
      <w:r>
        <w:rPr>
          <w:spacing w:val="-6"/>
        </w:rPr>
        <w:t> </w:t>
      </w:r>
      <w:r>
        <w:rPr/>
        <w:t>high-</w:t>
      </w:r>
      <w:r>
        <w:rPr>
          <w:spacing w:val="-4"/>
        </w:rPr>
        <w:t> </w:t>
      </w:r>
      <w:r>
        <w:rPr/>
        <w:t>and</w:t>
      </w:r>
      <w:r>
        <w:rPr>
          <w:spacing w:val="-6"/>
        </w:rPr>
        <w:t> </w:t>
      </w:r>
      <w:r>
        <w:rPr/>
        <w:t>middle-income</w:t>
      </w:r>
      <w:r>
        <w:rPr>
          <w:spacing w:val="-6"/>
        </w:rPr>
        <w:t> </w:t>
      </w:r>
      <w:r>
        <w:rPr/>
        <w:t>country</w:t>
      </w:r>
      <w:r>
        <w:rPr>
          <w:spacing w:val="-11"/>
        </w:rPr>
        <w:t> </w:t>
      </w:r>
      <w:r>
        <w:rPr/>
        <w:t>such</w:t>
      </w:r>
      <w:r>
        <w:rPr>
          <w:spacing w:val="-6"/>
        </w:rPr>
        <w:t> </w:t>
      </w:r>
      <w:r>
        <w:rPr/>
        <w:t>as</w:t>
      </w:r>
      <w:r>
        <w:rPr>
          <w:spacing w:val="-1"/>
        </w:rPr>
        <w:t> </w:t>
      </w:r>
      <w:r>
        <w:rPr/>
        <w:t>Libya,</w:t>
      </w:r>
      <w:r>
        <w:rPr>
          <w:spacing w:val="-4"/>
        </w:rPr>
        <w:t> </w:t>
      </w:r>
      <w:r>
        <w:rPr/>
        <w:t>Kuwait,</w:t>
      </w:r>
      <w:r>
        <w:rPr>
          <w:spacing w:val="-6"/>
        </w:rPr>
        <w:t> </w:t>
      </w:r>
      <w:r>
        <w:rPr/>
        <w:t>UAE</w:t>
      </w:r>
      <w:r>
        <w:rPr>
          <w:spacing w:val="-3"/>
        </w:rPr>
        <w:t> </w:t>
      </w:r>
      <w:r>
        <w:rPr/>
        <w:t>and</w:t>
      </w:r>
      <w:r>
        <w:rPr>
          <w:spacing w:val="-6"/>
        </w:rPr>
        <w:t> </w:t>
      </w:r>
      <w:r>
        <w:rPr/>
        <w:t>other</w:t>
      </w:r>
      <w:r>
        <w:rPr>
          <w:spacing w:val="-3"/>
        </w:rPr>
        <w:t> </w:t>
      </w:r>
      <w:r>
        <w:rPr/>
        <w:t>gulf</w:t>
      </w:r>
      <w:r>
        <w:rPr>
          <w:spacing w:val="-3"/>
        </w:rPr>
        <w:t> </w:t>
      </w:r>
      <w:r>
        <w:rPr/>
        <w:t>countries, though water rich, was occasionally faced with acute water shortage attributable to lack of water</w:t>
      </w:r>
      <w:r>
        <w:rPr>
          <w:spacing w:val="-12"/>
        </w:rPr>
        <w:t> </w:t>
      </w:r>
      <w:r>
        <w:rPr/>
        <w:t>resources.</w:t>
      </w:r>
      <w:r>
        <w:rPr>
          <w:spacing w:val="-11"/>
        </w:rPr>
        <w:t> </w:t>
      </w:r>
      <w:r>
        <w:rPr/>
        <w:t>However,</w:t>
      </w:r>
      <w:r>
        <w:rPr>
          <w:spacing w:val="-11"/>
        </w:rPr>
        <w:t> </w:t>
      </w:r>
      <w:r>
        <w:rPr/>
        <w:t>these</w:t>
      </w:r>
      <w:r>
        <w:rPr>
          <w:spacing w:val="-14"/>
        </w:rPr>
        <w:t> </w:t>
      </w:r>
      <w:r>
        <w:rPr/>
        <w:t>countries</w:t>
      </w:r>
      <w:r>
        <w:rPr>
          <w:spacing w:val="-10"/>
        </w:rPr>
        <w:t> </w:t>
      </w:r>
      <w:r>
        <w:rPr/>
        <w:t>because</w:t>
      </w:r>
      <w:r>
        <w:rPr>
          <w:spacing w:val="-12"/>
        </w:rPr>
        <w:t> </w:t>
      </w:r>
      <w:r>
        <w:rPr/>
        <w:t>of</w:t>
      </w:r>
      <w:r>
        <w:rPr>
          <w:spacing w:val="-11"/>
        </w:rPr>
        <w:t> </w:t>
      </w:r>
      <w:r>
        <w:rPr/>
        <w:t>their</w:t>
      </w:r>
      <w:r>
        <w:rPr>
          <w:spacing w:val="-14"/>
        </w:rPr>
        <w:t> </w:t>
      </w:r>
      <w:r>
        <w:rPr/>
        <w:t>abundance</w:t>
      </w:r>
      <w:r>
        <w:rPr>
          <w:spacing w:val="-12"/>
        </w:rPr>
        <w:t> </w:t>
      </w:r>
      <w:r>
        <w:rPr/>
        <w:t>resources</w:t>
      </w:r>
      <w:r>
        <w:rPr>
          <w:spacing w:val="-10"/>
        </w:rPr>
        <w:t> </w:t>
      </w:r>
      <w:r>
        <w:rPr/>
        <w:t>(oil</w:t>
      </w:r>
      <w:r>
        <w:rPr>
          <w:spacing w:val="-10"/>
        </w:rPr>
        <w:t> </w:t>
      </w:r>
      <w:r>
        <w:rPr/>
        <w:t>and</w:t>
      </w:r>
      <w:r>
        <w:rPr>
          <w:spacing w:val="-11"/>
        </w:rPr>
        <w:t> </w:t>
      </w:r>
      <w:r>
        <w:rPr/>
        <w:t>gas) were able to adapt both in the short and medium term to water scarcity by employing high cost water quality techniques like de-salination, so as to satisfy the ever-increasing demand from their rising population.</w:t>
      </w:r>
    </w:p>
    <w:p>
      <w:pPr>
        <w:pStyle w:val="BodyText"/>
        <w:spacing w:before="2"/>
      </w:pPr>
    </w:p>
    <w:p>
      <w:pPr>
        <w:pStyle w:val="BodyText"/>
        <w:spacing w:line="480" w:lineRule="auto"/>
        <w:ind w:left="267" w:right="725"/>
        <w:jc w:val="both"/>
      </w:pPr>
      <w:r>
        <w:rPr/>
        <w:t>The recent study by Hung </w:t>
      </w:r>
      <w:r>
        <w:rPr>
          <w:i/>
        </w:rPr>
        <w:t>et al., </w:t>
      </w:r>
      <w:r>
        <w:rPr/>
        <w:t>(2017) examined the spatial-temporal variation in water poverty</w:t>
      </w:r>
      <w:r>
        <w:rPr>
          <w:spacing w:val="-15"/>
        </w:rPr>
        <w:t> </w:t>
      </w:r>
      <w:r>
        <w:rPr/>
        <w:t>situation</w:t>
      </w:r>
      <w:r>
        <w:rPr>
          <w:spacing w:val="-15"/>
        </w:rPr>
        <w:t> </w:t>
      </w:r>
      <w:r>
        <w:rPr/>
        <w:t>in</w:t>
      </w:r>
      <w:r>
        <w:rPr>
          <w:spacing w:val="-15"/>
        </w:rPr>
        <w:t> </w:t>
      </w:r>
      <w:r>
        <w:rPr/>
        <w:t>three</w:t>
      </w:r>
      <w:r>
        <w:rPr>
          <w:spacing w:val="-15"/>
        </w:rPr>
        <w:t> </w:t>
      </w:r>
      <w:r>
        <w:rPr/>
        <w:t>(3)</w:t>
      </w:r>
      <w:r>
        <w:rPr>
          <w:spacing w:val="-15"/>
        </w:rPr>
        <w:t> </w:t>
      </w:r>
      <w:r>
        <w:rPr/>
        <w:t>independent</w:t>
      </w:r>
      <w:r>
        <w:rPr>
          <w:spacing w:val="-15"/>
        </w:rPr>
        <w:t> </w:t>
      </w:r>
      <w:r>
        <w:rPr/>
        <w:t>land-locked</w:t>
      </w:r>
      <w:r>
        <w:rPr>
          <w:spacing w:val="-15"/>
        </w:rPr>
        <w:t> </w:t>
      </w:r>
      <w:r>
        <w:rPr/>
        <w:t>river</w:t>
      </w:r>
      <w:r>
        <w:rPr>
          <w:spacing w:val="-15"/>
        </w:rPr>
        <w:t> </w:t>
      </w:r>
      <w:r>
        <w:rPr/>
        <w:t>systems</w:t>
      </w:r>
      <w:r>
        <w:rPr>
          <w:spacing w:val="-15"/>
        </w:rPr>
        <w:t> </w:t>
      </w:r>
      <w:r>
        <w:rPr/>
        <w:t>(Shule,</w:t>
      </w:r>
      <w:r>
        <w:rPr>
          <w:spacing w:val="-15"/>
        </w:rPr>
        <w:t> </w:t>
      </w:r>
      <w:r>
        <w:rPr/>
        <w:t>Heihe</w:t>
      </w:r>
      <w:r>
        <w:rPr>
          <w:spacing w:val="-15"/>
        </w:rPr>
        <w:t> </w:t>
      </w:r>
      <w:r>
        <w:rPr/>
        <w:t>and</w:t>
      </w:r>
      <w:r>
        <w:rPr>
          <w:spacing w:val="-15"/>
        </w:rPr>
        <w:t> </w:t>
      </w:r>
      <w:r>
        <w:rPr/>
        <w:t>Shiyan basin)</w:t>
      </w:r>
      <w:r>
        <w:rPr>
          <w:spacing w:val="-7"/>
        </w:rPr>
        <w:t> </w:t>
      </w:r>
      <w:r>
        <w:rPr/>
        <w:t>of</w:t>
      </w:r>
      <w:r>
        <w:rPr>
          <w:spacing w:val="-6"/>
        </w:rPr>
        <w:t> </w:t>
      </w:r>
      <w:r>
        <w:rPr/>
        <w:t>Hexi</w:t>
      </w:r>
      <w:r>
        <w:rPr>
          <w:spacing w:val="-7"/>
        </w:rPr>
        <w:t> </w:t>
      </w:r>
      <w:r>
        <w:rPr/>
        <w:t>corridor</w:t>
      </w:r>
      <w:r>
        <w:rPr>
          <w:spacing w:val="-5"/>
        </w:rPr>
        <w:t> </w:t>
      </w:r>
      <w:r>
        <w:rPr/>
        <w:t>in</w:t>
      </w:r>
      <w:r>
        <w:rPr>
          <w:spacing w:val="-7"/>
        </w:rPr>
        <w:t> </w:t>
      </w:r>
      <w:r>
        <w:rPr/>
        <w:t>northwest</w:t>
      </w:r>
      <w:r>
        <w:rPr>
          <w:spacing w:val="-7"/>
        </w:rPr>
        <w:t> </w:t>
      </w:r>
      <w:r>
        <w:rPr/>
        <w:t>China</w:t>
      </w:r>
      <w:r>
        <w:rPr>
          <w:spacing w:val="-8"/>
        </w:rPr>
        <w:t> </w:t>
      </w:r>
      <w:r>
        <w:rPr/>
        <w:t>between</w:t>
      </w:r>
      <w:r>
        <w:rPr>
          <w:spacing w:val="-7"/>
        </w:rPr>
        <w:t> </w:t>
      </w:r>
      <w:r>
        <w:rPr/>
        <w:t>2003</w:t>
      </w:r>
      <w:r>
        <w:rPr>
          <w:spacing w:val="-7"/>
        </w:rPr>
        <w:t> </w:t>
      </w:r>
      <w:r>
        <w:rPr/>
        <w:t>and</w:t>
      </w:r>
      <w:r>
        <w:rPr>
          <w:spacing w:val="-7"/>
        </w:rPr>
        <w:t> </w:t>
      </w:r>
      <w:r>
        <w:rPr/>
        <w:t>2015.</w:t>
      </w:r>
      <w:r>
        <w:rPr>
          <w:spacing w:val="-5"/>
        </w:rPr>
        <w:t> </w:t>
      </w:r>
      <w:r>
        <w:rPr/>
        <w:t>While</w:t>
      </w:r>
      <w:r>
        <w:rPr>
          <w:spacing w:val="-8"/>
        </w:rPr>
        <w:t> </w:t>
      </w:r>
      <w:r>
        <w:rPr/>
        <w:t>the</w:t>
      </w:r>
      <w:r>
        <w:rPr>
          <w:spacing w:val="-8"/>
        </w:rPr>
        <w:t> </w:t>
      </w:r>
      <w:r>
        <w:rPr/>
        <w:t>study</w:t>
      </w:r>
      <w:r>
        <w:rPr>
          <w:spacing w:val="-10"/>
        </w:rPr>
        <w:t> </w:t>
      </w:r>
      <w:r>
        <w:rPr/>
        <w:t>adopted the equal weighting technique, which is a balanced methodology in calculating the water poverty index so as to avoid the issue of subjective and arbitrary weights (Sullivan and Meigh,</w:t>
      </w:r>
      <w:r>
        <w:rPr>
          <w:spacing w:val="-2"/>
        </w:rPr>
        <w:t> </w:t>
      </w:r>
      <w:r>
        <w:rPr/>
        <w:t>2007),</w:t>
      </w:r>
      <w:r>
        <w:rPr>
          <w:spacing w:val="-2"/>
        </w:rPr>
        <w:t> </w:t>
      </w:r>
      <w:r>
        <w:rPr/>
        <w:t>the</w:t>
      </w:r>
      <w:r>
        <w:rPr>
          <w:spacing w:val="-2"/>
        </w:rPr>
        <w:t> </w:t>
      </w:r>
      <w:r>
        <w:rPr/>
        <w:t>empirical</w:t>
      </w:r>
      <w:r>
        <w:rPr>
          <w:spacing w:val="-2"/>
        </w:rPr>
        <w:t> </w:t>
      </w:r>
      <w:r>
        <w:rPr/>
        <w:t>findings</w:t>
      </w:r>
      <w:r>
        <w:rPr>
          <w:spacing w:val="-2"/>
        </w:rPr>
        <w:t> </w:t>
      </w:r>
      <w:r>
        <w:rPr/>
        <w:t>based</w:t>
      </w:r>
      <w:r>
        <w:rPr>
          <w:spacing w:val="-2"/>
        </w:rPr>
        <w:t> </w:t>
      </w:r>
      <w:r>
        <w:rPr/>
        <w:t>on the</w:t>
      </w:r>
      <w:r>
        <w:rPr>
          <w:spacing w:val="-1"/>
        </w:rPr>
        <w:t> </w:t>
      </w:r>
      <w:r>
        <w:rPr/>
        <w:t>derived</w:t>
      </w:r>
      <w:r>
        <w:rPr>
          <w:spacing w:val="-2"/>
        </w:rPr>
        <w:t> </w:t>
      </w:r>
      <w:r>
        <w:rPr/>
        <w:t>water</w:t>
      </w:r>
      <w:r>
        <w:rPr>
          <w:spacing w:val="-2"/>
        </w:rPr>
        <w:t> </w:t>
      </w:r>
      <w:r>
        <w:rPr/>
        <w:t>poverty</w:t>
      </w:r>
      <w:r>
        <w:rPr>
          <w:spacing w:val="-7"/>
        </w:rPr>
        <w:t> </w:t>
      </w:r>
      <w:r>
        <w:rPr/>
        <w:t>scores</w:t>
      </w:r>
      <w:r>
        <w:rPr>
          <w:spacing w:val="-2"/>
        </w:rPr>
        <w:t> </w:t>
      </w:r>
      <w:r>
        <w:rPr/>
        <w:t>showed</w:t>
      </w:r>
      <w:r>
        <w:rPr>
          <w:spacing w:val="-2"/>
        </w:rPr>
        <w:t> </w:t>
      </w:r>
      <w:r>
        <w:rPr/>
        <w:t>that Shule</w:t>
      </w:r>
      <w:r>
        <w:rPr>
          <w:spacing w:val="-8"/>
        </w:rPr>
        <w:t> </w:t>
      </w:r>
      <w:r>
        <w:rPr/>
        <w:t>and</w:t>
      </w:r>
      <w:r>
        <w:rPr>
          <w:spacing w:val="-7"/>
        </w:rPr>
        <w:t> </w:t>
      </w:r>
      <w:r>
        <w:rPr/>
        <w:t>Heihe</w:t>
      </w:r>
      <w:r>
        <w:rPr>
          <w:spacing w:val="-8"/>
        </w:rPr>
        <w:t> </w:t>
      </w:r>
      <w:r>
        <w:rPr/>
        <w:t>basins</w:t>
      </w:r>
      <w:r>
        <w:rPr>
          <w:spacing w:val="-7"/>
        </w:rPr>
        <w:t> </w:t>
      </w:r>
      <w:r>
        <w:rPr/>
        <w:t>(with</w:t>
      </w:r>
      <w:r>
        <w:rPr>
          <w:spacing w:val="-7"/>
        </w:rPr>
        <w:t> </w:t>
      </w:r>
      <w:r>
        <w:rPr/>
        <w:t>an</w:t>
      </w:r>
      <w:r>
        <w:rPr>
          <w:spacing w:val="-7"/>
        </w:rPr>
        <w:t> </w:t>
      </w:r>
      <w:r>
        <w:rPr/>
        <w:t>increase</w:t>
      </w:r>
      <w:r>
        <w:rPr>
          <w:spacing w:val="-8"/>
        </w:rPr>
        <w:t> </w:t>
      </w:r>
      <w:r>
        <w:rPr/>
        <w:t>in</w:t>
      </w:r>
      <w:r>
        <w:rPr>
          <w:spacing w:val="-7"/>
        </w:rPr>
        <w:t> </w:t>
      </w:r>
      <w:r>
        <w:rPr/>
        <w:t>water</w:t>
      </w:r>
      <w:r>
        <w:rPr>
          <w:spacing w:val="-8"/>
        </w:rPr>
        <w:t> </w:t>
      </w:r>
      <w:r>
        <w:rPr/>
        <w:t>poverty</w:t>
      </w:r>
      <w:r>
        <w:rPr>
          <w:spacing w:val="-12"/>
        </w:rPr>
        <w:t> </w:t>
      </w:r>
      <w:r>
        <w:rPr/>
        <w:t>score</w:t>
      </w:r>
      <w:r>
        <w:rPr>
          <w:spacing w:val="-9"/>
        </w:rPr>
        <w:t> </w:t>
      </w:r>
      <w:r>
        <w:rPr/>
        <w:t>of</w:t>
      </w:r>
      <w:r>
        <w:rPr>
          <w:spacing w:val="-8"/>
        </w:rPr>
        <w:t> </w:t>
      </w:r>
      <w:r>
        <w:rPr/>
        <w:t>13.00</w:t>
      </w:r>
      <w:r>
        <w:rPr>
          <w:spacing w:val="-7"/>
        </w:rPr>
        <w:t> </w:t>
      </w:r>
      <w:r>
        <w:rPr/>
        <w:t>and</w:t>
      </w:r>
      <w:r>
        <w:rPr>
          <w:spacing w:val="-7"/>
        </w:rPr>
        <w:t> </w:t>
      </w:r>
      <w:r>
        <w:rPr/>
        <w:t>9.60)</w:t>
      </w:r>
      <w:r>
        <w:rPr>
          <w:spacing w:val="-8"/>
        </w:rPr>
        <w:t> </w:t>
      </w:r>
      <w:r>
        <w:rPr/>
        <w:t>exhibited the best water situation respectively, while Shiyan basin (with a decline in water poverty score by 3.50) exhibited the worst.</w:t>
      </w:r>
    </w:p>
    <w:p>
      <w:pPr>
        <w:spacing w:after="0" w:line="480" w:lineRule="auto"/>
        <w:jc w:val="both"/>
        <w:sectPr>
          <w:pgSz w:w="12240" w:h="15840"/>
          <w:pgMar w:header="0" w:footer="1068" w:top="1340" w:bottom="1260" w:left="1720" w:right="680"/>
        </w:sectPr>
      </w:pPr>
    </w:p>
    <w:p>
      <w:pPr>
        <w:pStyle w:val="BodyText"/>
        <w:spacing w:before="63"/>
        <w:ind w:left="267"/>
        <w:jc w:val="both"/>
      </w:pPr>
      <w:r>
        <w:rPr/>
        <w:t>As</w:t>
      </w:r>
      <w:r>
        <w:rPr>
          <w:spacing w:val="6"/>
        </w:rPr>
        <w:t> </w:t>
      </w:r>
      <w:r>
        <w:rPr/>
        <w:t>a</w:t>
      </w:r>
      <w:r>
        <w:rPr>
          <w:spacing w:val="8"/>
        </w:rPr>
        <w:t> </w:t>
      </w:r>
      <w:r>
        <w:rPr/>
        <w:t>corollary,</w:t>
      </w:r>
      <w:r>
        <w:rPr>
          <w:spacing w:val="9"/>
        </w:rPr>
        <w:t> </w:t>
      </w:r>
      <w:r>
        <w:rPr/>
        <w:t>the</w:t>
      </w:r>
      <w:r>
        <w:rPr>
          <w:spacing w:val="11"/>
        </w:rPr>
        <w:t> </w:t>
      </w:r>
      <w:r>
        <w:rPr/>
        <w:t>results</w:t>
      </w:r>
      <w:r>
        <w:rPr>
          <w:spacing w:val="9"/>
        </w:rPr>
        <w:t> </w:t>
      </w:r>
      <w:r>
        <w:rPr/>
        <w:t>of</w:t>
      </w:r>
      <w:r>
        <w:rPr>
          <w:spacing w:val="7"/>
        </w:rPr>
        <w:t> </w:t>
      </w:r>
      <w:r>
        <w:rPr/>
        <w:t>the</w:t>
      </w:r>
      <w:r>
        <w:rPr>
          <w:spacing w:val="8"/>
        </w:rPr>
        <w:t> </w:t>
      </w:r>
      <w:r>
        <w:rPr/>
        <w:t>pentagrams</w:t>
      </w:r>
      <w:r>
        <w:rPr>
          <w:spacing w:val="10"/>
        </w:rPr>
        <w:t> </w:t>
      </w:r>
      <w:r>
        <w:rPr/>
        <w:t>indicated</w:t>
      </w:r>
      <w:r>
        <w:rPr>
          <w:spacing w:val="8"/>
        </w:rPr>
        <w:t> </w:t>
      </w:r>
      <w:r>
        <w:rPr/>
        <w:t>the</w:t>
      </w:r>
      <w:r>
        <w:rPr>
          <w:spacing w:val="11"/>
        </w:rPr>
        <w:t> </w:t>
      </w:r>
      <w:r>
        <w:rPr/>
        <w:t>contributory</w:t>
      </w:r>
      <w:r>
        <w:rPr>
          <w:spacing w:val="3"/>
        </w:rPr>
        <w:t> </w:t>
      </w:r>
      <w:r>
        <w:rPr/>
        <w:t>order</w:t>
      </w:r>
      <w:r>
        <w:rPr>
          <w:spacing w:val="8"/>
        </w:rPr>
        <w:t> </w:t>
      </w:r>
      <w:r>
        <w:rPr/>
        <w:t>of</w:t>
      </w:r>
      <w:r>
        <w:rPr>
          <w:spacing w:val="11"/>
        </w:rPr>
        <w:t> </w:t>
      </w:r>
      <w:r>
        <w:rPr/>
        <w:t>all</w:t>
      </w:r>
      <w:r>
        <w:rPr>
          <w:spacing w:val="10"/>
        </w:rPr>
        <w:t> </w:t>
      </w:r>
      <w:r>
        <w:rPr/>
        <w:t>the</w:t>
      </w:r>
      <w:r>
        <w:rPr>
          <w:spacing w:val="8"/>
        </w:rPr>
        <w:t> </w:t>
      </w:r>
      <w:r>
        <w:rPr>
          <w:spacing w:val="-4"/>
        </w:rPr>
        <w:t>five</w:t>
      </w:r>
    </w:p>
    <w:p>
      <w:pPr>
        <w:pStyle w:val="BodyText"/>
      </w:pPr>
    </w:p>
    <w:p>
      <w:pPr>
        <w:pStyle w:val="BodyText"/>
        <w:tabs>
          <w:tab w:pos="1008" w:val="left" w:leader="none"/>
          <w:tab w:pos="1860" w:val="left" w:leader="none"/>
          <w:tab w:pos="2786" w:val="left" w:leader="none"/>
          <w:tab w:pos="3522" w:val="left" w:leader="none"/>
          <w:tab w:pos="4969" w:val="left" w:leader="none"/>
          <w:tab w:pos="5612" w:val="left" w:leader="none"/>
          <w:tab w:pos="6350" w:val="left" w:leader="none"/>
          <w:tab w:pos="7674" w:val="left" w:leader="none"/>
          <w:tab w:pos="8917" w:val="left" w:leader="none"/>
        </w:tabs>
        <w:spacing w:line="480" w:lineRule="auto"/>
        <w:ind w:left="267" w:right="724"/>
      </w:pPr>
      <w:r>
        <w:rPr/>
        <w:t>(5)</w:t>
      </w:r>
      <w:r>
        <w:rPr>
          <w:spacing w:val="-12"/>
        </w:rPr>
        <w:t> </w:t>
      </w:r>
      <w:r>
        <w:rPr/>
        <w:t>components</w:t>
      </w:r>
      <w:r>
        <w:rPr>
          <w:spacing w:val="-10"/>
        </w:rPr>
        <w:t> </w:t>
      </w:r>
      <w:r>
        <w:rPr/>
        <w:t>(Resource,</w:t>
      </w:r>
      <w:r>
        <w:rPr>
          <w:spacing w:val="-11"/>
        </w:rPr>
        <w:t> </w:t>
      </w:r>
      <w:r>
        <w:rPr/>
        <w:t>Access,</w:t>
      </w:r>
      <w:r>
        <w:rPr>
          <w:spacing w:val="-10"/>
        </w:rPr>
        <w:t> </w:t>
      </w:r>
      <w:r>
        <w:rPr/>
        <w:t>Capacity,</w:t>
      </w:r>
      <w:r>
        <w:rPr>
          <w:spacing w:val="-11"/>
        </w:rPr>
        <w:t> </w:t>
      </w:r>
      <w:r>
        <w:rPr/>
        <w:t>Use</w:t>
      </w:r>
      <w:r>
        <w:rPr>
          <w:spacing w:val="-9"/>
        </w:rPr>
        <w:t> </w:t>
      </w:r>
      <w:r>
        <w:rPr/>
        <w:t>and</w:t>
      </w:r>
      <w:r>
        <w:rPr>
          <w:spacing w:val="-11"/>
        </w:rPr>
        <w:t> </w:t>
      </w:r>
      <w:r>
        <w:rPr/>
        <w:t>Environment)</w:t>
      </w:r>
      <w:r>
        <w:rPr>
          <w:spacing w:val="-11"/>
        </w:rPr>
        <w:t> </w:t>
      </w:r>
      <w:r>
        <w:rPr/>
        <w:t>of</w:t>
      </w:r>
      <w:r>
        <w:rPr>
          <w:spacing w:val="-11"/>
        </w:rPr>
        <w:t> </w:t>
      </w:r>
      <w:r>
        <w:rPr/>
        <w:t>the</w:t>
      </w:r>
      <w:r>
        <w:rPr>
          <w:spacing w:val="-11"/>
        </w:rPr>
        <w:t> </w:t>
      </w:r>
      <w:r>
        <w:rPr/>
        <w:t>WPI</w:t>
      </w:r>
      <w:r>
        <w:rPr>
          <w:spacing w:val="-15"/>
        </w:rPr>
        <w:t> </w:t>
      </w:r>
      <w:r>
        <w:rPr/>
        <w:t>for</w:t>
      </w:r>
      <w:r>
        <w:rPr>
          <w:spacing w:val="-11"/>
        </w:rPr>
        <w:t> </w:t>
      </w:r>
      <w:r>
        <w:rPr/>
        <w:t>the</w:t>
      </w:r>
      <w:r>
        <w:rPr>
          <w:spacing w:val="-11"/>
        </w:rPr>
        <w:t> </w:t>
      </w:r>
      <w:r>
        <w:rPr/>
        <w:t>three basins in the</w:t>
      </w:r>
      <w:r>
        <w:rPr>
          <w:spacing w:val="-1"/>
        </w:rPr>
        <w:t> </w:t>
      </w:r>
      <w:r>
        <w:rPr/>
        <w:t>study</w:t>
      </w:r>
      <w:r>
        <w:rPr>
          <w:spacing w:val="-4"/>
        </w:rPr>
        <w:t> </w:t>
      </w:r>
      <w:r>
        <w:rPr/>
        <w:t>area. Sequentially, the contribution of</w:t>
      </w:r>
      <w:r>
        <w:rPr>
          <w:spacing w:val="-1"/>
        </w:rPr>
        <w:t> </w:t>
      </w:r>
      <w:r>
        <w:rPr/>
        <w:t>the</w:t>
      </w:r>
      <w:r>
        <w:rPr>
          <w:spacing w:val="-1"/>
        </w:rPr>
        <w:t> </w:t>
      </w:r>
      <w:r>
        <w:rPr/>
        <w:t>WPI</w:t>
      </w:r>
      <w:r>
        <w:rPr>
          <w:spacing w:val="-3"/>
        </w:rPr>
        <w:t> </w:t>
      </w:r>
      <w:r>
        <w:rPr/>
        <w:t>components in year</w:t>
      </w:r>
      <w:r>
        <w:rPr>
          <w:spacing w:val="-1"/>
        </w:rPr>
        <w:t> </w:t>
      </w:r>
      <w:r>
        <w:rPr/>
        <w:t>2003 </w:t>
      </w:r>
      <w:r>
        <w:rPr>
          <w:spacing w:val="-4"/>
        </w:rPr>
        <w:t>was </w:t>
      </w:r>
      <w:r>
        <w:rPr>
          <w:spacing w:val="-2"/>
        </w:rPr>
        <w:t>Resource&gt;Environment&gt;Use&gt;Access&gt;Capacity(Shule),Access&gt;Environment&gt;Use&gt;Resour </w:t>
      </w:r>
      <w:r>
        <w:rPr/>
        <w:t>ce&gt;Capacity(Heihe)and</w:t>
      </w:r>
      <w:r>
        <w:rPr>
          <w:spacing w:val="27"/>
        </w:rPr>
        <w:t> </w:t>
      </w:r>
      <w:r>
        <w:rPr/>
        <w:t>Use&gt;Environment&gt;Resource&gt;Access&gt;Capacity (Shiyan) while by </w:t>
      </w:r>
      <w:r>
        <w:rPr>
          <w:spacing w:val="-4"/>
        </w:rPr>
        <w:t>the</w:t>
      </w:r>
      <w:r>
        <w:rPr/>
        <w:tab/>
      </w:r>
      <w:r>
        <w:rPr>
          <w:spacing w:val="-4"/>
        </w:rPr>
        <w:t>year</w:t>
      </w:r>
      <w:r>
        <w:rPr/>
        <w:tab/>
      </w:r>
      <w:r>
        <w:rPr>
          <w:spacing w:val="-4"/>
        </w:rPr>
        <w:t>2015</w:t>
      </w:r>
      <w:r>
        <w:rPr/>
        <w:tab/>
      </w:r>
      <w:r>
        <w:rPr>
          <w:spacing w:val="-4"/>
        </w:rPr>
        <w:t>the</w:t>
      </w:r>
      <w:r>
        <w:rPr/>
        <w:tab/>
      </w:r>
      <w:r>
        <w:rPr>
          <w:spacing w:val="-2"/>
        </w:rPr>
        <w:t>dimension</w:t>
      </w:r>
      <w:r>
        <w:rPr/>
        <w:tab/>
      </w:r>
      <w:r>
        <w:rPr>
          <w:spacing w:val="-6"/>
        </w:rPr>
        <w:t>of</w:t>
      </w:r>
      <w:r>
        <w:rPr/>
        <w:tab/>
      </w:r>
      <w:r>
        <w:rPr>
          <w:spacing w:val="-4"/>
        </w:rPr>
        <w:t>the</w:t>
      </w:r>
      <w:r>
        <w:rPr/>
        <w:tab/>
      </w:r>
      <w:r>
        <w:rPr>
          <w:spacing w:val="-2"/>
        </w:rPr>
        <w:t>sequence</w:t>
      </w:r>
      <w:r>
        <w:rPr/>
        <w:tab/>
      </w:r>
      <w:r>
        <w:rPr>
          <w:spacing w:val="-2"/>
        </w:rPr>
        <w:t>changed</w:t>
      </w:r>
      <w:r>
        <w:rPr/>
        <w:tab/>
      </w:r>
      <w:r>
        <w:rPr>
          <w:spacing w:val="-6"/>
        </w:rPr>
        <w:t>to </w:t>
      </w:r>
      <w:r>
        <w:rPr/>
        <w:t>Resource&gt;Environment&gt;Capacity&gt;Access&gt;Use</w:t>
      </w:r>
      <w:r>
        <w:rPr>
          <w:spacing w:val="40"/>
        </w:rPr>
        <w:t> </w:t>
      </w:r>
      <w:r>
        <w:rPr/>
        <w:t>(Shule),Access&gt;Environment&gt;</w:t>
      </w:r>
      <w:r>
        <w:rPr>
          <w:spacing w:val="40"/>
        </w:rPr>
        <w:t> </w:t>
      </w:r>
      <w:r>
        <w:rPr/>
        <w:t>Capacity&gt; Resource&gt;Use(Heihe)andUse&gt;Access&gt;Capacity&gt;Resource&gt;Environment (Shiyan).</w:t>
      </w:r>
    </w:p>
    <w:p>
      <w:pPr>
        <w:pStyle w:val="BodyText"/>
        <w:spacing w:line="480" w:lineRule="auto" w:before="1"/>
        <w:ind w:left="267" w:right="728"/>
        <w:jc w:val="both"/>
      </w:pPr>
      <w:r>
        <w:rPr/>
        <w:t>While the study revealed that Heihe basin have the most balanced situation in terms of the five</w:t>
      </w:r>
      <w:r>
        <w:rPr>
          <w:spacing w:val="-13"/>
        </w:rPr>
        <w:t> </w:t>
      </w:r>
      <w:r>
        <w:rPr/>
        <w:t>(5)</w:t>
      </w:r>
      <w:r>
        <w:rPr>
          <w:spacing w:val="-11"/>
        </w:rPr>
        <w:t> </w:t>
      </w:r>
      <w:r>
        <w:rPr/>
        <w:t>water</w:t>
      </w:r>
      <w:r>
        <w:rPr>
          <w:spacing w:val="-11"/>
        </w:rPr>
        <w:t> </w:t>
      </w:r>
      <w:r>
        <w:rPr/>
        <w:t>poverty</w:t>
      </w:r>
      <w:r>
        <w:rPr>
          <w:spacing w:val="-14"/>
        </w:rPr>
        <w:t> </w:t>
      </w:r>
      <w:r>
        <w:rPr/>
        <w:t>components,</w:t>
      </w:r>
      <w:r>
        <w:rPr>
          <w:spacing w:val="-10"/>
        </w:rPr>
        <w:t> </w:t>
      </w:r>
      <w:r>
        <w:rPr/>
        <w:t>the</w:t>
      </w:r>
      <w:r>
        <w:rPr>
          <w:spacing w:val="-11"/>
        </w:rPr>
        <w:t> </w:t>
      </w:r>
      <w:r>
        <w:rPr/>
        <w:t>study</w:t>
      </w:r>
      <w:r>
        <w:rPr>
          <w:spacing w:val="-15"/>
        </w:rPr>
        <w:t> </w:t>
      </w:r>
      <w:r>
        <w:rPr/>
        <w:t>nonetheless</w:t>
      </w:r>
      <w:r>
        <w:rPr>
          <w:spacing w:val="-10"/>
        </w:rPr>
        <w:t> </w:t>
      </w:r>
      <w:r>
        <w:rPr/>
        <w:t>showed</w:t>
      </w:r>
      <w:r>
        <w:rPr>
          <w:spacing w:val="-11"/>
        </w:rPr>
        <w:t> </w:t>
      </w:r>
      <w:r>
        <w:rPr/>
        <w:t>that</w:t>
      </w:r>
      <w:r>
        <w:rPr>
          <w:spacing w:val="-11"/>
        </w:rPr>
        <w:t> </w:t>
      </w:r>
      <w:r>
        <w:rPr/>
        <w:t>the</w:t>
      </w:r>
      <w:r>
        <w:rPr>
          <w:spacing w:val="-11"/>
        </w:rPr>
        <w:t> </w:t>
      </w:r>
      <w:r>
        <w:rPr/>
        <w:t>changing</w:t>
      </w:r>
      <w:r>
        <w:rPr>
          <w:spacing w:val="-12"/>
        </w:rPr>
        <w:t> </w:t>
      </w:r>
      <w:r>
        <w:rPr/>
        <w:t>sequence of the WPI</w:t>
      </w:r>
      <w:r>
        <w:rPr>
          <w:spacing w:val="-3"/>
        </w:rPr>
        <w:t> </w:t>
      </w:r>
      <w:r>
        <w:rPr/>
        <w:t>over a given instant of time provided evidence of spatial-temporal dimension of water poverty in Hexi corridor in northwest China. Furthermore, the study concluded that more stringent water policy measures are necessary to address the water poverty situation especially in Shule river basin.</w:t>
      </w:r>
    </w:p>
    <w:p>
      <w:pPr>
        <w:pStyle w:val="BodyText"/>
        <w:spacing w:before="1"/>
      </w:pPr>
    </w:p>
    <w:p>
      <w:pPr>
        <w:pStyle w:val="BodyText"/>
        <w:spacing w:line="480" w:lineRule="auto"/>
        <w:ind w:left="267" w:right="724"/>
        <w:jc w:val="both"/>
      </w:pPr>
      <w:r>
        <w:rPr/>
        <w:t>The recent study by El-Gafy (2018) examined the application of the water poverty index at the community scale in all the 22 political governorates in Egypt. From a methodological viewpoint, 14 water poverty subcomponents were selected to be applied within the index, and the weighted arithmetic aggregation, which compared to the geometric aggregation method in the study, was evaluated to be more appropriate was employed. The developed water poverty index was subsequently applied to identify the strengths and weaknesses of each governorate in terms of water resources, access, capacity, use, and environment. For ease</w:t>
      </w:r>
      <w:r>
        <w:rPr>
          <w:spacing w:val="50"/>
        </w:rPr>
        <w:t> </w:t>
      </w:r>
      <w:r>
        <w:rPr/>
        <w:t>of</w:t>
      </w:r>
      <w:r>
        <w:rPr>
          <w:spacing w:val="51"/>
        </w:rPr>
        <w:t> </w:t>
      </w:r>
      <w:r>
        <w:rPr/>
        <w:t>interpretation</w:t>
      </w:r>
      <w:r>
        <w:rPr>
          <w:spacing w:val="53"/>
        </w:rPr>
        <w:t> </w:t>
      </w:r>
      <w:r>
        <w:rPr/>
        <w:t>and</w:t>
      </w:r>
      <w:r>
        <w:rPr>
          <w:spacing w:val="52"/>
        </w:rPr>
        <w:t> </w:t>
      </w:r>
      <w:r>
        <w:rPr/>
        <w:t>relative</w:t>
      </w:r>
      <w:r>
        <w:rPr>
          <w:spacing w:val="54"/>
        </w:rPr>
        <w:t> </w:t>
      </w:r>
      <w:r>
        <w:rPr/>
        <w:t>comparison</w:t>
      </w:r>
      <w:r>
        <w:rPr>
          <w:spacing w:val="55"/>
        </w:rPr>
        <w:t> </w:t>
      </w:r>
      <w:r>
        <w:rPr/>
        <w:t>of</w:t>
      </w:r>
      <w:r>
        <w:rPr>
          <w:spacing w:val="50"/>
        </w:rPr>
        <w:t> </w:t>
      </w:r>
      <w:r>
        <w:rPr/>
        <w:t>the</w:t>
      </w:r>
      <w:r>
        <w:rPr>
          <w:spacing w:val="52"/>
        </w:rPr>
        <w:t> </w:t>
      </w:r>
      <w:r>
        <w:rPr/>
        <w:t>water</w:t>
      </w:r>
      <w:r>
        <w:rPr>
          <w:spacing w:val="51"/>
        </w:rPr>
        <w:t> </w:t>
      </w:r>
      <w:r>
        <w:rPr/>
        <w:t>poverty</w:t>
      </w:r>
      <w:r>
        <w:rPr>
          <w:spacing w:val="47"/>
        </w:rPr>
        <w:t> </w:t>
      </w:r>
      <w:r>
        <w:rPr/>
        <w:t>index</w:t>
      </w:r>
      <w:r>
        <w:rPr>
          <w:spacing w:val="54"/>
        </w:rPr>
        <w:t> </w:t>
      </w:r>
      <w:r>
        <w:rPr/>
        <w:t>and</w:t>
      </w:r>
      <w:r>
        <w:rPr>
          <w:spacing w:val="52"/>
        </w:rPr>
        <w:t> </w:t>
      </w:r>
      <w:r>
        <w:rPr/>
        <w:t>its</w:t>
      </w:r>
      <w:r>
        <w:rPr>
          <w:spacing w:val="52"/>
        </w:rPr>
        <w:t> </w:t>
      </w:r>
      <w:r>
        <w:rPr>
          <w:spacing w:val="-4"/>
        </w:rPr>
        <w:t>sub-</w:t>
      </w:r>
    </w:p>
    <w:p>
      <w:pPr>
        <w:spacing w:after="0" w:line="480" w:lineRule="auto"/>
        <w:jc w:val="both"/>
        <w:sectPr>
          <w:pgSz w:w="12240" w:h="15840"/>
          <w:pgMar w:header="0" w:footer="1068" w:top="1340" w:bottom="1260" w:left="1720" w:right="680"/>
        </w:sectPr>
      </w:pPr>
    </w:p>
    <w:p>
      <w:pPr>
        <w:pStyle w:val="BodyText"/>
        <w:spacing w:line="480" w:lineRule="auto" w:before="63"/>
        <w:ind w:left="267" w:right="728"/>
        <w:jc w:val="both"/>
      </w:pPr>
      <w:r>
        <w:rPr/>
        <w:t>components among the 22 governorates, the following significant rating cut-offs were established for the purpose of analysis: Very poor = selected component is ≥ 0.00 ≤ 0.20; poor = selected component is &gt; 0.20 ≤ 0.40; good = selected component is &gt; 0.40 ≤ 0.60; very</w:t>
      </w:r>
      <w:r>
        <w:rPr>
          <w:spacing w:val="8"/>
        </w:rPr>
        <w:t> </w:t>
      </w:r>
      <w:r>
        <w:rPr/>
        <w:t>good</w:t>
      </w:r>
      <w:r>
        <w:rPr>
          <w:spacing w:val="11"/>
        </w:rPr>
        <w:t> </w:t>
      </w:r>
      <w:r>
        <w:rPr/>
        <w:t>=</w:t>
      </w:r>
      <w:r>
        <w:rPr>
          <w:spacing w:val="9"/>
        </w:rPr>
        <w:t> </w:t>
      </w:r>
      <w:r>
        <w:rPr/>
        <w:t>selected</w:t>
      </w:r>
      <w:r>
        <w:rPr>
          <w:spacing w:val="11"/>
        </w:rPr>
        <w:t> </w:t>
      </w:r>
      <w:r>
        <w:rPr/>
        <w:t>component</w:t>
      </w:r>
      <w:r>
        <w:rPr>
          <w:spacing w:val="10"/>
        </w:rPr>
        <w:t> </w:t>
      </w:r>
      <w:r>
        <w:rPr/>
        <w:t>is</w:t>
      </w:r>
      <w:r>
        <w:rPr>
          <w:spacing w:val="12"/>
        </w:rPr>
        <w:t> </w:t>
      </w:r>
      <w:r>
        <w:rPr/>
        <w:t>&gt;</w:t>
      </w:r>
      <w:r>
        <w:rPr>
          <w:spacing w:val="9"/>
        </w:rPr>
        <w:t> </w:t>
      </w:r>
      <w:r>
        <w:rPr/>
        <w:t>0.60</w:t>
      </w:r>
      <w:r>
        <w:rPr>
          <w:spacing w:val="11"/>
        </w:rPr>
        <w:t> </w:t>
      </w:r>
      <w:r>
        <w:rPr/>
        <w:t>≤</w:t>
      </w:r>
      <w:r>
        <w:rPr>
          <w:spacing w:val="11"/>
        </w:rPr>
        <w:t> </w:t>
      </w:r>
      <w:r>
        <w:rPr/>
        <w:t>0.80,</w:t>
      </w:r>
      <w:r>
        <w:rPr>
          <w:spacing w:val="11"/>
        </w:rPr>
        <w:t> </w:t>
      </w:r>
      <w:r>
        <w:rPr/>
        <w:t>and</w:t>
      </w:r>
      <w:r>
        <w:rPr>
          <w:spacing w:val="10"/>
        </w:rPr>
        <w:t> </w:t>
      </w:r>
      <w:r>
        <w:rPr/>
        <w:t>excellent</w:t>
      </w:r>
      <w:r>
        <w:rPr>
          <w:spacing w:val="12"/>
        </w:rPr>
        <w:t> </w:t>
      </w:r>
      <w:r>
        <w:rPr/>
        <w:t>=</w:t>
      </w:r>
      <w:r>
        <w:rPr>
          <w:spacing w:val="9"/>
        </w:rPr>
        <w:t> </w:t>
      </w:r>
      <w:r>
        <w:rPr/>
        <w:t>selected</w:t>
      </w:r>
      <w:r>
        <w:rPr>
          <w:spacing w:val="11"/>
        </w:rPr>
        <w:t> </w:t>
      </w:r>
      <w:r>
        <w:rPr/>
        <w:t>component</w:t>
      </w:r>
      <w:r>
        <w:rPr>
          <w:spacing w:val="10"/>
        </w:rPr>
        <w:t> </w:t>
      </w:r>
      <w:r>
        <w:rPr/>
        <w:t>is</w:t>
      </w:r>
      <w:r>
        <w:rPr>
          <w:spacing w:val="12"/>
        </w:rPr>
        <w:t> </w:t>
      </w:r>
      <w:r>
        <w:rPr>
          <w:spacing w:val="-10"/>
        </w:rPr>
        <w:t>&gt;</w:t>
      </w:r>
    </w:p>
    <w:p>
      <w:pPr>
        <w:pStyle w:val="BodyText"/>
        <w:ind w:left="267"/>
        <w:jc w:val="both"/>
      </w:pPr>
      <w:r>
        <w:rPr/>
        <w:t>0.80 ≤ </w:t>
      </w:r>
      <w:r>
        <w:rPr>
          <w:spacing w:val="-2"/>
        </w:rPr>
        <w:t>1.00).</w:t>
      </w:r>
    </w:p>
    <w:p>
      <w:pPr>
        <w:pStyle w:val="BodyText"/>
      </w:pPr>
    </w:p>
    <w:p>
      <w:pPr>
        <w:pStyle w:val="BodyText"/>
      </w:pPr>
    </w:p>
    <w:p>
      <w:pPr>
        <w:pStyle w:val="BodyText"/>
        <w:spacing w:line="480" w:lineRule="auto"/>
        <w:ind w:left="267" w:right="727"/>
        <w:jc w:val="both"/>
      </w:pPr>
      <w:r>
        <w:rPr/>
        <w:t>The</w:t>
      </w:r>
      <w:r>
        <w:rPr>
          <w:spacing w:val="-8"/>
        </w:rPr>
        <w:t> </w:t>
      </w:r>
      <w:r>
        <w:rPr/>
        <w:t>results</w:t>
      </w:r>
      <w:r>
        <w:rPr>
          <w:spacing w:val="-7"/>
        </w:rPr>
        <w:t> </w:t>
      </w:r>
      <w:r>
        <w:rPr/>
        <w:t>of</w:t>
      </w:r>
      <w:r>
        <w:rPr>
          <w:spacing w:val="-8"/>
        </w:rPr>
        <w:t> </w:t>
      </w:r>
      <w:r>
        <w:rPr/>
        <w:t>the</w:t>
      </w:r>
      <w:r>
        <w:rPr>
          <w:spacing w:val="-8"/>
        </w:rPr>
        <w:t> </w:t>
      </w:r>
      <w:r>
        <w:rPr/>
        <w:t>analysis</w:t>
      </w:r>
      <w:r>
        <w:rPr>
          <w:spacing w:val="-7"/>
        </w:rPr>
        <w:t> </w:t>
      </w:r>
      <w:r>
        <w:rPr/>
        <w:t>of</w:t>
      </w:r>
      <w:r>
        <w:rPr>
          <w:spacing w:val="-8"/>
        </w:rPr>
        <w:t> </w:t>
      </w:r>
      <w:r>
        <w:rPr/>
        <w:t>water</w:t>
      </w:r>
      <w:r>
        <w:rPr>
          <w:spacing w:val="-8"/>
        </w:rPr>
        <w:t> </w:t>
      </w:r>
      <w:r>
        <w:rPr/>
        <w:t>poverty</w:t>
      </w:r>
      <w:r>
        <w:rPr>
          <w:spacing w:val="-12"/>
        </w:rPr>
        <w:t> </w:t>
      </w:r>
      <w:r>
        <w:rPr/>
        <w:t>index</w:t>
      </w:r>
      <w:r>
        <w:rPr>
          <w:spacing w:val="-5"/>
        </w:rPr>
        <w:t> </w:t>
      </w:r>
      <w:r>
        <w:rPr/>
        <w:t>for</w:t>
      </w:r>
      <w:r>
        <w:rPr>
          <w:spacing w:val="-9"/>
        </w:rPr>
        <w:t> </w:t>
      </w:r>
      <w:r>
        <w:rPr/>
        <w:t>the</w:t>
      </w:r>
      <w:r>
        <w:rPr>
          <w:spacing w:val="-8"/>
        </w:rPr>
        <w:t> </w:t>
      </w:r>
      <w:r>
        <w:rPr/>
        <w:t>22</w:t>
      </w:r>
      <w:r>
        <w:rPr>
          <w:spacing w:val="-7"/>
        </w:rPr>
        <w:t> </w:t>
      </w:r>
      <w:r>
        <w:rPr/>
        <w:t>political</w:t>
      </w:r>
      <w:r>
        <w:rPr>
          <w:spacing w:val="-4"/>
        </w:rPr>
        <w:t> </w:t>
      </w:r>
      <w:r>
        <w:rPr/>
        <w:t>governorates</w:t>
      </w:r>
      <w:r>
        <w:rPr>
          <w:spacing w:val="-8"/>
        </w:rPr>
        <w:t> </w:t>
      </w:r>
      <w:r>
        <w:rPr/>
        <w:t>illustrated that Al-minya governorate (0.00 – 0.20 water poverty index) have/deserved the first development priority in the water strategy of the country. 11 governorates having between 0.20-0.40</w:t>
      </w:r>
      <w:r>
        <w:rPr>
          <w:spacing w:val="-7"/>
        </w:rPr>
        <w:t> </w:t>
      </w:r>
      <w:r>
        <w:rPr/>
        <w:t>water</w:t>
      </w:r>
      <w:r>
        <w:rPr>
          <w:spacing w:val="-8"/>
        </w:rPr>
        <w:t> </w:t>
      </w:r>
      <w:r>
        <w:rPr/>
        <w:t>poverty</w:t>
      </w:r>
      <w:r>
        <w:rPr>
          <w:spacing w:val="-11"/>
        </w:rPr>
        <w:t> </w:t>
      </w:r>
      <w:r>
        <w:rPr/>
        <w:t>index</w:t>
      </w:r>
      <w:r>
        <w:rPr>
          <w:spacing w:val="-5"/>
        </w:rPr>
        <w:t> </w:t>
      </w:r>
      <w:r>
        <w:rPr/>
        <w:t>were</w:t>
      </w:r>
      <w:r>
        <w:rPr>
          <w:spacing w:val="-9"/>
        </w:rPr>
        <w:t> </w:t>
      </w:r>
      <w:r>
        <w:rPr/>
        <w:t>considered</w:t>
      </w:r>
      <w:r>
        <w:rPr>
          <w:spacing w:val="-7"/>
        </w:rPr>
        <w:t> </w:t>
      </w:r>
      <w:r>
        <w:rPr/>
        <w:t>in</w:t>
      </w:r>
      <w:r>
        <w:rPr>
          <w:spacing w:val="-6"/>
        </w:rPr>
        <w:t> </w:t>
      </w:r>
      <w:r>
        <w:rPr/>
        <w:t>the</w:t>
      </w:r>
      <w:r>
        <w:rPr>
          <w:spacing w:val="-7"/>
        </w:rPr>
        <w:t> </w:t>
      </w:r>
      <w:r>
        <w:rPr/>
        <w:t>second</w:t>
      </w:r>
      <w:r>
        <w:rPr>
          <w:spacing w:val="-7"/>
        </w:rPr>
        <w:t> </w:t>
      </w:r>
      <w:r>
        <w:rPr/>
        <w:t>priority.</w:t>
      </w:r>
      <w:r>
        <w:rPr>
          <w:spacing w:val="-7"/>
        </w:rPr>
        <w:t> </w:t>
      </w:r>
      <w:r>
        <w:rPr/>
        <w:t>8</w:t>
      </w:r>
      <w:r>
        <w:rPr>
          <w:spacing w:val="-7"/>
        </w:rPr>
        <w:t> </w:t>
      </w:r>
      <w:r>
        <w:rPr/>
        <w:t>governorates</w:t>
      </w:r>
      <w:r>
        <w:rPr>
          <w:spacing w:val="-7"/>
        </w:rPr>
        <w:t> </w:t>
      </w:r>
      <w:r>
        <w:rPr/>
        <w:t>having between 0.40-0.60 water poverty index were next in the third priority. Finally, the 2 governorates</w:t>
      </w:r>
      <w:r>
        <w:rPr>
          <w:spacing w:val="-1"/>
        </w:rPr>
        <w:t> </w:t>
      </w:r>
      <w:r>
        <w:rPr/>
        <w:t>(Al-Sunazy</w:t>
      </w:r>
      <w:r>
        <w:rPr>
          <w:spacing w:val="-4"/>
        </w:rPr>
        <w:t> </w:t>
      </w:r>
      <w:r>
        <w:rPr/>
        <w:t>and</w:t>
      </w:r>
      <w:r>
        <w:rPr>
          <w:spacing w:val="-1"/>
        </w:rPr>
        <w:t> </w:t>
      </w:r>
      <w:r>
        <w:rPr/>
        <w:t>Cairo)</w:t>
      </w:r>
      <w:r>
        <w:rPr>
          <w:spacing w:val="-2"/>
        </w:rPr>
        <w:t> </w:t>
      </w:r>
      <w:r>
        <w:rPr/>
        <w:t>with</w:t>
      </w:r>
      <w:r>
        <w:rPr>
          <w:spacing w:val="-1"/>
        </w:rPr>
        <w:t> </w:t>
      </w:r>
      <w:r>
        <w:rPr/>
        <w:t>water</w:t>
      </w:r>
      <w:r>
        <w:rPr>
          <w:spacing w:val="-3"/>
        </w:rPr>
        <w:t> </w:t>
      </w:r>
      <w:r>
        <w:rPr/>
        <w:t>poverty</w:t>
      </w:r>
      <w:r>
        <w:rPr>
          <w:spacing w:val="-6"/>
        </w:rPr>
        <w:t> </w:t>
      </w:r>
      <w:r>
        <w:rPr/>
        <w:t>index between</w:t>
      </w:r>
      <w:r>
        <w:rPr>
          <w:spacing w:val="-1"/>
        </w:rPr>
        <w:t> </w:t>
      </w:r>
      <w:r>
        <w:rPr/>
        <w:t>0.60 –</w:t>
      </w:r>
      <w:r>
        <w:rPr>
          <w:spacing w:val="-1"/>
        </w:rPr>
        <w:t> </w:t>
      </w:r>
      <w:r>
        <w:rPr/>
        <w:t>0.80</w:t>
      </w:r>
      <w:r>
        <w:rPr>
          <w:spacing w:val="-1"/>
        </w:rPr>
        <w:t> </w:t>
      </w:r>
      <w:r>
        <w:rPr/>
        <w:t>have</w:t>
      </w:r>
      <w:r>
        <w:rPr>
          <w:spacing w:val="-2"/>
        </w:rPr>
        <w:t> </w:t>
      </w:r>
      <w:r>
        <w:rPr/>
        <w:t>the least priority in the water sector strategy compared to other governorates. Based on these empirical</w:t>
      </w:r>
      <w:r>
        <w:rPr>
          <w:spacing w:val="-8"/>
        </w:rPr>
        <w:t> </w:t>
      </w:r>
      <w:r>
        <w:rPr/>
        <w:t>findings,</w:t>
      </w:r>
      <w:r>
        <w:rPr>
          <w:spacing w:val="-8"/>
        </w:rPr>
        <w:t> </w:t>
      </w:r>
      <w:r>
        <w:rPr/>
        <w:t>the</w:t>
      </w:r>
      <w:r>
        <w:rPr>
          <w:spacing w:val="-9"/>
        </w:rPr>
        <w:t> </w:t>
      </w:r>
      <w:r>
        <w:rPr/>
        <w:t>study</w:t>
      </w:r>
      <w:r>
        <w:rPr>
          <w:spacing w:val="-13"/>
        </w:rPr>
        <w:t> </w:t>
      </w:r>
      <w:r>
        <w:rPr/>
        <w:t>surmised</w:t>
      </w:r>
      <w:r>
        <w:rPr>
          <w:spacing w:val="-8"/>
        </w:rPr>
        <w:t> </w:t>
      </w:r>
      <w:r>
        <w:rPr/>
        <w:t>teshat</w:t>
      </w:r>
      <w:r>
        <w:rPr>
          <w:spacing w:val="-8"/>
        </w:rPr>
        <w:t> </w:t>
      </w:r>
      <w:r>
        <w:rPr/>
        <w:t>the</w:t>
      </w:r>
      <w:r>
        <w:rPr>
          <w:spacing w:val="-9"/>
        </w:rPr>
        <w:t> </w:t>
      </w:r>
      <w:r>
        <w:rPr/>
        <w:t>water</w:t>
      </w:r>
      <w:r>
        <w:rPr>
          <w:spacing w:val="-9"/>
        </w:rPr>
        <w:t> </w:t>
      </w:r>
      <w:r>
        <w:rPr/>
        <w:t>poverty</w:t>
      </w:r>
      <w:r>
        <w:rPr>
          <w:spacing w:val="-13"/>
        </w:rPr>
        <w:t> </w:t>
      </w:r>
      <w:r>
        <w:rPr/>
        <w:t>index</w:t>
      </w:r>
      <w:r>
        <w:rPr>
          <w:spacing w:val="-7"/>
        </w:rPr>
        <w:t> </w:t>
      </w:r>
      <w:r>
        <w:rPr/>
        <w:t>has</w:t>
      </w:r>
      <w:r>
        <w:rPr>
          <w:spacing w:val="-10"/>
        </w:rPr>
        <w:t> </w:t>
      </w:r>
      <w:r>
        <w:rPr/>
        <w:t>wide</w:t>
      </w:r>
      <w:r>
        <w:rPr>
          <w:spacing w:val="-9"/>
        </w:rPr>
        <w:t> </w:t>
      </w:r>
      <w:r>
        <w:rPr/>
        <w:t>application</w:t>
      </w:r>
      <w:r>
        <w:rPr>
          <w:spacing w:val="-8"/>
        </w:rPr>
        <w:t> </w:t>
      </w:r>
      <w:r>
        <w:rPr/>
        <w:t>as an assisting tool for decision makers in determining and prioritizing development strategies and plan for the Egyptian water sector.</w:t>
      </w:r>
    </w:p>
    <w:p>
      <w:pPr>
        <w:pStyle w:val="BodyText"/>
        <w:spacing w:before="9"/>
      </w:pPr>
    </w:p>
    <w:p>
      <w:pPr>
        <w:pStyle w:val="Heading1"/>
        <w:numPr>
          <w:ilvl w:val="2"/>
          <w:numId w:val="6"/>
        </w:numPr>
        <w:tabs>
          <w:tab w:pos="1046" w:val="left" w:leader="none"/>
        </w:tabs>
        <w:spacing w:line="240" w:lineRule="auto" w:before="0" w:after="0"/>
        <w:ind w:left="1046" w:right="0" w:hanging="779"/>
        <w:jc w:val="both"/>
      </w:pPr>
      <w:r>
        <w:rPr/>
        <w:t>The</w:t>
      </w:r>
      <w:r>
        <w:rPr>
          <w:spacing w:val="-2"/>
        </w:rPr>
        <w:t> </w:t>
      </w:r>
      <w:r>
        <w:rPr/>
        <w:t>Nigerian</w:t>
      </w:r>
      <w:r>
        <w:rPr>
          <w:spacing w:val="1"/>
        </w:rPr>
        <w:t> </w:t>
      </w:r>
      <w:r>
        <w:rPr>
          <w:spacing w:val="-2"/>
        </w:rPr>
        <w:t>context</w:t>
      </w:r>
    </w:p>
    <w:p>
      <w:pPr>
        <w:pStyle w:val="BodyText"/>
        <w:spacing w:before="14"/>
        <w:rPr>
          <w:b/>
        </w:rPr>
      </w:pPr>
    </w:p>
    <w:p>
      <w:pPr>
        <w:pStyle w:val="BodyText"/>
        <w:spacing w:line="480" w:lineRule="auto" w:before="1"/>
        <w:ind w:left="267" w:right="727"/>
        <w:jc w:val="both"/>
      </w:pPr>
      <w:r>
        <w:rPr/>
        <w:t>Case</w:t>
      </w:r>
      <w:r>
        <w:rPr>
          <w:spacing w:val="-6"/>
        </w:rPr>
        <w:t> </w:t>
      </w:r>
      <w:r>
        <w:rPr/>
        <w:t>study</w:t>
      </w:r>
      <w:r>
        <w:rPr>
          <w:spacing w:val="-10"/>
        </w:rPr>
        <w:t> </w:t>
      </w:r>
      <w:r>
        <w:rPr/>
        <w:t>evidence</w:t>
      </w:r>
      <w:r>
        <w:rPr>
          <w:spacing w:val="-6"/>
        </w:rPr>
        <w:t> </w:t>
      </w:r>
      <w:r>
        <w:rPr/>
        <w:t>of</w:t>
      </w:r>
      <w:r>
        <w:rPr>
          <w:spacing w:val="-6"/>
        </w:rPr>
        <w:t> </w:t>
      </w:r>
      <w:r>
        <w:rPr/>
        <w:t>water</w:t>
      </w:r>
      <w:r>
        <w:rPr>
          <w:spacing w:val="-6"/>
        </w:rPr>
        <w:t> </w:t>
      </w:r>
      <w:r>
        <w:rPr/>
        <w:t>poverty</w:t>
      </w:r>
      <w:r>
        <w:rPr>
          <w:spacing w:val="-10"/>
        </w:rPr>
        <w:t> </w:t>
      </w:r>
      <w:r>
        <w:rPr/>
        <w:t>in</w:t>
      </w:r>
      <w:r>
        <w:rPr>
          <w:spacing w:val="-4"/>
        </w:rPr>
        <w:t> </w:t>
      </w:r>
      <w:r>
        <w:rPr/>
        <w:t>Nigeria</w:t>
      </w:r>
      <w:r>
        <w:rPr>
          <w:spacing w:val="-6"/>
        </w:rPr>
        <w:t> </w:t>
      </w:r>
      <w:r>
        <w:rPr/>
        <w:t>is</w:t>
      </w:r>
      <w:r>
        <w:rPr>
          <w:spacing w:val="-4"/>
        </w:rPr>
        <w:t> </w:t>
      </w:r>
      <w:r>
        <w:rPr/>
        <w:t>scanty</w:t>
      </w:r>
      <w:r>
        <w:rPr>
          <w:spacing w:val="-7"/>
        </w:rPr>
        <w:t> </w:t>
      </w:r>
      <w:r>
        <w:rPr/>
        <w:t>and</w:t>
      </w:r>
      <w:r>
        <w:rPr>
          <w:spacing w:val="-5"/>
        </w:rPr>
        <w:t> </w:t>
      </w:r>
      <w:r>
        <w:rPr/>
        <w:t>limited</w:t>
      </w:r>
      <w:r>
        <w:rPr>
          <w:spacing w:val="-2"/>
        </w:rPr>
        <w:t> </w:t>
      </w:r>
      <w:r>
        <w:rPr/>
        <w:t>to</w:t>
      </w:r>
      <w:r>
        <w:rPr>
          <w:spacing w:val="-4"/>
        </w:rPr>
        <w:t> </w:t>
      </w:r>
      <w:r>
        <w:rPr/>
        <w:t>the</w:t>
      </w:r>
      <w:r>
        <w:rPr>
          <w:spacing w:val="-8"/>
        </w:rPr>
        <w:t> </w:t>
      </w:r>
      <w:r>
        <w:rPr/>
        <w:t>Southern</w:t>
      </w:r>
      <w:r>
        <w:rPr>
          <w:spacing w:val="-5"/>
        </w:rPr>
        <w:t> </w:t>
      </w:r>
      <w:r>
        <w:rPr/>
        <w:t>part</w:t>
      </w:r>
      <w:r>
        <w:rPr>
          <w:spacing w:val="-5"/>
        </w:rPr>
        <w:t> </w:t>
      </w:r>
      <w:r>
        <w:rPr/>
        <w:t>of the country. Yahaya </w:t>
      </w:r>
      <w:r>
        <w:rPr>
          <w:i/>
        </w:rPr>
        <w:t>et al. </w:t>
      </w:r>
      <w:r>
        <w:rPr/>
        <w:t>(2009) investigated the phenomenon of water poverty</w:t>
      </w:r>
      <w:r>
        <w:rPr>
          <w:spacing w:val="-3"/>
        </w:rPr>
        <w:t> </w:t>
      </w:r>
      <w:r>
        <w:rPr/>
        <w:t>in 18 local government</w:t>
      </w:r>
      <w:r>
        <w:rPr>
          <w:spacing w:val="-15"/>
        </w:rPr>
        <w:t> </w:t>
      </w:r>
      <w:r>
        <w:rPr/>
        <w:t>area</w:t>
      </w:r>
      <w:r>
        <w:rPr>
          <w:spacing w:val="-15"/>
        </w:rPr>
        <w:t> </w:t>
      </w:r>
      <w:r>
        <w:rPr/>
        <w:t>of</w:t>
      </w:r>
      <w:r>
        <w:rPr>
          <w:spacing w:val="-13"/>
        </w:rPr>
        <w:t> </w:t>
      </w:r>
      <w:r>
        <w:rPr/>
        <w:t>Ondo</w:t>
      </w:r>
      <w:r>
        <w:rPr>
          <w:spacing w:val="-13"/>
        </w:rPr>
        <w:t> </w:t>
      </w:r>
      <w:r>
        <w:rPr/>
        <w:t>state</w:t>
      </w:r>
      <w:r>
        <w:rPr>
          <w:spacing w:val="-15"/>
        </w:rPr>
        <w:t> </w:t>
      </w:r>
      <w:r>
        <w:rPr/>
        <w:t>of</w:t>
      </w:r>
      <w:r>
        <w:rPr>
          <w:spacing w:val="-13"/>
        </w:rPr>
        <w:t> </w:t>
      </w:r>
      <w:r>
        <w:rPr/>
        <w:t>Nigeria</w:t>
      </w:r>
      <w:r>
        <w:rPr>
          <w:spacing w:val="-15"/>
        </w:rPr>
        <w:t> </w:t>
      </w:r>
      <w:r>
        <w:rPr/>
        <w:t>using</w:t>
      </w:r>
      <w:r>
        <w:rPr>
          <w:spacing w:val="-15"/>
        </w:rPr>
        <w:t> </w:t>
      </w:r>
      <w:r>
        <w:rPr/>
        <w:t>the</w:t>
      </w:r>
      <w:r>
        <w:rPr>
          <w:spacing w:val="-13"/>
        </w:rPr>
        <w:t> </w:t>
      </w:r>
      <w:r>
        <w:rPr/>
        <w:t>composite</w:t>
      </w:r>
      <w:r>
        <w:rPr>
          <w:spacing w:val="-15"/>
        </w:rPr>
        <w:t> </w:t>
      </w:r>
      <w:r>
        <w:rPr/>
        <w:t>index</w:t>
      </w:r>
      <w:r>
        <w:rPr>
          <w:spacing w:val="-13"/>
        </w:rPr>
        <w:t> </w:t>
      </w:r>
      <w:r>
        <w:rPr/>
        <w:t>and</w:t>
      </w:r>
      <w:r>
        <w:rPr>
          <w:spacing w:val="-14"/>
        </w:rPr>
        <w:t> </w:t>
      </w:r>
      <w:r>
        <w:rPr/>
        <w:t>simple</w:t>
      </w:r>
      <w:r>
        <w:rPr>
          <w:spacing w:val="-15"/>
        </w:rPr>
        <w:t> </w:t>
      </w:r>
      <w:r>
        <w:rPr/>
        <w:t>time</w:t>
      </w:r>
      <w:r>
        <w:rPr>
          <w:spacing w:val="-15"/>
        </w:rPr>
        <w:t> </w:t>
      </w:r>
      <w:r>
        <w:rPr/>
        <w:t>analysis approach. Based on a reconnaissance survey of the local government areas, four (4) most stressed communities were randomly selected in each of the local government areas. The authors</w:t>
      </w:r>
      <w:r>
        <w:rPr>
          <w:spacing w:val="1"/>
        </w:rPr>
        <w:t> </w:t>
      </w:r>
      <w:r>
        <w:rPr/>
        <w:t>applied</w:t>
      </w:r>
      <w:r>
        <w:rPr>
          <w:spacing w:val="3"/>
        </w:rPr>
        <w:t> </w:t>
      </w:r>
      <w:r>
        <w:rPr/>
        <w:t>the</w:t>
      </w:r>
      <w:r>
        <w:rPr>
          <w:spacing w:val="3"/>
        </w:rPr>
        <w:t> </w:t>
      </w:r>
      <w:r>
        <w:rPr/>
        <w:t>water</w:t>
      </w:r>
      <w:r>
        <w:rPr>
          <w:spacing w:val="4"/>
        </w:rPr>
        <w:t> </w:t>
      </w:r>
      <w:r>
        <w:rPr/>
        <w:t>poverty</w:t>
      </w:r>
      <w:r>
        <w:rPr>
          <w:spacing w:val="-2"/>
        </w:rPr>
        <w:t> </w:t>
      </w:r>
      <w:r>
        <w:rPr/>
        <w:t>index</w:t>
      </w:r>
      <w:r>
        <w:rPr>
          <w:spacing w:val="5"/>
        </w:rPr>
        <w:t> </w:t>
      </w:r>
      <w:r>
        <w:rPr/>
        <w:t>to</w:t>
      </w:r>
      <w:r>
        <w:rPr>
          <w:spacing w:val="5"/>
        </w:rPr>
        <w:t> </w:t>
      </w:r>
      <w:r>
        <w:rPr/>
        <w:t>data</w:t>
      </w:r>
      <w:r>
        <w:rPr>
          <w:spacing w:val="3"/>
        </w:rPr>
        <w:t> </w:t>
      </w:r>
      <w:r>
        <w:rPr/>
        <w:t>obtained</w:t>
      </w:r>
      <w:r>
        <w:rPr>
          <w:spacing w:val="3"/>
        </w:rPr>
        <w:t> </w:t>
      </w:r>
      <w:r>
        <w:rPr/>
        <w:t>from</w:t>
      </w:r>
      <w:r>
        <w:rPr>
          <w:spacing w:val="4"/>
        </w:rPr>
        <w:t> </w:t>
      </w:r>
      <w:r>
        <w:rPr/>
        <w:t>a</w:t>
      </w:r>
      <w:r>
        <w:rPr>
          <w:spacing w:val="2"/>
        </w:rPr>
        <w:t> </w:t>
      </w:r>
      <w:r>
        <w:rPr/>
        <w:t>questionnaire</w:t>
      </w:r>
      <w:r>
        <w:rPr>
          <w:spacing w:val="2"/>
        </w:rPr>
        <w:t> </w:t>
      </w:r>
      <w:r>
        <w:rPr/>
        <w:t>survey</w:t>
      </w:r>
      <w:r>
        <w:rPr>
          <w:spacing w:val="-1"/>
        </w:rPr>
        <w:t> </w:t>
      </w:r>
      <w:r>
        <w:rPr>
          <w:spacing w:val="-2"/>
        </w:rPr>
        <w:t>which</w:t>
      </w:r>
    </w:p>
    <w:p>
      <w:pPr>
        <w:pStyle w:val="BodyText"/>
        <w:ind w:left="267"/>
        <w:jc w:val="both"/>
      </w:pPr>
      <w:r>
        <w:rPr/>
        <w:t>was</w:t>
      </w:r>
      <w:r>
        <w:rPr>
          <w:spacing w:val="-13"/>
        </w:rPr>
        <w:t> </w:t>
      </w:r>
      <w:r>
        <w:rPr/>
        <w:t>administered</w:t>
      </w:r>
      <w:r>
        <w:rPr>
          <w:spacing w:val="-9"/>
        </w:rPr>
        <w:t> </w:t>
      </w:r>
      <w:r>
        <w:rPr/>
        <w:t>to</w:t>
      </w:r>
      <w:r>
        <w:rPr>
          <w:spacing w:val="-11"/>
        </w:rPr>
        <w:t> </w:t>
      </w:r>
      <w:r>
        <w:rPr/>
        <w:t>200</w:t>
      </w:r>
      <w:r>
        <w:rPr>
          <w:spacing w:val="-9"/>
        </w:rPr>
        <w:t> </w:t>
      </w:r>
      <w:r>
        <w:rPr/>
        <w:t>households</w:t>
      </w:r>
      <w:r>
        <w:rPr>
          <w:spacing w:val="-11"/>
        </w:rPr>
        <w:t> </w:t>
      </w:r>
      <w:r>
        <w:rPr/>
        <w:t>in</w:t>
      </w:r>
      <w:r>
        <w:rPr>
          <w:spacing w:val="-10"/>
        </w:rPr>
        <w:t> </w:t>
      </w:r>
      <w:r>
        <w:rPr/>
        <w:t>each</w:t>
      </w:r>
      <w:r>
        <w:rPr>
          <w:spacing w:val="-9"/>
        </w:rPr>
        <w:t> </w:t>
      </w:r>
      <w:r>
        <w:rPr/>
        <w:t>of</w:t>
      </w:r>
      <w:r>
        <w:rPr>
          <w:spacing w:val="-12"/>
        </w:rPr>
        <w:t> </w:t>
      </w:r>
      <w:r>
        <w:rPr/>
        <w:t>these</w:t>
      </w:r>
      <w:r>
        <w:rPr>
          <w:spacing w:val="-12"/>
        </w:rPr>
        <w:t> </w:t>
      </w:r>
      <w:r>
        <w:rPr/>
        <w:t>four</w:t>
      </w:r>
      <w:r>
        <w:rPr>
          <w:spacing w:val="-10"/>
        </w:rPr>
        <w:t> </w:t>
      </w:r>
      <w:r>
        <w:rPr/>
        <w:t>(4)</w:t>
      </w:r>
      <w:r>
        <w:rPr>
          <w:spacing w:val="-9"/>
        </w:rPr>
        <w:t> </w:t>
      </w:r>
      <w:r>
        <w:rPr/>
        <w:t>communities</w:t>
      </w:r>
      <w:r>
        <w:rPr>
          <w:spacing w:val="-11"/>
        </w:rPr>
        <w:t> </w:t>
      </w:r>
      <w:r>
        <w:rPr/>
        <w:t>across</w:t>
      </w:r>
      <w:r>
        <w:rPr>
          <w:spacing w:val="-11"/>
        </w:rPr>
        <w:t> </w:t>
      </w:r>
      <w:r>
        <w:rPr/>
        <w:t>the</w:t>
      </w:r>
      <w:r>
        <w:rPr>
          <w:spacing w:val="-12"/>
        </w:rPr>
        <w:t> </w:t>
      </w:r>
      <w:r>
        <w:rPr/>
        <w:t>18</w:t>
      </w:r>
      <w:r>
        <w:rPr>
          <w:spacing w:val="-10"/>
        </w:rPr>
        <w:t> </w:t>
      </w:r>
      <w:r>
        <w:rPr>
          <w:spacing w:val="-2"/>
        </w:rPr>
        <w:t>local</w:t>
      </w:r>
    </w:p>
    <w:p>
      <w:pPr>
        <w:spacing w:after="0"/>
        <w:jc w:val="both"/>
        <w:sectPr>
          <w:pgSz w:w="12240" w:h="15840"/>
          <w:pgMar w:header="0" w:footer="1068" w:top="1340" w:bottom="1260" w:left="1720" w:right="680"/>
        </w:sectPr>
      </w:pPr>
    </w:p>
    <w:p>
      <w:pPr>
        <w:pStyle w:val="BodyText"/>
        <w:spacing w:line="480" w:lineRule="auto" w:before="63"/>
        <w:ind w:left="267" w:right="725"/>
        <w:jc w:val="both"/>
      </w:pPr>
      <w:r>
        <w:rPr/>
        <w:t>government areas in Ondo state, during rainy and dry seasons for two consecutive years (2007</w:t>
      </w:r>
      <w:r>
        <w:rPr>
          <w:spacing w:val="-14"/>
        </w:rPr>
        <w:t> </w:t>
      </w:r>
      <w:r>
        <w:rPr/>
        <w:t>and</w:t>
      </w:r>
      <w:r>
        <w:rPr>
          <w:spacing w:val="-12"/>
        </w:rPr>
        <w:t> </w:t>
      </w:r>
      <w:r>
        <w:rPr/>
        <w:t>2008).</w:t>
      </w:r>
      <w:r>
        <w:rPr>
          <w:spacing w:val="-10"/>
        </w:rPr>
        <w:t> </w:t>
      </w:r>
      <w:r>
        <w:rPr/>
        <w:t>Based</w:t>
      </w:r>
      <w:r>
        <w:rPr>
          <w:spacing w:val="-12"/>
        </w:rPr>
        <w:t> </w:t>
      </w:r>
      <w:r>
        <w:rPr/>
        <w:t>on</w:t>
      </w:r>
      <w:r>
        <w:rPr>
          <w:spacing w:val="-12"/>
        </w:rPr>
        <w:t> </w:t>
      </w:r>
      <w:r>
        <w:rPr/>
        <w:t>the</w:t>
      </w:r>
      <w:r>
        <w:rPr>
          <w:spacing w:val="-13"/>
        </w:rPr>
        <w:t> </w:t>
      </w:r>
      <w:r>
        <w:rPr/>
        <w:t>ranking</w:t>
      </w:r>
      <w:r>
        <w:rPr>
          <w:spacing w:val="-14"/>
        </w:rPr>
        <w:t> </w:t>
      </w:r>
      <w:r>
        <w:rPr/>
        <w:t>of</w:t>
      </w:r>
      <w:r>
        <w:rPr>
          <w:spacing w:val="-13"/>
        </w:rPr>
        <w:t> </w:t>
      </w:r>
      <w:r>
        <w:rPr/>
        <w:t>the</w:t>
      </w:r>
      <w:r>
        <w:rPr>
          <w:spacing w:val="-10"/>
        </w:rPr>
        <w:t> </w:t>
      </w:r>
      <w:r>
        <w:rPr/>
        <w:t>water</w:t>
      </w:r>
      <w:r>
        <w:rPr>
          <w:spacing w:val="-11"/>
        </w:rPr>
        <w:t> </w:t>
      </w:r>
      <w:r>
        <w:rPr/>
        <w:t>poverty</w:t>
      </w:r>
      <w:r>
        <w:rPr>
          <w:spacing w:val="-15"/>
        </w:rPr>
        <w:t> </w:t>
      </w:r>
      <w:r>
        <w:rPr/>
        <w:t>index</w:t>
      </w:r>
      <w:r>
        <w:rPr>
          <w:spacing w:val="-10"/>
        </w:rPr>
        <w:t> </w:t>
      </w:r>
      <w:r>
        <w:rPr/>
        <w:t>values</w:t>
      </w:r>
      <w:r>
        <w:rPr>
          <w:spacing w:val="-12"/>
        </w:rPr>
        <w:t> </w:t>
      </w:r>
      <w:r>
        <w:rPr/>
        <w:t>using</w:t>
      </w:r>
      <w:r>
        <w:rPr>
          <w:spacing w:val="-14"/>
        </w:rPr>
        <w:t> </w:t>
      </w:r>
      <w:r>
        <w:rPr/>
        <w:t>the</w:t>
      </w:r>
      <w:r>
        <w:rPr>
          <w:spacing w:val="-10"/>
        </w:rPr>
        <w:t> </w:t>
      </w:r>
      <w:r>
        <w:rPr/>
        <w:t>composite approach,</w:t>
      </w:r>
      <w:r>
        <w:rPr>
          <w:spacing w:val="-15"/>
        </w:rPr>
        <w:t> </w:t>
      </w:r>
      <w:r>
        <w:rPr/>
        <w:t>empirical</w:t>
      </w:r>
      <w:r>
        <w:rPr>
          <w:spacing w:val="-15"/>
        </w:rPr>
        <w:t> </w:t>
      </w:r>
      <w:r>
        <w:rPr/>
        <w:t>findings</w:t>
      </w:r>
      <w:r>
        <w:rPr>
          <w:spacing w:val="-15"/>
        </w:rPr>
        <w:t> </w:t>
      </w:r>
      <w:r>
        <w:rPr/>
        <w:t>from</w:t>
      </w:r>
      <w:r>
        <w:rPr>
          <w:spacing w:val="-15"/>
        </w:rPr>
        <w:t> </w:t>
      </w:r>
      <w:r>
        <w:rPr/>
        <w:t>the</w:t>
      </w:r>
      <w:r>
        <w:rPr>
          <w:spacing w:val="-15"/>
        </w:rPr>
        <w:t> </w:t>
      </w:r>
      <w:r>
        <w:rPr/>
        <w:t>study</w:t>
      </w:r>
      <w:r>
        <w:rPr>
          <w:spacing w:val="-15"/>
        </w:rPr>
        <w:t> </w:t>
      </w:r>
      <w:r>
        <w:rPr/>
        <w:t>showed</w:t>
      </w:r>
      <w:r>
        <w:rPr>
          <w:spacing w:val="-15"/>
        </w:rPr>
        <w:t> </w:t>
      </w:r>
      <w:r>
        <w:rPr/>
        <w:t>that</w:t>
      </w:r>
      <w:r>
        <w:rPr>
          <w:spacing w:val="-15"/>
        </w:rPr>
        <w:t> </w:t>
      </w:r>
      <w:r>
        <w:rPr/>
        <w:t>Ese-Odo</w:t>
      </w:r>
      <w:r>
        <w:rPr>
          <w:spacing w:val="-15"/>
        </w:rPr>
        <w:t> </w:t>
      </w:r>
      <w:r>
        <w:rPr/>
        <w:t>LGA</w:t>
      </w:r>
      <w:r>
        <w:rPr>
          <w:spacing w:val="-15"/>
        </w:rPr>
        <w:t> </w:t>
      </w:r>
      <w:r>
        <w:rPr/>
        <w:t>was</w:t>
      </w:r>
      <w:r>
        <w:rPr>
          <w:spacing w:val="-15"/>
        </w:rPr>
        <w:t> </w:t>
      </w:r>
      <w:r>
        <w:rPr/>
        <w:t>the</w:t>
      </w:r>
      <w:r>
        <w:rPr>
          <w:spacing w:val="-15"/>
        </w:rPr>
        <w:t> </w:t>
      </w:r>
      <w:r>
        <w:rPr/>
        <w:t>most</w:t>
      </w:r>
      <w:r>
        <w:rPr>
          <w:spacing w:val="-15"/>
        </w:rPr>
        <w:t> </w:t>
      </w:r>
      <w:r>
        <w:rPr/>
        <w:t>stressed with</w:t>
      </w:r>
      <w:r>
        <w:rPr>
          <w:spacing w:val="-15"/>
        </w:rPr>
        <w:t> </w:t>
      </w:r>
      <w:r>
        <w:rPr/>
        <w:t>the</w:t>
      </w:r>
      <w:r>
        <w:rPr>
          <w:spacing w:val="-15"/>
        </w:rPr>
        <w:t> </w:t>
      </w:r>
      <w:r>
        <w:rPr/>
        <w:t>least</w:t>
      </w:r>
      <w:r>
        <w:rPr>
          <w:spacing w:val="-15"/>
        </w:rPr>
        <w:t> </w:t>
      </w:r>
      <w:r>
        <w:rPr/>
        <w:t>WPI</w:t>
      </w:r>
      <w:r>
        <w:rPr>
          <w:spacing w:val="-15"/>
        </w:rPr>
        <w:t> </w:t>
      </w:r>
      <w:r>
        <w:rPr/>
        <w:t>value</w:t>
      </w:r>
      <w:r>
        <w:rPr>
          <w:spacing w:val="-15"/>
        </w:rPr>
        <w:t> </w:t>
      </w:r>
      <w:r>
        <w:rPr/>
        <w:t>of</w:t>
      </w:r>
      <w:r>
        <w:rPr>
          <w:spacing w:val="-15"/>
        </w:rPr>
        <w:t> </w:t>
      </w:r>
      <w:r>
        <w:rPr/>
        <w:t>10.10.</w:t>
      </w:r>
      <w:r>
        <w:rPr>
          <w:spacing w:val="-15"/>
        </w:rPr>
        <w:t> </w:t>
      </w:r>
      <w:r>
        <w:rPr/>
        <w:t>Similar</w:t>
      </w:r>
      <w:r>
        <w:rPr>
          <w:spacing w:val="-15"/>
        </w:rPr>
        <w:t> </w:t>
      </w:r>
      <w:r>
        <w:rPr/>
        <w:t>findings</w:t>
      </w:r>
      <w:r>
        <w:rPr>
          <w:spacing w:val="-15"/>
        </w:rPr>
        <w:t> </w:t>
      </w:r>
      <w:r>
        <w:rPr/>
        <w:t>were</w:t>
      </w:r>
      <w:r>
        <w:rPr>
          <w:spacing w:val="-15"/>
        </w:rPr>
        <w:t> </w:t>
      </w:r>
      <w:r>
        <w:rPr/>
        <w:t>drawn</w:t>
      </w:r>
      <w:r>
        <w:rPr>
          <w:spacing w:val="-15"/>
        </w:rPr>
        <w:t> </w:t>
      </w:r>
      <w:r>
        <w:rPr/>
        <w:t>using</w:t>
      </w:r>
      <w:r>
        <w:rPr>
          <w:spacing w:val="-15"/>
        </w:rPr>
        <w:t> </w:t>
      </w:r>
      <w:r>
        <w:rPr/>
        <w:t>the</w:t>
      </w:r>
      <w:r>
        <w:rPr>
          <w:spacing w:val="-15"/>
        </w:rPr>
        <w:t> </w:t>
      </w:r>
      <w:r>
        <w:rPr/>
        <w:t>simple</w:t>
      </w:r>
      <w:r>
        <w:rPr>
          <w:spacing w:val="-15"/>
        </w:rPr>
        <w:t> </w:t>
      </w:r>
      <w:r>
        <w:rPr/>
        <w:t>time</w:t>
      </w:r>
      <w:r>
        <w:rPr>
          <w:spacing w:val="-15"/>
        </w:rPr>
        <w:t> </w:t>
      </w:r>
      <w:r>
        <w:rPr/>
        <w:t>analysis method with Ese-Odo LGA having the highest minutes per water collection trip (1.4 minsl</w:t>
      </w:r>
      <w:r>
        <w:rPr>
          <w:vertAlign w:val="superscript"/>
        </w:rPr>
        <w:t>-</w:t>
      </w:r>
      <w:r>
        <w:rPr>
          <w:vertAlign w:val="baseline"/>
        </w:rPr>
        <w:t> </w:t>
      </w:r>
      <w:r>
        <w:rPr>
          <w:vertAlign w:val="superscript"/>
        </w:rPr>
        <w:t>1</w:t>
      </w:r>
      <w:r>
        <w:rPr>
          <w:vertAlign w:val="baseline"/>
        </w:rPr>
        <w:t>),</w:t>
      </w:r>
      <w:r>
        <w:rPr>
          <w:spacing w:val="7"/>
          <w:vertAlign w:val="baseline"/>
        </w:rPr>
        <w:t> </w:t>
      </w:r>
      <w:r>
        <w:rPr>
          <w:vertAlign w:val="baseline"/>
        </w:rPr>
        <w:t>while</w:t>
      </w:r>
      <w:r>
        <w:rPr>
          <w:spacing w:val="8"/>
          <w:vertAlign w:val="baseline"/>
        </w:rPr>
        <w:t> </w:t>
      </w:r>
      <w:r>
        <w:rPr>
          <w:vertAlign w:val="baseline"/>
        </w:rPr>
        <w:t>Owo,</w:t>
      </w:r>
      <w:r>
        <w:rPr>
          <w:spacing w:val="11"/>
          <w:vertAlign w:val="baseline"/>
        </w:rPr>
        <w:t> </w:t>
      </w:r>
      <w:r>
        <w:rPr>
          <w:vertAlign w:val="baseline"/>
        </w:rPr>
        <w:t>Ondo-West</w:t>
      </w:r>
      <w:r>
        <w:rPr>
          <w:spacing w:val="10"/>
          <w:vertAlign w:val="baseline"/>
        </w:rPr>
        <w:t> </w:t>
      </w:r>
      <w:r>
        <w:rPr>
          <w:vertAlign w:val="baseline"/>
        </w:rPr>
        <w:t>and</w:t>
      </w:r>
      <w:r>
        <w:rPr>
          <w:spacing w:val="9"/>
          <w:vertAlign w:val="baseline"/>
        </w:rPr>
        <w:t> </w:t>
      </w:r>
      <w:r>
        <w:rPr>
          <w:vertAlign w:val="baseline"/>
        </w:rPr>
        <w:t>Ose</w:t>
      </w:r>
      <w:r>
        <w:rPr>
          <w:spacing w:val="12"/>
          <w:vertAlign w:val="baseline"/>
        </w:rPr>
        <w:t> </w:t>
      </w:r>
      <w:r>
        <w:rPr>
          <w:vertAlign w:val="baseline"/>
        </w:rPr>
        <w:t>LGAs</w:t>
      </w:r>
      <w:r>
        <w:rPr>
          <w:spacing w:val="11"/>
          <w:vertAlign w:val="baseline"/>
        </w:rPr>
        <w:t> </w:t>
      </w:r>
      <w:r>
        <w:rPr>
          <w:vertAlign w:val="baseline"/>
        </w:rPr>
        <w:t>were</w:t>
      </w:r>
      <w:r>
        <w:rPr>
          <w:spacing w:val="7"/>
          <w:vertAlign w:val="baseline"/>
        </w:rPr>
        <w:t> </w:t>
      </w:r>
      <w:r>
        <w:rPr>
          <w:vertAlign w:val="baseline"/>
        </w:rPr>
        <w:t>the</w:t>
      </w:r>
      <w:r>
        <w:rPr>
          <w:spacing w:val="8"/>
          <w:vertAlign w:val="baseline"/>
        </w:rPr>
        <w:t> </w:t>
      </w:r>
      <w:r>
        <w:rPr>
          <w:vertAlign w:val="baseline"/>
        </w:rPr>
        <w:t>less</w:t>
      </w:r>
      <w:r>
        <w:rPr>
          <w:spacing w:val="9"/>
          <w:vertAlign w:val="baseline"/>
        </w:rPr>
        <w:t> </w:t>
      </w:r>
      <w:r>
        <w:rPr>
          <w:vertAlign w:val="baseline"/>
        </w:rPr>
        <w:t>water</w:t>
      </w:r>
      <w:r>
        <w:rPr>
          <w:spacing w:val="10"/>
          <w:vertAlign w:val="baseline"/>
        </w:rPr>
        <w:t> </w:t>
      </w:r>
      <w:r>
        <w:rPr>
          <w:vertAlign w:val="baseline"/>
        </w:rPr>
        <w:t>stressed</w:t>
      </w:r>
      <w:r>
        <w:rPr>
          <w:spacing w:val="11"/>
          <w:vertAlign w:val="baseline"/>
        </w:rPr>
        <w:t> </w:t>
      </w:r>
      <w:r>
        <w:rPr>
          <w:vertAlign w:val="baseline"/>
        </w:rPr>
        <w:t>with</w:t>
      </w:r>
      <w:r>
        <w:rPr>
          <w:spacing w:val="9"/>
          <w:vertAlign w:val="baseline"/>
        </w:rPr>
        <w:t> </w:t>
      </w:r>
      <w:r>
        <w:rPr>
          <w:vertAlign w:val="baseline"/>
        </w:rPr>
        <w:t>WPI</w:t>
      </w:r>
      <w:r>
        <w:rPr>
          <w:spacing w:val="6"/>
          <w:vertAlign w:val="baseline"/>
        </w:rPr>
        <w:t> </w:t>
      </w:r>
      <w:r>
        <w:rPr>
          <w:vertAlign w:val="baseline"/>
        </w:rPr>
        <w:t>values</w:t>
      </w:r>
      <w:r>
        <w:rPr>
          <w:spacing w:val="11"/>
          <w:vertAlign w:val="baseline"/>
        </w:rPr>
        <w:t> </w:t>
      </w:r>
      <w:r>
        <w:rPr>
          <w:spacing w:val="-5"/>
          <w:vertAlign w:val="baseline"/>
        </w:rPr>
        <w:t>of</w:t>
      </w:r>
    </w:p>
    <w:p>
      <w:pPr>
        <w:pStyle w:val="BodyText"/>
        <w:spacing w:before="1"/>
        <w:ind w:left="267"/>
        <w:jc w:val="both"/>
      </w:pPr>
      <w:r>
        <w:rPr/>
        <w:t>0.55</w:t>
      </w:r>
      <w:r>
        <w:rPr>
          <w:spacing w:val="-8"/>
        </w:rPr>
        <w:t> </w:t>
      </w:r>
      <w:r>
        <w:rPr/>
        <w:t>minsl</w:t>
      </w:r>
      <w:r>
        <w:rPr>
          <w:vertAlign w:val="superscript"/>
        </w:rPr>
        <w:t>-1</w:t>
      </w:r>
      <w:r>
        <w:rPr>
          <w:vertAlign w:val="baseline"/>
        </w:rPr>
        <w:t>(17.80</w:t>
      </w:r>
      <w:r>
        <w:rPr>
          <w:spacing w:val="-8"/>
          <w:vertAlign w:val="baseline"/>
        </w:rPr>
        <w:t> </w:t>
      </w:r>
      <w:r>
        <w:rPr>
          <w:vertAlign w:val="baseline"/>
        </w:rPr>
        <w:t>for</w:t>
      </w:r>
      <w:r>
        <w:rPr>
          <w:spacing w:val="-9"/>
          <w:vertAlign w:val="baseline"/>
        </w:rPr>
        <w:t> </w:t>
      </w:r>
      <w:r>
        <w:rPr>
          <w:vertAlign w:val="baseline"/>
        </w:rPr>
        <w:t>the</w:t>
      </w:r>
      <w:r>
        <w:rPr>
          <w:spacing w:val="-11"/>
          <w:vertAlign w:val="baseline"/>
        </w:rPr>
        <w:t> </w:t>
      </w:r>
      <w:r>
        <w:rPr>
          <w:vertAlign w:val="baseline"/>
        </w:rPr>
        <w:t>composite</w:t>
      </w:r>
      <w:r>
        <w:rPr>
          <w:spacing w:val="-9"/>
          <w:vertAlign w:val="baseline"/>
        </w:rPr>
        <w:t> </w:t>
      </w:r>
      <w:r>
        <w:rPr>
          <w:vertAlign w:val="baseline"/>
        </w:rPr>
        <w:t>index),</w:t>
      </w:r>
      <w:r>
        <w:rPr>
          <w:spacing w:val="-8"/>
          <w:vertAlign w:val="baseline"/>
        </w:rPr>
        <w:t> </w:t>
      </w:r>
      <w:r>
        <w:rPr>
          <w:vertAlign w:val="baseline"/>
        </w:rPr>
        <w:t>0.53</w:t>
      </w:r>
      <w:r>
        <w:rPr>
          <w:spacing w:val="-12"/>
          <w:vertAlign w:val="baseline"/>
        </w:rPr>
        <w:t> </w:t>
      </w:r>
      <w:r>
        <w:rPr>
          <w:vertAlign w:val="baseline"/>
        </w:rPr>
        <w:t>minsl</w:t>
      </w:r>
      <w:r>
        <w:rPr>
          <w:vertAlign w:val="superscript"/>
        </w:rPr>
        <w:t>-1</w:t>
      </w:r>
      <w:r>
        <w:rPr>
          <w:spacing w:val="-6"/>
          <w:vertAlign w:val="baseline"/>
        </w:rPr>
        <w:t> </w:t>
      </w:r>
      <w:r>
        <w:rPr>
          <w:vertAlign w:val="baseline"/>
        </w:rPr>
        <w:t>(16.20</w:t>
      </w:r>
      <w:r>
        <w:rPr>
          <w:spacing w:val="-8"/>
          <w:vertAlign w:val="baseline"/>
        </w:rPr>
        <w:t> </w:t>
      </w:r>
      <w:r>
        <w:rPr>
          <w:vertAlign w:val="baseline"/>
        </w:rPr>
        <w:t>for</w:t>
      </w:r>
      <w:r>
        <w:rPr>
          <w:spacing w:val="-9"/>
          <w:vertAlign w:val="baseline"/>
        </w:rPr>
        <w:t> </w:t>
      </w:r>
      <w:r>
        <w:rPr>
          <w:vertAlign w:val="baseline"/>
        </w:rPr>
        <w:t>the</w:t>
      </w:r>
      <w:r>
        <w:rPr>
          <w:spacing w:val="-8"/>
          <w:vertAlign w:val="baseline"/>
        </w:rPr>
        <w:t> </w:t>
      </w:r>
      <w:r>
        <w:rPr>
          <w:vertAlign w:val="baseline"/>
        </w:rPr>
        <w:t>composite</w:t>
      </w:r>
      <w:r>
        <w:rPr>
          <w:spacing w:val="-9"/>
          <w:vertAlign w:val="baseline"/>
        </w:rPr>
        <w:t> </w:t>
      </w:r>
      <w:r>
        <w:rPr>
          <w:vertAlign w:val="baseline"/>
        </w:rPr>
        <w:t>index)</w:t>
      </w:r>
      <w:r>
        <w:rPr>
          <w:spacing w:val="-8"/>
          <w:vertAlign w:val="baseline"/>
        </w:rPr>
        <w:t> </w:t>
      </w:r>
      <w:r>
        <w:rPr>
          <w:spacing w:val="-5"/>
          <w:vertAlign w:val="baseline"/>
        </w:rPr>
        <w:t>and</w:t>
      </w:r>
    </w:p>
    <w:p>
      <w:pPr>
        <w:pStyle w:val="BodyText"/>
      </w:pPr>
    </w:p>
    <w:p>
      <w:pPr>
        <w:pStyle w:val="BodyText"/>
        <w:spacing w:line="480" w:lineRule="auto"/>
        <w:ind w:left="267" w:right="725"/>
        <w:jc w:val="both"/>
      </w:pPr>
      <w:r>
        <w:rPr/>
        <w:t>0.50 minsl</w:t>
      </w:r>
      <w:r>
        <w:rPr>
          <w:vertAlign w:val="superscript"/>
        </w:rPr>
        <w:t>-1</w:t>
      </w:r>
      <w:r>
        <w:rPr>
          <w:vertAlign w:val="baseline"/>
        </w:rPr>
        <w:t> (17.10 for the composite index) respectively. Furthermore, the study revealed that</w:t>
      </w:r>
      <w:r>
        <w:rPr>
          <w:spacing w:val="-5"/>
          <w:vertAlign w:val="baseline"/>
        </w:rPr>
        <w:t> </w:t>
      </w:r>
      <w:r>
        <w:rPr>
          <w:vertAlign w:val="baseline"/>
        </w:rPr>
        <w:t>WPI</w:t>
      </w:r>
      <w:r>
        <w:rPr>
          <w:spacing w:val="-10"/>
          <w:vertAlign w:val="baseline"/>
        </w:rPr>
        <w:t> </w:t>
      </w:r>
      <w:r>
        <w:rPr>
          <w:vertAlign w:val="baseline"/>
        </w:rPr>
        <w:t>is</w:t>
      </w:r>
      <w:r>
        <w:rPr>
          <w:spacing w:val="-4"/>
          <w:vertAlign w:val="baseline"/>
        </w:rPr>
        <w:t> </w:t>
      </w:r>
      <w:r>
        <w:rPr>
          <w:vertAlign w:val="baseline"/>
        </w:rPr>
        <w:t>highly</w:t>
      </w:r>
      <w:r>
        <w:rPr>
          <w:spacing w:val="-10"/>
          <w:vertAlign w:val="baseline"/>
        </w:rPr>
        <w:t> </w:t>
      </w:r>
      <w:r>
        <w:rPr>
          <w:vertAlign w:val="baseline"/>
        </w:rPr>
        <w:t>correlated</w:t>
      </w:r>
      <w:r>
        <w:rPr>
          <w:spacing w:val="-5"/>
          <w:vertAlign w:val="baseline"/>
        </w:rPr>
        <w:t> </w:t>
      </w:r>
      <w:r>
        <w:rPr>
          <w:vertAlign w:val="baseline"/>
        </w:rPr>
        <w:t>the</w:t>
      </w:r>
      <w:r>
        <w:rPr>
          <w:spacing w:val="-2"/>
          <w:vertAlign w:val="baseline"/>
        </w:rPr>
        <w:t> </w:t>
      </w:r>
      <w:r>
        <w:rPr>
          <w:vertAlign w:val="baseline"/>
        </w:rPr>
        <w:t>Human</w:t>
      </w:r>
      <w:r>
        <w:rPr>
          <w:spacing w:val="-5"/>
          <w:vertAlign w:val="baseline"/>
        </w:rPr>
        <w:t> </w:t>
      </w:r>
      <w:r>
        <w:rPr>
          <w:vertAlign w:val="baseline"/>
        </w:rPr>
        <w:t>Development</w:t>
      </w:r>
      <w:r>
        <w:rPr>
          <w:spacing w:val="-2"/>
          <w:vertAlign w:val="baseline"/>
        </w:rPr>
        <w:t> </w:t>
      </w:r>
      <w:r>
        <w:rPr>
          <w:vertAlign w:val="baseline"/>
        </w:rPr>
        <w:t>Index</w:t>
      </w:r>
      <w:r>
        <w:rPr>
          <w:spacing w:val="-3"/>
          <w:vertAlign w:val="baseline"/>
        </w:rPr>
        <w:t> </w:t>
      </w:r>
      <w:r>
        <w:rPr>
          <w:vertAlign w:val="baseline"/>
        </w:rPr>
        <w:t>(HDI)</w:t>
      </w:r>
      <w:r>
        <w:rPr>
          <w:spacing w:val="-3"/>
          <w:vertAlign w:val="baseline"/>
        </w:rPr>
        <w:t> </w:t>
      </w:r>
      <w:r>
        <w:rPr>
          <w:vertAlign w:val="baseline"/>
        </w:rPr>
        <w:t>both</w:t>
      </w:r>
      <w:r>
        <w:rPr>
          <w:spacing w:val="-4"/>
          <w:vertAlign w:val="baseline"/>
        </w:rPr>
        <w:t> </w:t>
      </w:r>
      <w:r>
        <w:rPr>
          <w:vertAlign w:val="baseline"/>
        </w:rPr>
        <w:t>during wet</w:t>
      </w:r>
      <w:r>
        <w:rPr>
          <w:spacing w:val="-2"/>
          <w:vertAlign w:val="baseline"/>
        </w:rPr>
        <w:t> </w:t>
      </w:r>
      <w:r>
        <w:rPr>
          <w:vertAlign w:val="baseline"/>
        </w:rPr>
        <w:t>and</w:t>
      </w:r>
      <w:r>
        <w:rPr>
          <w:spacing w:val="-5"/>
          <w:vertAlign w:val="baseline"/>
        </w:rPr>
        <w:t> </w:t>
      </w:r>
      <w:r>
        <w:rPr>
          <w:vertAlign w:val="baseline"/>
        </w:rPr>
        <w:t>dry season</w:t>
      </w:r>
      <w:r>
        <w:rPr>
          <w:spacing w:val="-4"/>
          <w:vertAlign w:val="baseline"/>
        </w:rPr>
        <w:t> </w:t>
      </w:r>
      <w:r>
        <w:rPr>
          <w:vertAlign w:val="baseline"/>
        </w:rPr>
        <w:t>(r</w:t>
      </w:r>
      <w:r>
        <w:rPr>
          <w:vertAlign w:val="superscript"/>
        </w:rPr>
        <w:t>2</w:t>
      </w:r>
      <w:r>
        <w:rPr>
          <w:spacing w:val="-3"/>
          <w:vertAlign w:val="baseline"/>
        </w:rPr>
        <w:t> </w:t>
      </w:r>
      <w:r>
        <w:rPr>
          <w:vertAlign w:val="baseline"/>
        </w:rPr>
        <w:t>values</w:t>
      </w:r>
      <w:r>
        <w:rPr>
          <w:spacing w:val="-4"/>
          <w:vertAlign w:val="baseline"/>
        </w:rPr>
        <w:t> </w:t>
      </w:r>
      <w:r>
        <w:rPr>
          <w:vertAlign w:val="baseline"/>
        </w:rPr>
        <w:t>range</w:t>
      </w:r>
      <w:r>
        <w:rPr>
          <w:spacing w:val="-5"/>
          <w:vertAlign w:val="baseline"/>
        </w:rPr>
        <w:t> </w:t>
      </w:r>
      <w:r>
        <w:rPr>
          <w:vertAlign w:val="baseline"/>
        </w:rPr>
        <w:t>between</w:t>
      </w:r>
      <w:r>
        <w:rPr>
          <w:spacing w:val="-4"/>
          <w:vertAlign w:val="baseline"/>
        </w:rPr>
        <w:t> </w:t>
      </w:r>
      <w:r>
        <w:rPr>
          <w:vertAlign w:val="baseline"/>
        </w:rPr>
        <w:t>0.707</w:t>
      </w:r>
      <w:r>
        <w:rPr>
          <w:spacing w:val="-3"/>
          <w:vertAlign w:val="baseline"/>
        </w:rPr>
        <w:t> </w:t>
      </w:r>
      <w:r>
        <w:rPr>
          <w:vertAlign w:val="baseline"/>
        </w:rPr>
        <w:t>–</w:t>
      </w:r>
      <w:r>
        <w:rPr>
          <w:spacing w:val="-4"/>
          <w:vertAlign w:val="baseline"/>
        </w:rPr>
        <w:t> </w:t>
      </w:r>
      <w:r>
        <w:rPr>
          <w:vertAlign w:val="baseline"/>
        </w:rPr>
        <w:t>0.811)</w:t>
      </w:r>
      <w:r>
        <w:rPr>
          <w:spacing w:val="-5"/>
          <w:vertAlign w:val="baseline"/>
        </w:rPr>
        <w:t> </w:t>
      </w:r>
      <w:r>
        <w:rPr>
          <w:vertAlign w:val="baseline"/>
        </w:rPr>
        <w:t>and</w:t>
      </w:r>
      <w:r>
        <w:rPr>
          <w:spacing w:val="-4"/>
          <w:vertAlign w:val="baseline"/>
        </w:rPr>
        <w:t> </w:t>
      </w:r>
      <w:r>
        <w:rPr>
          <w:vertAlign w:val="baseline"/>
        </w:rPr>
        <w:t>concluded</w:t>
      </w:r>
      <w:r>
        <w:rPr>
          <w:spacing w:val="-4"/>
          <w:vertAlign w:val="baseline"/>
        </w:rPr>
        <w:t> </w:t>
      </w:r>
      <w:r>
        <w:rPr>
          <w:vertAlign w:val="baseline"/>
        </w:rPr>
        <w:t>that</w:t>
      </w:r>
      <w:r>
        <w:rPr>
          <w:spacing w:val="-4"/>
          <w:vertAlign w:val="baseline"/>
        </w:rPr>
        <w:t> </w:t>
      </w:r>
      <w:r>
        <w:rPr>
          <w:vertAlign w:val="baseline"/>
        </w:rPr>
        <w:t>increase</w:t>
      </w:r>
      <w:r>
        <w:rPr>
          <w:spacing w:val="-3"/>
          <w:vertAlign w:val="baseline"/>
        </w:rPr>
        <w:t> </w:t>
      </w:r>
      <w:r>
        <w:rPr>
          <w:vertAlign w:val="baseline"/>
        </w:rPr>
        <w:t>in</w:t>
      </w:r>
      <w:r>
        <w:rPr>
          <w:spacing w:val="-4"/>
          <w:vertAlign w:val="baseline"/>
        </w:rPr>
        <w:t> </w:t>
      </w:r>
      <w:r>
        <w:rPr>
          <w:vertAlign w:val="baseline"/>
        </w:rPr>
        <w:t>access</w:t>
      </w:r>
      <w:r>
        <w:rPr>
          <w:spacing w:val="-4"/>
          <w:vertAlign w:val="baseline"/>
        </w:rPr>
        <w:t> </w:t>
      </w:r>
      <w:r>
        <w:rPr>
          <w:vertAlign w:val="baseline"/>
        </w:rPr>
        <w:t>to</w:t>
      </w:r>
      <w:r>
        <w:rPr>
          <w:spacing w:val="-4"/>
          <w:vertAlign w:val="baseline"/>
        </w:rPr>
        <w:t> </w:t>
      </w:r>
      <w:r>
        <w:rPr>
          <w:vertAlign w:val="baseline"/>
        </w:rPr>
        <w:t>safe drinking water is a necessary condition for improved socio-economic and human development capacity of all the communities in the study area.</w:t>
      </w:r>
    </w:p>
    <w:p>
      <w:pPr>
        <w:pStyle w:val="BodyText"/>
        <w:spacing w:before="1"/>
      </w:pPr>
    </w:p>
    <w:p>
      <w:pPr>
        <w:pStyle w:val="BodyText"/>
        <w:spacing w:line="480" w:lineRule="auto"/>
        <w:ind w:left="267" w:right="728"/>
        <w:jc w:val="both"/>
      </w:pPr>
      <w:r>
        <w:rPr/>
        <w:t>Ifabiyi</w:t>
      </w:r>
      <w:r>
        <w:rPr>
          <w:spacing w:val="-15"/>
        </w:rPr>
        <w:t> </w:t>
      </w:r>
      <w:r>
        <w:rPr/>
        <w:t>and</w:t>
      </w:r>
      <w:r>
        <w:rPr>
          <w:spacing w:val="-13"/>
        </w:rPr>
        <w:t> </w:t>
      </w:r>
      <w:r>
        <w:rPr/>
        <w:t>Ogunbode</w:t>
      </w:r>
      <w:r>
        <w:rPr>
          <w:spacing w:val="-14"/>
        </w:rPr>
        <w:t> </w:t>
      </w:r>
      <w:r>
        <w:rPr/>
        <w:t>(2014)</w:t>
      </w:r>
      <w:r>
        <w:rPr>
          <w:spacing w:val="-14"/>
        </w:rPr>
        <w:t> </w:t>
      </w:r>
      <w:r>
        <w:rPr/>
        <w:t>assessed</w:t>
      </w:r>
      <w:r>
        <w:rPr>
          <w:spacing w:val="-13"/>
        </w:rPr>
        <w:t> </w:t>
      </w:r>
      <w:r>
        <w:rPr/>
        <w:t>water</w:t>
      </w:r>
      <w:r>
        <w:rPr>
          <w:spacing w:val="-14"/>
        </w:rPr>
        <w:t> </w:t>
      </w:r>
      <w:r>
        <w:rPr/>
        <w:t>scarcity</w:t>
      </w:r>
      <w:r>
        <w:rPr>
          <w:spacing w:val="-15"/>
        </w:rPr>
        <w:t> </w:t>
      </w:r>
      <w:r>
        <w:rPr/>
        <w:t>in</w:t>
      </w:r>
      <w:r>
        <w:rPr>
          <w:spacing w:val="-13"/>
        </w:rPr>
        <w:t> </w:t>
      </w:r>
      <w:r>
        <w:rPr/>
        <w:t>the</w:t>
      </w:r>
      <w:r>
        <w:rPr>
          <w:spacing w:val="-14"/>
        </w:rPr>
        <w:t> </w:t>
      </w:r>
      <w:r>
        <w:rPr/>
        <w:t>rural</w:t>
      </w:r>
      <w:r>
        <w:rPr>
          <w:spacing w:val="-13"/>
        </w:rPr>
        <w:t> </w:t>
      </w:r>
      <w:r>
        <w:rPr/>
        <w:t>areas</w:t>
      </w:r>
      <w:r>
        <w:rPr>
          <w:spacing w:val="-13"/>
        </w:rPr>
        <w:t> </w:t>
      </w:r>
      <w:r>
        <w:rPr/>
        <w:t>of</w:t>
      </w:r>
      <w:r>
        <w:rPr>
          <w:spacing w:val="-14"/>
        </w:rPr>
        <w:t> </w:t>
      </w:r>
      <w:r>
        <w:rPr/>
        <w:t>Oyo</w:t>
      </w:r>
      <w:r>
        <w:rPr>
          <w:spacing w:val="-11"/>
        </w:rPr>
        <w:t> </w:t>
      </w:r>
      <w:r>
        <w:rPr/>
        <w:t>state</w:t>
      </w:r>
      <w:r>
        <w:rPr>
          <w:spacing w:val="-14"/>
        </w:rPr>
        <w:t> </w:t>
      </w:r>
      <w:r>
        <w:rPr/>
        <w:t>in</w:t>
      </w:r>
      <w:r>
        <w:rPr>
          <w:spacing w:val="-13"/>
        </w:rPr>
        <w:t> </w:t>
      </w:r>
      <w:r>
        <w:rPr/>
        <w:t>Nigeria by</w:t>
      </w:r>
      <w:r>
        <w:rPr>
          <w:spacing w:val="-12"/>
        </w:rPr>
        <w:t> </w:t>
      </w:r>
      <w:r>
        <w:rPr/>
        <w:t>employing</w:t>
      </w:r>
      <w:r>
        <w:rPr>
          <w:spacing w:val="-10"/>
        </w:rPr>
        <w:t> </w:t>
      </w:r>
      <w:r>
        <w:rPr/>
        <w:t>the</w:t>
      </w:r>
      <w:r>
        <w:rPr>
          <w:spacing w:val="-8"/>
        </w:rPr>
        <w:t> </w:t>
      </w:r>
      <w:r>
        <w:rPr/>
        <w:t>composite</w:t>
      </w:r>
      <w:r>
        <w:rPr>
          <w:spacing w:val="-8"/>
        </w:rPr>
        <w:t> </w:t>
      </w:r>
      <w:r>
        <w:rPr/>
        <w:t>water</w:t>
      </w:r>
      <w:r>
        <w:rPr>
          <w:spacing w:val="-8"/>
        </w:rPr>
        <w:t> </w:t>
      </w:r>
      <w:r>
        <w:rPr/>
        <w:t>poverty</w:t>
      </w:r>
      <w:r>
        <w:rPr>
          <w:spacing w:val="-12"/>
        </w:rPr>
        <w:t> </w:t>
      </w:r>
      <w:r>
        <w:rPr/>
        <w:t>index.</w:t>
      </w:r>
      <w:r>
        <w:rPr>
          <w:spacing w:val="-7"/>
        </w:rPr>
        <w:t> </w:t>
      </w:r>
      <w:r>
        <w:rPr/>
        <w:t>Utilizing</w:t>
      </w:r>
      <w:r>
        <w:rPr>
          <w:spacing w:val="-9"/>
        </w:rPr>
        <w:t> </w:t>
      </w:r>
      <w:r>
        <w:rPr/>
        <w:t>a</w:t>
      </w:r>
      <w:r>
        <w:rPr>
          <w:spacing w:val="-8"/>
        </w:rPr>
        <w:t> </w:t>
      </w:r>
      <w:r>
        <w:rPr/>
        <w:t>multistage</w:t>
      </w:r>
      <w:r>
        <w:rPr>
          <w:spacing w:val="-8"/>
        </w:rPr>
        <w:t> </w:t>
      </w:r>
      <w:r>
        <w:rPr/>
        <w:t>sampling</w:t>
      </w:r>
      <w:r>
        <w:rPr>
          <w:spacing w:val="-9"/>
        </w:rPr>
        <w:t> </w:t>
      </w:r>
      <w:r>
        <w:rPr/>
        <w:t>technique, five</w:t>
      </w:r>
      <w:r>
        <w:rPr>
          <w:spacing w:val="-2"/>
        </w:rPr>
        <w:t> </w:t>
      </w:r>
      <w:r>
        <w:rPr/>
        <w:t>(5)</w:t>
      </w:r>
      <w:r>
        <w:rPr>
          <w:spacing w:val="-1"/>
        </w:rPr>
        <w:t> </w:t>
      </w:r>
      <w:r>
        <w:rPr/>
        <w:t>rural communities</w:t>
      </w:r>
      <w:r>
        <w:rPr>
          <w:spacing w:val="-1"/>
        </w:rPr>
        <w:t> </w:t>
      </w:r>
      <w:r>
        <w:rPr/>
        <w:t>were</w:t>
      </w:r>
      <w:r>
        <w:rPr>
          <w:spacing w:val="-1"/>
        </w:rPr>
        <w:t> </w:t>
      </w:r>
      <w:r>
        <w:rPr/>
        <w:t>selected from 25 rural local government areas out of</w:t>
      </w:r>
      <w:r>
        <w:rPr>
          <w:spacing w:val="-1"/>
        </w:rPr>
        <w:t> </w:t>
      </w:r>
      <w:r>
        <w:rPr/>
        <w:t>the 33 </w:t>
      </w:r>
      <w:r>
        <w:rPr>
          <w:spacing w:val="-2"/>
        </w:rPr>
        <w:t>local</w:t>
      </w:r>
      <w:r>
        <w:rPr>
          <w:spacing w:val="-4"/>
        </w:rPr>
        <w:t> </w:t>
      </w:r>
      <w:r>
        <w:rPr>
          <w:spacing w:val="-2"/>
        </w:rPr>
        <w:t>government</w:t>
      </w:r>
      <w:r>
        <w:rPr>
          <w:spacing w:val="-4"/>
        </w:rPr>
        <w:t> </w:t>
      </w:r>
      <w:r>
        <w:rPr>
          <w:spacing w:val="-2"/>
        </w:rPr>
        <w:t>areas</w:t>
      </w:r>
      <w:r>
        <w:rPr>
          <w:spacing w:val="-6"/>
        </w:rPr>
        <w:t> </w:t>
      </w:r>
      <w:r>
        <w:rPr>
          <w:spacing w:val="-2"/>
        </w:rPr>
        <w:t>in Oyo</w:t>
      </w:r>
      <w:r>
        <w:rPr>
          <w:spacing w:val="-6"/>
        </w:rPr>
        <w:t> </w:t>
      </w:r>
      <w:r>
        <w:rPr>
          <w:spacing w:val="-2"/>
        </w:rPr>
        <w:t>state. Based</w:t>
      </w:r>
      <w:r>
        <w:rPr>
          <w:spacing w:val="-6"/>
        </w:rPr>
        <w:t> </w:t>
      </w:r>
      <w:r>
        <w:rPr>
          <w:spacing w:val="-2"/>
        </w:rPr>
        <w:t>on</w:t>
      </w:r>
      <w:r>
        <w:rPr>
          <w:spacing w:val="-6"/>
        </w:rPr>
        <w:t> </w:t>
      </w:r>
      <w:r>
        <w:rPr>
          <w:spacing w:val="-2"/>
        </w:rPr>
        <w:t>a</w:t>
      </w:r>
      <w:r>
        <w:rPr>
          <w:spacing w:val="-7"/>
        </w:rPr>
        <w:t> </w:t>
      </w:r>
      <w:r>
        <w:rPr>
          <w:spacing w:val="-2"/>
        </w:rPr>
        <w:t>household</w:t>
      </w:r>
      <w:r>
        <w:rPr>
          <w:spacing w:val="-4"/>
        </w:rPr>
        <w:t> </w:t>
      </w:r>
      <w:r>
        <w:rPr>
          <w:spacing w:val="-2"/>
        </w:rPr>
        <w:t>questionnaire</w:t>
      </w:r>
      <w:r>
        <w:rPr>
          <w:spacing w:val="-7"/>
        </w:rPr>
        <w:t> </w:t>
      </w:r>
      <w:r>
        <w:rPr>
          <w:spacing w:val="-2"/>
        </w:rPr>
        <w:t>survey</w:t>
      </w:r>
      <w:r>
        <w:rPr>
          <w:spacing w:val="-8"/>
        </w:rPr>
        <w:t> </w:t>
      </w:r>
      <w:r>
        <w:rPr>
          <w:spacing w:val="-2"/>
        </w:rPr>
        <w:t>administered </w:t>
      </w:r>
      <w:r>
        <w:rPr/>
        <w:t>early in the morning and late in the evening among rural dwellers, so as to achieve a high response rate from the respondents, the sample comprised 1250 rural households from 125 communities in 25 rural local government areas. Based on the methodology employed, the classification of the calculated water poverty index for any local government area with a value</w:t>
      </w:r>
      <w:r>
        <w:rPr>
          <w:spacing w:val="-2"/>
        </w:rPr>
        <w:t> </w:t>
      </w:r>
      <w:r>
        <w:rPr/>
        <w:t>greater</w:t>
      </w:r>
      <w:r>
        <w:rPr>
          <w:spacing w:val="-5"/>
        </w:rPr>
        <w:t> </w:t>
      </w:r>
      <w:r>
        <w:rPr/>
        <w:t>than</w:t>
      </w:r>
      <w:r>
        <w:rPr>
          <w:spacing w:val="-3"/>
        </w:rPr>
        <w:t> </w:t>
      </w:r>
      <w:r>
        <w:rPr/>
        <w:t>50%,</w:t>
      </w:r>
      <w:r>
        <w:rPr>
          <w:spacing w:val="-3"/>
        </w:rPr>
        <w:t> </w:t>
      </w:r>
      <w:r>
        <w:rPr/>
        <w:t>was</w:t>
      </w:r>
      <w:r>
        <w:rPr>
          <w:spacing w:val="-3"/>
        </w:rPr>
        <w:t> </w:t>
      </w:r>
      <w:r>
        <w:rPr/>
        <w:t>defined</w:t>
      </w:r>
      <w:r>
        <w:rPr>
          <w:spacing w:val="-1"/>
        </w:rPr>
        <w:t> </w:t>
      </w:r>
      <w:r>
        <w:rPr/>
        <w:t>as</w:t>
      </w:r>
      <w:r>
        <w:rPr>
          <w:spacing w:val="-3"/>
        </w:rPr>
        <w:t> </w:t>
      </w:r>
      <w:r>
        <w:rPr/>
        <w:t>having</w:t>
      </w:r>
      <w:r>
        <w:rPr>
          <w:spacing w:val="-6"/>
        </w:rPr>
        <w:t> </w:t>
      </w:r>
      <w:r>
        <w:rPr/>
        <w:t>a</w:t>
      </w:r>
      <w:r>
        <w:rPr>
          <w:spacing w:val="-4"/>
        </w:rPr>
        <w:t> </w:t>
      </w:r>
      <w:r>
        <w:rPr/>
        <w:t>fairly</w:t>
      </w:r>
      <w:r>
        <w:rPr>
          <w:spacing w:val="-7"/>
        </w:rPr>
        <w:t> </w:t>
      </w:r>
      <w:r>
        <w:rPr/>
        <w:t>water</w:t>
      </w:r>
      <w:r>
        <w:rPr>
          <w:spacing w:val="-3"/>
        </w:rPr>
        <w:t> </w:t>
      </w:r>
      <w:r>
        <w:rPr/>
        <w:t>advantaged</w:t>
      </w:r>
      <w:r>
        <w:rPr>
          <w:spacing w:val="-3"/>
        </w:rPr>
        <w:t> </w:t>
      </w:r>
      <w:r>
        <w:rPr/>
        <w:t>position</w:t>
      </w:r>
      <w:r>
        <w:rPr>
          <w:spacing w:val="-3"/>
        </w:rPr>
        <w:t> </w:t>
      </w:r>
      <w:r>
        <w:rPr/>
        <w:t>and</w:t>
      </w:r>
      <w:r>
        <w:rPr>
          <w:spacing w:val="-3"/>
        </w:rPr>
        <w:t> </w:t>
      </w:r>
      <w:r>
        <w:rPr/>
        <w:t>where it</w:t>
      </w:r>
      <w:r>
        <w:rPr>
          <w:spacing w:val="-11"/>
        </w:rPr>
        <w:t> </w:t>
      </w:r>
      <w:r>
        <w:rPr/>
        <w:t>is</w:t>
      </w:r>
      <w:r>
        <w:rPr>
          <w:spacing w:val="-11"/>
        </w:rPr>
        <w:t> </w:t>
      </w:r>
      <w:r>
        <w:rPr/>
        <w:t>less</w:t>
      </w:r>
      <w:r>
        <w:rPr>
          <w:spacing w:val="-12"/>
        </w:rPr>
        <w:t> </w:t>
      </w:r>
      <w:r>
        <w:rPr/>
        <w:t>than</w:t>
      </w:r>
      <w:r>
        <w:rPr>
          <w:spacing w:val="-13"/>
        </w:rPr>
        <w:t> </w:t>
      </w:r>
      <w:r>
        <w:rPr/>
        <w:t>50%</w:t>
      </w:r>
      <w:r>
        <w:rPr>
          <w:spacing w:val="-11"/>
        </w:rPr>
        <w:t> </w:t>
      </w:r>
      <w:r>
        <w:rPr/>
        <w:t>such</w:t>
      </w:r>
      <w:r>
        <w:rPr>
          <w:spacing w:val="-12"/>
        </w:rPr>
        <w:t> </w:t>
      </w:r>
      <w:r>
        <w:rPr/>
        <w:t>local</w:t>
      </w:r>
      <w:r>
        <w:rPr>
          <w:spacing w:val="-9"/>
        </w:rPr>
        <w:t> </w:t>
      </w:r>
      <w:r>
        <w:rPr/>
        <w:t>government</w:t>
      </w:r>
      <w:r>
        <w:rPr>
          <w:spacing w:val="-12"/>
        </w:rPr>
        <w:t> </w:t>
      </w:r>
      <w:r>
        <w:rPr/>
        <w:t>area</w:t>
      </w:r>
      <w:r>
        <w:rPr>
          <w:spacing w:val="-11"/>
        </w:rPr>
        <w:t> </w:t>
      </w:r>
      <w:r>
        <w:rPr/>
        <w:t>is</w:t>
      </w:r>
      <w:r>
        <w:rPr>
          <w:spacing w:val="-11"/>
        </w:rPr>
        <w:t> </w:t>
      </w:r>
      <w:r>
        <w:rPr/>
        <w:t>deemed</w:t>
      </w:r>
      <w:r>
        <w:rPr>
          <w:spacing w:val="-13"/>
        </w:rPr>
        <w:t> </w:t>
      </w:r>
      <w:r>
        <w:rPr/>
        <w:t>water</w:t>
      </w:r>
      <w:r>
        <w:rPr>
          <w:spacing w:val="-13"/>
        </w:rPr>
        <w:t> </w:t>
      </w:r>
      <w:r>
        <w:rPr/>
        <w:t>poor.</w:t>
      </w:r>
      <w:r>
        <w:rPr>
          <w:spacing w:val="-10"/>
        </w:rPr>
        <w:t> </w:t>
      </w:r>
      <w:r>
        <w:rPr/>
        <w:t>In</w:t>
      </w:r>
      <w:r>
        <w:rPr>
          <w:spacing w:val="-10"/>
        </w:rPr>
        <w:t> </w:t>
      </w:r>
      <w:r>
        <w:rPr/>
        <w:t>the</w:t>
      </w:r>
      <w:r>
        <w:rPr>
          <w:spacing w:val="-13"/>
        </w:rPr>
        <w:t> </w:t>
      </w:r>
      <w:r>
        <w:rPr/>
        <w:t>study,</w:t>
      </w:r>
      <w:r>
        <w:rPr>
          <w:spacing w:val="-12"/>
        </w:rPr>
        <w:t> </w:t>
      </w:r>
      <w:r>
        <w:rPr/>
        <w:t>the</w:t>
      </w:r>
      <w:r>
        <w:rPr>
          <w:spacing w:val="-10"/>
        </w:rPr>
        <w:t> </w:t>
      </w:r>
      <w:r>
        <w:rPr/>
        <w:t>authors reported</w:t>
      </w:r>
      <w:r>
        <w:rPr>
          <w:spacing w:val="-6"/>
        </w:rPr>
        <w:t> </w:t>
      </w:r>
      <w:r>
        <w:rPr/>
        <w:t>that</w:t>
      </w:r>
      <w:r>
        <w:rPr>
          <w:spacing w:val="-6"/>
        </w:rPr>
        <w:t> </w:t>
      </w:r>
      <w:r>
        <w:rPr/>
        <w:t>the</w:t>
      </w:r>
      <w:r>
        <w:rPr>
          <w:spacing w:val="-6"/>
        </w:rPr>
        <w:t> </w:t>
      </w:r>
      <w:r>
        <w:rPr/>
        <w:t>values</w:t>
      </w:r>
      <w:r>
        <w:rPr>
          <w:spacing w:val="-7"/>
        </w:rPr>
        <w:t> </w:t>
      </w:r>
      <w:r>
        <w:rPr/>
        <w:t>of</w:t>
      </w:r>
      <w:r>
        <w:rPr>
          <w:spacing w:val="-6"/>
        </w:rPr>
        <w:t> </w:t>
      </w:r>
      <w:r>
        <w:rPr/>
        <w:t>the</w:t>
      </w:r>
      <w:r>
        <w:rPr>
          <w:spacing w:val="-7"/>
        </w:rPr>
        <w:t> </w:t>
      </w:r>
      <w:r>
        <w:rPr/>
        <w:t>water</w:t>
      </w:r>
      <w:r>
        <w:rPr>
          <w:spacing w:val="-7"/>
        </w:rPr>
        <w:t> </w:t>
      </w:r>
      <w:r>
        <w:rPr/>
        <w:t>poverty</w:t>
      </w:r>
      <w:r>
        <w:rPr>
          <w:spacing w:val="-10"/>
        </w:rPr>
        <w:t> </w:t>
      </w:r>
      <w:r>
        <w:rPr/>
        <w:t>index</w:t>
      </w:r>
      <w:r>
        <w:rPr>
          <w:spacing w:val="-5"/>
        </w:rPr>
        <w:t> </w:t>
      </w:r>
      <w:r>
        <w:rPr/>
        <w:t>were</w:t>
      </w:r>
      <w:r>
        <w:rPr>
          <w:spacing w:val="-5"/>
        </w:rPr>
        <w:t> </w:t>
      </w:r>
      <w:r>
        <w:rPr/>
        <w:t>generally</w:t>
      </w:r>
      <w:r>
        <w:rPr>
          <w:spacing w:val="-11"/>
        </w:rPr>
        <w:t> </w:t>
      </w:r>
      <w:r>
        <w:rPr/>
        <w:t>low,</w:t>
      </w:r>
      <w:r>
        <w:rPr>
          <w:spacing w:val="-5"/>
        </w:rPr>
        <w:t> </w:t>
      </w:r>
      <w:r>
        <w:rPr/>
        <w:t>ranging</w:t>
      </w:r>
      <w:r>
        <w:rPr>
          <w:spacing w:val="-9"/>
        </w:rPr>
        <w:t> </w:t>
      </w:r>
      <w:r>
        <w:rPr/>
        <w:t>from</w:t>
      </w:r>
      <w:r>
        <w:rPr>
          <w:spacing w:val="-5"/>
        </w:rPr>
        <w:t> </w:t>
      </w:r>
      <w:r>
        <w:rPr>
          <w:spacing w:val="-2"/>
        </w:rPr>
        <w:t>11.29%</w:t>
      </w:r>
    </w:p>
    <w:p>
      <w:pPr>
        <w:spacing w:after="0" w:line="480" w:lineRule="auto"/>
        <w:jc w:val="both"/>
        <w:sectPr>
          <w:pgSz w:w="12240" w:h="15840"/>
          <w:pgMar w:header="0" w:footer="1068" w:top="1340" w:bottom="1260" w:left="1720" w:right="680"/>
        </w:sectPr>
      </w:pPr>
    </w:p>
    <w:p>
      <w:pPr>
        <w:pStyle w:val="BodyText"/>
        <w:spacing w:line="480" w:lineRule="auto" w:before="63"/>
        <w:ind w:left="267" w:right="732"/>
        <w:jc w:val="both"/>
      </w:pPr>
      <w:r>
        <w:rPr/>
        <w:t>for Itesiwaju local government area to 47.89% in Atisbo local government area and concluded that all the rural areas in the study area were water stressed.</w:t>
      </w:r>
    </w:p>
    <w:p>
      <w:pPr>
        <w:pStyle w:val="BodyText"/>
      </w:pPr>
    </w:p>
    <w:p>
      <w:pPr>
        <w:pStyle w:val="BodyText"/>
        <w:spacing w:line="480" w:lineRule="auto"/>
        <w:ind w:left="267" w:right="725"/>
        <w:jc w:val="both"/>
      </w:pPr>
      <w:r>
        <w:rPr/>
        <w:t>The study of Ahuchaogu </w:t>
      </w:r>
      <w:r>
        <w:rPr>
          <w:i/>
        </w:rPr>
        <w:t>et al. </w:t>
      </w:r>
      <w:r>
        <w:rPr/>
        <w:t>(2015) examined the application of water poverty index to 120 households in 4</w:t>
      </w:r>
      <w:r>
        <w:rPr>
          <w:spacing w:val="-1"/>
        </w:rPr>
        <w:t> </w:t>
      </w:r>
      <w:r>
        <w:rPr/>
        <w:t>communities in Uyo metropolis of Akwaibom state by</w:t>
      </w:r>
      <w:r>
        <w:rPr>
          <w:spacing w:val="-3"/>
        </w:rPr>
        <w:t> </w:t>
      </w:r>
      <w:r>
        <w:rPr/>
        <w:t>employing</w:t>
      </w:r>
      <w:r>
        <w:rPr>
          <w:spacing w:val="-1"/>
        </w:rPr>
        <w:t> </w:t>
      </w:r>
      <w:r>
        <w:rPr/>
        <w:t>both composite water poverty index and time series index approach. The results of the water poverty</w:t>
      </w:r>
      <w:r>
        <w:rPr>
          <w:spacing w:val="-8"/>
        </w:rPr>
        <w:t> </w:t>
      </w:r>
      <w:r>
        <w:rPr/>
        <w:t>index</w:t>
      </w:r>
      <w:r>
        <w:rPr>
          <w:spacing w:val="-1"/>
        </w:rPr>
        <w:t> </w:t>
      </w:r>
      <w:r>
        <w:rPr/>
        <w:t>using</w:t>
      </w:r>
      <w:r>
        <w:rPr>
          <w:spacing w:val="-6"/>
        </w:rPr>
        <w:t> </w:t>
      </w:r>
      <w:r>
        <w:rPr/>
        <w:t>the</w:t>
      </w:r>
      <w:r>
        <w:rPr>
          <w:spacing w:val="-2"/>
        </w:rPr>
        <w:t> </w:t>
      </w:r>
      <w:r>
        <w:rPr/>
        <w:t>composite</w:t>
      </w:r>
      <w:r>
        <w:rPr>
          <w:spacing w:val="-4"/>
        </w:rPr>
        <w:t> </w:t>
      </w:r>
      <w:r>
        <w:rPr/>
        <w:t>and</w:t>
      </w:r>
      <w:r>
        <w:rPr>
          <w:spacing w:val="-3"/>
        </w:rPr>
        <w:t> </w:t>
      </w:r>
      <w:r>
        <w:rPr/>
        <w:t>time</w:t>
      </w:r>
      <w:r>
        <w:rPr>
          <w:spacing w:val="-3"/>
        </w:rPr>
        <w:t> </w:t>
      </w:r>
      <w:r>
        <w:rPr/>
        <w:t>analysis</w:t>
      </w:r>
      <w:r>
        <w:rPr>
          <w:spacing w:val="-1"/>
        </w:rPr>
        <w:t> </w:t>
      </w:r>
      <w:r>
        <w:rPr/>
        <w:t>method</w:t>
      </w:r>
      <w:r>
        <w:rPr>
          <w:spacing w:val="-3"/>
        </w:rPr>
        <w:t> </w:t>
      </w:r>
      <w:r>
        <w:rPr/>
        <w:t>produced</w:t>
      </w:r>
      <w:r>
        <w:rPr>
          <w:spacing w:val="-3"/>
        </w:rPr>
        <w:t> </w:t>
      </w:r>
      <w:r>
        <w:rPr/>
        <w:t>differing</w:t>
      </w:r>
      <w:r>
        <w:rPr>
          <w:spacing w:val="-6"/>
        </w:rPr>
        <w:t> </w:t>
      </w:r>
      <w:r>
        <w:rPr/>
        <w:t>results.</w:t>
      </w:r>
      <w:r>
        <w:rPr>
          <w:spacing w:val="-2"/>
        </w:rPr>
        <w:t> </w:t>
      </w:r>
      <w:r>
        <w:rPr/>
        <w:t>The authors noted that the result of the time analysis index which was based on time of fetching water</w:t>
      </w:r>
      <w:r>
        <w:rPr>
          <w:spacing w:val="-5"/>
        </w:rPr>
        <w:t> </w:t>
      </w:r>
      <w:r>
        <w:rPr/>
        <w:t>and</w:t>
      </w:r>
      <w:r>
        <w:rPr>
          <w:spacing w:val="-3"/>
        </w:rPr>
        <w:t> </w:t>
      </w:r>
      <w:r>
        <w:rPr/>
        <w:t>the</w:t>
      </w:r>
      <w:r>
        <w:rPr>
          <w:spacing w:val="-4"/>
        </w:rPr>
        <w:t> </w:t>
      </w:r>
      <w:r>
        <w:rPr/>
        <w:t>volume</w:t>
      </w:r>
      <w:r>
        <w:rPr>
          <w:spacing w:val="-4"/>
        </w:rPr>
        <w:t> </w:t>
      </w:r>
      <w:r>
        <w:rPr/>
        <w:t>of</w:t>
      </w:r>
      <w:r>
        <w:rPr>
          <w:spacing w:val="-2"/>
        </w:rPr>
        <w:t> </w:t>
      </w:r>
      <w:r>
        <w:rPr/>
        <w:t>water</w:t>
      </w:r>
      <w:r>
        <w:rPr>
          <w:spacing w:val="-5"/>
        </w:rPr>
        <w:t> </w:t>
      </w:r>
      <w:r>
        <w:rPr/>
        <w:t>fetched</w:t>
      </w:r>
      <w:r>
        <w:rPr>
          <w:spacing w:val="-1"/>
        </w:rPr>
        <w:t> </w:t>
      </w:r>
      <w:r>
        <w:rPr/>
        <w:t>cannot</w:t>
      </w:r>
      <w:r>
        <w:rPr>
          <w:spacing w:val="-3"/>
        </w:rPr>
        <w:t> </w:t>
      </w:r>
      <w:r>
        <w:rPr/>
        <w:t>be</w:t>
      </w:r>
      <w:r>
        <w:rPr>
          <w:spacing w:val="-3"/>
        </w:rPr>
        <w:t> </w:t>
      </w:r>
      <w:r>
        <w:rPr/>
        <w:t>linked</w:t>
      </w:r>
      <w:r>
        <w:rPr>
          <w:spacing w:val="-3"/>
        </w:rPr>
        <w:t> </w:t>
      </w:r>
      <w:r>
        <w:rPr/>
        <w:t>with</w:t>
      </w:r>
      <w:r>
        <w:rPr>
          <w:spacing w:val="-3"/>
        </w:rPr>
        <w:t> </w:t>
      </w:r>
      <w:r>
        <w:rPr/>
        <w:t>that</w:t>
      </w:r>
      <w:r>
        <w:rPr>
          <w:spacing w:val="-3"/>
        </w:rPr>
        <w:t> </w:t>
      </w:r>
      <w:r>
        <w:rPr/>
        <w:t>of</w:t>
      </w:r>
      <w:r>
        <w:rPr>
          <w:spacing w:val="-3"/>
        </w:rPr>
        <w:t> </w:t>
      </w:r>
      <w:r>
        <w:rPr/>
        <w:t>the</w:t>
      </w:r>
      <w:r>
        <w:rPr>
          <w:spacing w:val="-4"/>
        </w:rPr>
        <w:t> </w:t>
      </w:r>
      <w:r>
        <w:rPr/>
        <w:t>composite</w:t>
      </w:r>
      <w:r>
        <w:rPr>
          <w:spacing w:val="-3"/>
        </w:rPr>
        <w:t> </w:t>
      </w:r>
      <w:r>
        <w:rPr/>
        <w:t>approach due</w:t>
      </w:r>
      <w:r>
        <w:rPr>
          <w:spacing w:val="-7"/>
        </w:rPr>
        <w:t> </w:t>
      </w:r>
      <w:r>
        <w:rPr/>
        <w:t>to</w:t>
      </w:r>
      <w:r>
        <w:rPr>
          <w:spacing w:val="-5"/>
        </w:rPr>
        <w:t> </w:t>
      </w:r>
      <w:r>
        <w:rPr/>
        <w:t>its</w:t>
      </w:r>
      <w:r>
        <w:rPr>
          <w:spacing w:val="-6"/>
        </w:rPr>
        <w:t> </w:t>
      </w:r>
      <w:r>
        <w:rPr/>
        <w:t>simplicity.</w:t>
      </w:r>
      <w:r>
        <w:rPr>
          <w:spacing w:val="-6"/>
        </w:rPr>
        <w:t> </w:t>
      </w:r>
      <w:r>
        <w:rPr/>
        <w:t>Time</w:t>
      </w:r>
      <w:r>
        <w:rPr>
          <w:spacing w:val="-7"/>
        </w:rPr>
        <w:t> </w:t>
      </w:r>
      <w:r>
        <w:rPr/>
        <w:t>analysis</w:t>
      </w:r>
      <w:r>
        <w:rPr>
          <w:spacing w:val="-5"/>
        </w:rPr>
        <w:t> </w:t>
      </w:r>
      <w:r>
        <w:rPr/>
        <w:t>approach</w:t>
      </w:r>
      <w:r>
        <w:rPr>
          <w:spacing w:val="-6"/>
        </w:rPr>
        <w:t> </w:t>
      </w:r>
      <w:r>
        <w:rPr/>
        <w:t>does</w:t>
      </w:r>
      <w:r>
        <w:rPr>
          <w:spacing w:val="-6"/>
        </w:rPr>
        <w:t> </w:t>
      </w:r>
      <w:r>
        <w:rPr/>
        <w:t>not</w:t>
      </w:r>
      <w:r>
        <w:rPr>
          <w:spacing w:val="-4"/>
        </w:rPr>
        <w:t> </w:t>
      </w:r>
      <w:r>
        <w:rPr/>
        <w:t>cover</w:t>
      </w:r>
      <w:r>
        <w:rPr>
          <w:spacing w:val="-7"/>
        </w:rPr>
        <w:t> </w:t>
      </w:r>
      <w:r>
        <w:rPr/>
        <w:t>all</w:t>
      </w:r>
      <w:r>
        <w:rPr>
          <w:spacing w:val="-5"/>
        </w:rPr>
        <w:t> </w:t>
      </w:r>
      <w:r>
        <w:rPr/>
        <w:t>the</w:t>
      </w:r>
      <w:r>
        <w:rPr>
          <w:spacing w:val="-6"/>
        </w:rPr>
        <w:t> </w:t>
      </w:r>
      <w:r>
        <w:rPr/>
        <w:t>indicators</w:t>
      </w:r>
      <w:r>
        <w:rPr>
          <w:spacing w:val="-6"/>
        </w:rPr>
        <w:t> </w:t>
      </w:r>
      <w:r>
        <w:rPr/>
        <w:t>in</w:t>
      </w:r>
      <w:r>
        <w:rPr>
          <w:spacing w:val="-5"/>
        </w:rPr>
        <w:t> </w:t>
      </w:r>
      <w:r>
        <w:rPr/>
        <w:t>determining the level of how stressed a region can be as unlike that of composite approach. The study concluded</w:t>
      </w:r>
      <w:r>
        <w:rPr>
          <w:spacing w:val="-8"/>
        </w:rPr>
        <w:t> </w:t>
      </w:r>
      <w:r>
        <w:rPr/>
        <w:t>that</w:t>
      </w:r>
      <w:r>
        <w:rPr>
          <w:spacing w:val="-7"/>
        </w:rPr>
        <w:t> </w:t>
      </w:r>
      <w:r>
        <w:rPr/>
        <w:t>the</w:t>
      </w:r>
      <w:r>
        <w:rPr>
          <w:spacing w:val="-5"/>
        </w:rPr>
        <w:t> </w:t>
      </w:r>
      <w:r>
        <w:rPr/>
        <w:t>composite</w:t>
      </w:r>
      <w:r>
        <w:rPr>
          <w:spacing w:val="-8"/>
        </w:rPr>
        <w:t> </w:t>
      </w:r>
      <w:r>
        <w:rPr/>
        <w:t>is</w:t>
      </w:r>
      <w:r>
        <w:rPr>
          <w:spacing w:val="-7"/>
        </w:rPr>
        <w:t> </w:t>
      </w:r>
      <w:r>
        <w:rPr/>
        <w:t>preferred</w:t>
      </w:r>
      <w:r>
        <w:rPr>
          <w:spacing w:val="-6"/>
        </w:rPr>
        <w:t> </w:t>
      </w:r>
      <w:r>
        <w:rPr/>
        <w:t>to</w:t>
      </w:r>
      <w:r>
        <w:rPr>
          <w:spacing w:val="-7"/>
        </w:rPr>
        <w:t> </w:t>
      </w:r>
      <w:r>
        <w:rPr/>
        <w:t>time</w:t>
      </w:r>
      <w:r>
        <w:rPr>
          <w:spacing w:val="-5"/>
        </w:rPr>
        <w:t> </w:t>
      </w:r>
      <w:r>
        <w:rPr/>
        <w:t>analysis</w:t>
      </w:r>
      <w:r>
        <w:rPr>
          <w:spacing w:val="-5"/>
        </w:rPr>
        <w:t> </w:t>
      </w:r>
      <w:r>
        <w:rPr/>
        <w:t>due</w:t>
      </w:r>
      <w:r>
        <w:rPr>
          <w:spacing w:val="-8"/>
        </w:rPr>
        <w:t> </w:t>
      </w:r>
      <w:r>
        <w:rPr/>
        <w:t>to</w:t>
      </w:r>
      <w:r>
        <w:rPr>
          <w:spacing w:val="-7"/>
        </w:rPr>
        <w:t> </w:t>
      </w:r>
      <w:r>
        <w:rPr/>
        <w:t>its</w:t>
      </w:r>
      <w:r>
        <w:rPr>
          <w:spacing w:val="-7"/>
        </w:rPr>
        <w:t> </w:t>
      </w:r>
      <w:r>
        <w:rPr/>
        <w:t>flexibility</w:t>
      </w:r>
      <w:r>
        <w:rPr>
          <w:spacing w:val="-12"/>
        </w:rPr>
        <w:t> </w:t>
      </w:r>
      <w:r>
        <w:rPr/>
        <w:t>in</w:t>
      </w:r>
      <w:r>
        <w:rPr>
          <w:spacing w:val="-7"/>
        </w:rPr>
        <w:t> </w:t>
      </w:r>
      <w:r>
        <w:rPr/>
        <w:t>data</w:t>
      </w:r>
      <w:r>
        <w:rPr>
          <w:spacing w:val="-8"/>
        </w:rPr>
        <w:t> </w:t>
      </w:r>
      <w:r>
        <w:rPr/>
        <w:t>set</w:t>
      </w:r>
      <w:r>
        <w:rPr>
          <w:spacing w:val="-5"/>
        </w:rPr>
        <w:t> </w:t>
      </w:r>
      <w:r>
        <w:rPr/>
        <w:t>and its ability to aid strong decision-making strategies in reducing water stress.</w:t>
      </w:r>
    </w:p>
    <w:p>
      <w:pPr>
        <w:pStyle w:val="BodyText"/>
        <w:spacing w:before="2"/>
      </w:pPr>
    </w:p>
    <w:p>
      <w:pPr>
        <w:pStyle w:val="BodyText"/>
        <w:spacing w:line="480" w:lineRule="auto"/>
        <w:ind w:left="267" w:right="727"/>
        <w:jc w:val="both"/>
      </w:pPr>
      <w:r>
        <w:rPr/>
        <w:t>Ogunbode and Ifabiyi (2017) assessed the accessibility of water in the rural suburbs of Ogbomoso</w:t>
      </w:r>
      <w:r>
        <w:rPr>
          <w:spacing w:val="-2"/>
        </w:rPr>
        <w:t> </w:t>
      </w:r>
      <w:r>
        <w:rPr/>
        <w:t>zone</w:t>
      </w:r>
      <w:r>
        <w:rPr>
          <w:spacing w:val="-3"/>
        </w:rPr>
        <w:t> </w:t>
      </w:r>
      <w:r>
        <w:rPr/>
        <w:t>of</w:t>
      </w:r>
      <w:r>
        <w:rPr>
          <w:spacing w:val="-1"/>
        </w:rPr>
        <w:t> </w:t>
      </w:r>
      <w:r>
        <w:rPr/>
        <w:t>Oyo</w:t>
      </w:r>
      <w:r>
        <w:rPr>
          <w:spacing w:val="-2"/>
        </w:rPr>
        <w:t> </w:t>
      </w:r>
      <w:r>
        <w:rPr/>
        <w:t>state.</w:t>
      </w:r>
      <w:r>
        <w:rPr>
          <w:spacing w:val="-2"/>
        </w:rPr>
        <w:t> </w:t>
      </w:r>
      <w:r>
        <w:rPr/>
        <w:t>Their</w:t>
      </w:r>
      <w:r>
        <w:rPr>
          <w:spacing w:val="-2"/>
        </w:rPr>
        <w:t> </w:t>
      </w:r>
      <w:r>
        <w:rPr/>
        <w:t>study</w:t>
      </w:r>
      <w:r>
        <w:rPr>
          <w:spacing w:val="-7"/>
        </w:rPr>
        <w:t> </w:t>
      </w:r>
      <w:r>
        <w:rPr/>
        <w:t>applied the</w:t>
      </w:r>
      <w:r>
        <w:rPr>
          <w:spacing w:val="-2"/>
        </w:rPr>
        <w:t> </w:t>
      </w:r>
      <w:r>
        <w:rPr/>
        <w:t>water</w:t>
      </w:r>
      <w:r>
        <w:rPr>
          <w:spacing w:val="-2"/>
        </w:rPr>
        <w:t> </w:t>
      </w:r>
      <w:r>
        <w:rPr/>
        <w:t>poverty</w:t>
      </w:r>
      <w:r>
        <w:rPr>
          <w:spacing w:val="-7"/>
        </w:rPr>
        <w:t> </w:t>
      </w:r>
      <w:r>
        <w:rPr/>
        <w:t>index</w:t>
      </w:r>
      <w:r>
        <w:rPr>
          <w:spacing w:val="-1"/>
        </w:rPr>
        <w:t> </w:t>
      </w:r>
      <w:r>
        <w:rPr/>
        <w:t>(WPI)</w:t>
      </w:r>
      <w:r>
        <w:rPr>
          <w:spacing w:val="-2"/>
        </w:rPr>
        <w:t> </w:t>
      </w:r>
      <w:r>
        <w:rPr/>
        <w:t>to</w:t>
      </w:r>
      <w:r>
        <w:rPr>
          <w:spacing w:val="-2"/>
        </w:rPr>
        <w:t> </w:t>
      </w:r>
      <w:r>
        <w:rPr/>
        <w:t>the</w:t>
      </w:r>
      <w:r>
        <w:rPr>
          <w:spacing w:val="-3"/>
        </w:rPr>
        <w:t> </w:t>
      </w:r>
      <w:r>
        <w:rPr/>
        <w:t>data collected from 50 households randomly selected from each of the 3 local government areas of the State amounting to a 150-questionnaire administered across the 3 LGAs. The authors applied the composite index approach of the WPI and showed that there is an abundance of water resources in the study area due to the minimum availability of eight months rainfall across</w:t>
      </w:r>
      <w:r>
        <w:rPr>
          <w:spacing w:val="-1"/>
        </w:rPr>
        <w:t> </w:t>
      </w:r>
      <w:r>
        <w:rPr/>
        <w:t>the year</w:t>
      </w:r>
      <w:r>
        <w:rPr>
          <w:spacing w:val="-1"/>
        </w:rPr>
        <w:t> </w:t>
      </w:r>
      <w:r>
        <w:rPr/>
        <w:t>in</w:t>
      </w:r>
      <w:r>
        <w:rPr>
          <w:spacing w:val="-1"/>
        </w:rPr>
        <w:t> </w:t>
      </w:r>
      <w:r>
        <w:rPr/>
        <w:t>the</w:t>
      </w:r>
      <w:r>
        <w:rPr>
          <w:spacing w:val="-1"/>
        </w:rPr>
        <w:t> </w:t>
      </w:r>
      <w:r>
        <w:rPr/>
        <w:t>state. However,</w:t>
      </w:r>
      <w:r>
        <w:rPr>
          <w:spacing w:val="-1"/>
        </w:rPr>
        <w:t> </w:t>
      </w:r>
      <w:r>
        <w:rPr/>
        <w:t>the authors recorded that</w:t>
      </w:r>
      <w:r>
        <w:rPr>
          <w:spacing w:val="-1"/>
        </w:rPr>
        <w:t> </w:t>
      </w:r>
      <w:r>
        <w:rPr/>
        <w:t>there</w:t>
      </w:r>
      <w:r>
        <w:rPr>
          <w:spacing w:val="-1"/>
        </w:rPr>
        <w:t> </w:t>
      </w:r>
      <w:r>
        <w:rPr/>
        <w:t>is</w:t>
      </w:r>
      <w:r>
        <w:rPr>
          <w:spacing w:val="-1"/>
        </w:rPr>
        <w:t> </w:t>
      </w:r>
      <w:r>
        <w:rPr/>
        <w:t>poor access</w:t>
      </w:r>
      <w:r>
        <w:rPr>
          <w:spacing w:val="-1"/>
        </w:rPr>
        <w:t> </w:t>
      </w:r>
      <w:r>
        <w:rPr/>
        <w:t>to</w:t>
      </w:r>
      <w:r>
        <w:rPr>
          <w:spacing w:val="-1"/>
        </w:rPr>
        <w:t> </w:t>
      </w:r>
      <w:r>
        <w:rPr/>
        <w:t>water sources in the studyarea as only Ogo-oluwa LGA has a fair water accessibility of 34.70 among</w:t>
      </w:r>
      <w:r>
        <w:rPr>
          <w:spacing w:val="-12"/>
        </w:rPr>
        <w:t> </w:t>
      </w:r>
      <w:r>
        <w:rPr/>
        <w:t>the</w:t>
      </w:r>
      <w:r>
        <w:rPr>
          <w:spacing w:val="-10"/>
        </w:rPr>
        <w:t> </w:t>
      </w:r>
      <w:r>
        <w:rPr/>
        <w:t>three</w:t>
      </w:r>
      <w:r>
        <w:rPr>
          <w:spacing w:val="-11"/>
        </w:rPr>
        <w:t> </w:t>
      </w:r>
      <w:r>
        <w:rPr/>
        <w:t>(3)</w:t>
      </w:r>
      <w:r>
        <w:rPr>
          <w:spacing w:val="-9"/>
        </w:rPr>
        <w:t> </w:t>
      </w:r>
      <w:r>
        <w:rPr/>
        <w:t>LGAs</w:t>
      </w:r>
      <w:r>
        <w:rPr>
          <w:spacing w:val="-8"/>
        </w:rPr>
        <w:t> </w:t>
      </w:r>
      <w:r>
        <w:rPr/>
        <w:t>with</w:t>
      </w:r>
      <w:r>
        <w:rPr>
          <w:spacing w:val="-9"/>
        </w:rPr>
        <w:t> </w:t>
      </w:r>
      <w:r>
        <w:rPr/>
        <w:t>Orire</w:t>
      </w:r>
      <w:r>
        <w:rPr>
          <w:spacing w:val="-11"/>
        </w:rPr>
        <w:t> </w:t>
      </w:r>
      <w:r>
        <w:rPr/>
        <w:t>having</w:t>
      </w:r>
      <w:r>
        <w:rPr>
          <w:spacing w:val="-9"/>
        </w:rPr>
        <w:t> </w:t>
      </w:r>
      <w:r>
        <w:rPr/>
        <w:t>a</w:t>
      </w:r>
      <w:r>
        <w:rPr>
          <w:spacing w:val="-11"/>
        </w:rPr>
        <w:t> </w:t>
      </w:r>
      <w:r>
        <w:rPr/>
        <w:t>WPI</w:t>
      </w:r>
      <w:r>
        <w:rPr>
          <w:spacing w:val="-13"/>
        </w:rPr>
        <w:t> </w:t>
      </w:r>
      <w:r>
        <w:rPr/>
        <w:t>score</w:t>
      </w:r>
      <w:r>
        <w:rPr>
          <w:spacing w:val="-11"/>
        </w:rPr>
        <w:t> </w:t>
      </w:r>
      <w:r>
        <w:rPr/>
        <w:t>of</w:t>
      </w:r>
      <w:r>
        <w:rPr>
          <w:spacing w:val="-10"/>
        </w:rPr>
        <w:t> </w:t>
      </w:r>
      <w:r>
        <w:rPr/>
        <w:t>20.60</w:t>
      </w:r>
      <w:r>
        <w:rPr>
          <w:spacing w:val="-10"/>
        </w:rPr>
        <w:t> </w:t>
      </w:r>
      <w:r>
        <w:rPr/>
        <w:t>while</w:t>
      </w:r>
      <w:r>
        <w:rPr>
          <w:spacing w:val="-10"/>
        </w:rPr>
        <w:t> </w:t>
      </w:r>
      <w:r>
        <w:rPr/>
        <w:t>Surulere</w:t>
      </w:r>
      <w:r>
        <w:rPr>
          <w:spacing w:val="-11"/>
        </w:rPr>
        <w:t> </w:t>
      </w:r>
      <w:r>
        <w:rPr/>
        <w:t>has</w:t>
      </w:r>
      <w:r>
        <w:rPr>
          <w:spacing w:val="-9"/>
        </w:rPr>
        <w:t> </w:t>
      </w:r>
      <w:r>
        <w:rPr/>
        <w:t>a</w:t>
      </w:r>
      <w:r>
        <w:rPr>
          <w:spacing w:val="-11"/>
        </w:rPr>
        <w:t> </w:t>
      </w:r>
      <w:r>
        <w:rPr/>
        <w:t>score of</w:t>
      </w:r>
      <w:r>
        <w:rPr>
          <w:spacing w:val="-11"/>
        </w:rPr>
        <w:t> </w:t>
      </w:r>
      <w:r>
        <w:rPr/>
        <w:t>15.26</w:t>
      </w:r>
      <w:r>
        <w:rPr>
          <w:spacing w:val="-9"/>
        </w:rPr>
        <w:t> </w:t>
      </w:r>
      <w:r>
        <w:rPr/>
        <w:t>out</w:t>
      </w:r>
      <w:r>
        <w:rPr>
          <w:spacing w:val="-7"/>
        </w:rPr>
        <w:t> </w:t>
      </w:r>
      <w:r>
        <w:rPr/>
        <w:t>of</w:t>
      </w:r>
      <w:r>
        <w:rPr>
          <w:spacing w:val="-9"/>
        </w:rPr>
        <w:t> </w:t>
      </w:r>
      <w:r>
        <w:rPr/>
        <w:t>the</w:t>
      </w:r>
      <w:r>
        <w:rPr>
          <w:spacing w:val="-9"/>
        </w:rPr>
        <w:t> </w:t>
      </w:r>
      <w:r>
        <w:rPr/>
        <w:t>100</w:t>
      </w:r>
      <w:r>
        <w:rPr>
          <w:spacing w:val="-10"/>
        </w:rPr>
        <w:t> </w:t>
      </w:r>
      <w:r>
        <w:rPr/>
        <w:t>maximum</w:t>
      </w:r>
      <w:r>
        <w:rPr>
          <w:spacing w:val="-11"/>
        </w:rPr>
        <w:t> </w:t>
      </w:r>
      <w:r>
        <w:rPr/>
        <w:t>score</w:t>
      </w:r>
      <w:r>
        <w:rPr>
          <w:spacing w:val="-9"/>
        </w:rPr>
        <w:t> </w:t>
      </w:r>
      <w:r>
        <w:rPr/>
        <w:t>obtainable.</w:t>
      </w:r>
      <w:r>
        <w:rPr>
          <w:spacing w:val="-6"/>
        </w:rPr>
        <w:t> </w:t>
      </w:r>
      <w:r>
        <w:rPr/>
        <w:t>The</w:t>
      </w:r>
      <w:r>
        <w:rPr>
          <w:spacing w:val="-9"/>
        </w:rPr>
        <w:t> </w:t>
      </w:r>
      <w:r>
        <w:rPr/>
        <w:t>authors</w:t>
      </w:r>
      <w:r>
        <w:rPr>
          <w:spacing w:val="-9"/>
        </w:rPr>
        <w:t> </w:t>
      </w:r>
      <w:r>
        <w:rPr/>
        <w:t>then</w:t>
      </w:r>
      <w:r>
        <w:rPr>
          <w:spacing w:val="-9"/>
        </w:rPr>
        <w:t> </w:t>
      </w:r>
      <w:r>
        <w:rPr/>
        <w:t>noted</w:t>
      </w:r>
      <w:r>
        <w:rPr>
          <w:spacing w:val="-8"/>
        </w:rPr>
        <w:t> </w:t>
      </w:r>
      <w:r>
        <w:rPr/>
        <w:t>that</w:t>
      </w:r>
      <w:r>
        <w:rPr>
          <w:spacing w:val="-8"/>
        </w:rPr>
        <w:t> </w:t>
      </w:r>
      <w:r>
        <w:rPr/>
        <w:t>factors</w:t>
      </w:r>
      <w:r>
        <w:rPr>
          <w:spacing w:val="-8"/>
        </w:rPr>
        <w:t> </w:t>
      </w:r>
      <w:r>
        <w:rPr>
          <w:spacing w:val="-2"/>
        </w:rPr>
        <w:t>which</w:t>
      </w:r>
    </w:p>
    <w:p>
      <w:pPr>
        <w:pStyle w:val="BodyText"/>
        <w:spacing w:line="275" w:lineRule="exact"/>
        <w:ind w:left="267"/>
        <w:jc w:val="both"/>
      </w:pPr>
      <w:r>
        <w:rPr/>
        <w:t>were</w:t>
      </w:r>
      <w:r>
        <w:rPr>
          <w:spacing w:val="43"/>
        </w:rPr>
        <w:t> </w:t>
      </w:r>
      <w:r>
        <w:rPr/>
        <w:t>responsible</w:t>
      </w:r>
      <w:r>
        <w:rPr>
          <w:spacing w:val="44"/>
        </w:rPr>
        <w:t> </w:t>
      </w:r>
      <w:r>
        <w:rPr/>
        <w:t>for</w:t>
      </w:r>
      <w:r>
        <w:rPr>
          <w:spacing w:val="44"/>
        </w:rPr>
        <w:t> </w:t>
      </w:r>
      <w:r>
        <w:rPr/>
        <w:t>the</w:t>
      </w:r>
      <w:r>
        <w:rPr>
          <w:spacing w:val="47"/>
        </w:rPr>
        <w:t> </w:t>
      </w:r>
      <w:r>
        <w:rPr/>
        <w:t>poor</w:t>
      </w:r>
      <w:r>
        <w:rPr>
          <w:spacing w:val="43"/>
        </w:rPr>
        <w:t> </w:t>
      </w:r>
      <w:r>
        <w:rPr/>
        <w:t>access</w:t>
      </w:r>
      <w:r>
        <w:rPr>
          <w:spacing w:val="45"/>
        </w:rPr>
        <w:t> </w:t>
      </w:r>
      <w:r>
        <w:rPr/>
        <w:t>to</w:t>
      </w:r>
      <w:r>
        <w:rPr>
          <w:spacing w:val="45"/>
        </w:rPr>
        <w:t> </w:t>
      </w:r>
      <w:r>
        <w:rPr/>
        <w:t>water</w:t>
      </w:r>
      <w:r>
        <w:rPr>
          <w:spacing w:val="44"/>
        </w:rPr>
        <w:t> </w:t>
      </w:r>
      <w:r>
        <w:rPr/>
        <w:t>sources</w:t>
      </w:r>
      <w:r>
        <w:rPr>
          <w:spacing w:val="44"/>
        </w:rPr>
        <w:t> </w:t>
      </w:r>
      <w:r>
        <w:rPr/>
        <w:t>includes;</w:t>
      </w:r>
      <w:r>
        <w:rPr>
          <w:spacing w:val="46"/>
        </w:rPr>
        <w:t> </w:t>
      </w:r>
      <w:r>
        <w:rPr/>
        <w:t>peasantry</w:t>
      </w:r>
      <w:r>
        <w:rPr>
          <w:spacing w:val="40"/>
        </w:rPr>
        <w:t> </w:t>
      </w:r>
      <w:r>
        <w:rPr/>
        <w:t>living</w:t>
      </w:r>
      <w:r>
        <w:rPr>
          <w:spacing w:val="42"/>
        </w:rPr>
        <w:t> </w:t>
      </w:r>
      <w:r>
        <w:rPr/>
        <w:t>of</w:t>
      </w:r>
      <w:r>
        <w:rPr>
          <w:spacing w:val="46"/>
        </w:rPr>
        <w:t> </w:t>
      </w:r>
      <w:r>
        <w:rPr>
          <w:spacing w:val="-5"/>
        </w:rPr>
        <w:t>the</w:t>
      </w:r>
    </w:p>
    <w:p>
      <w:pPr>
        <w:spacing w:after="0" w:line="275" w:lineRule="exact"/>
        <w:jc w:val="both"/>
        <w:sectPr>
          <w:pgSz w:w="12240" w:h="15840"/>
          <w:pgMar w:header="0" w:footer="1068" w:top="1340" w:bottom="1260" w:left="1720" w:right="680"/>
        </w:sectPr>
      </w:pPr>
    </w:p>
    <w:p>
      <w:pPr>
        <w:pStyle w:val="BodyText"/>
        <w:spacing w:line="480" w:lineRule="auto" w:before="63"/>
        <w:ind w:left="267" w:right="727"/>
        <w:jc w:val="both"/>
      </w:pPr>
      <w:r>
        <w:rPr/>
        <w:t>respondents,</w:t>
      </w:r>
      <w:r>
        <w:rPr>
          <w:spacing w:val="-2"/>
        </w:rPr>
        <w:t> </w:t>
      </w:r>
      <w:r>
        <w:rPr/>
        <w:t>high</w:t>
      </w:r>
      <w:r>
        <w:rPr>
          <w:spacing w:val="-2"/>
        </w:rPr>
        <w:t> </w:t>
      </w:r>
      <w:r>
        <w:rPr/>
        <w:t>level</w:t>
      </w:r>
      <w:r>
        <w:rPr>
          <w:spacing w:val="-2"/>
        </w:rPr>
        <w:t> </w:t>
      </w:r>
      <w:r>
        <w:rPr/>
        <w:t>of</w:t>
      </w:r>
      <w:r>
        <w:rPr>
          <w:spacing w:val="-1"/>
        </w:rPr>
        <w:t> </w:t>
      </w:r>
      <w:r>
        <w:rPr/>
        <w:t>illiteracy,</w:t>
      </w:r>
      <w:r>
        <w:rPr>
          <w:spacing w:val="-2"/>
        </w:rPr>
        <w:t> </w:t>
      </w:r>
      <w:r>
        <w:rPr/>
        <w:t>poor</w:t>
      </w:r>
      <w:r>
        <w:rPr>
          <w:spacing w:val="-3"/>
        </w:rPr>
        <w:t> </w:t>
      </w:r>
      <w:r>
        <w:rPr/>
        <w:t>maintenance</w:t>
      </w:r>
      <w:r>
        <w:rPr>
          <w:spacing w:val="-2"/>
        </w:rPr>
        <w:t> </w:t>
      </w:r>
      <w:r>
        <w:rPr/>
        <w:t>of</w:t>
      </w:r>
      <w:r>
        <w:rPr>
          <w:spacing w:val="-3"/>
        </w:rPr>
        <w:t> </w:t>
      </w:r>
      <w:r>
        <w:rPr/>
        <w:t>water</w:t>
      </w:r>
      <w:r>
        <w:rPr>
          <w:spacing w:val="-3"/>
        </w:rPr>
        <w:t> </w:t>
      </w:r>
      <w:r>
        <w:rPr/>
        <w:t>facilities,</w:t>
      </w:r>
      <w:r>
        <w:rPr>
          <w:spacing w:val="-3"/>
        </w:rPr>
        <w:t> </w:t>
      </w:r>
      <w:r>
        <w:rPr/>
        <w:t>and</w:t>
      </w:r>
      <w:r>
        <w:rPr>
          <w:spacing w:val="-2"/>
        </w:rPr>
        <w:t> </w:t>
      </w:r>
      <w:r>
        <w:rPr/>
        <w:t>poor</w:t>
      </w:r>
      <w:r>
        <w:rPr>
          <w:spacing w:val="-1"/>
        </w:rPr>
        <w:t> </w:t>
      </w:r>
      <w:r>
        <w:rPr/>
        <w:t>yields</w:t>
      </w:r>
      <w:r>
        <w:rPr>
          <w:spacing w:val="-2"/>
        </w:rPr>
        <w:t> </w:t>
      </w:r>
      <w:r>
        <w:rPr/>
        <w:t>of wells among others.</w:t>
      </w:r>
    </w:p>
    <w:p>
      <w:pPr>
        <w:pStyle w:val="BodyText"/>
      </w:pPr>
    </w:p>
    <w:p>
      <w:pPr>
        <w:pStyle w:val="BodyText"/>
        <w:spacing w:line="480" w:lineRule="auto"/>
        <w:ind w:left="267" w:right="729"/>
        <w:jc w:val="both"/>
      </w:pPr>
      <w:r>
        <w:rPr/>
        <w:t>The specific study by Ifabiyi </w:t>
      </w:r>
      <w:r>
        <w:rPr>
          <w:i/>
        </w:rPr>
        <w:t>et al. </w:t>
      </w:r>
      <w:r>
        <w:rPr/>
        <w:t>(2020) examined water poverty in 10 political wards of Olorunsogo</w:t>
      </w:r>
      <w:r>
        <w:rPr>
          <w:spacing w:val="-9"/>
        </w:rPr>
        <w:t> </w:t>
      </w:r>
      <w:r>
        <w:rPr/>
        <w:t>local</w:t>
      </w:r>
      <w:r>
        <w:rPr>
          <w:spacing w:val="-6"/>
        </w:rPr>
        <w:t> </w:t>
      </w:r>
      <w:r>
        <w:rPr/>
        <w:t>government</w:t>
      </w:r>
      <w:r>
        <w:rPr>
          <w:spacing w:val="-9"/>
        </w:rPr>
        <w:t> </w:t>
      </w:r>
      <w:r>
        <w:rPr/>
        <w:t>area</w:t>
      </w:r>
      <w:r>
        <w:rPr>
          <w:spacing w:val="-9"/>
        </w:rPr>
        <w:t> </w:t>
      </w:r>
      <w:r>
        <w:rPr/>
        <w:t>of</w:t>
      </w:r>
      <w:r>
        <w:rPr>
          <w:spacing w:val="-10"/>
        </w:rPr>
        <w:t> </w:t>
      </w:r>
      <w:r>
        <w:rPr/>
        <w:t>Oyo</w:t>
      </w:r>
      <w:r>
        <w:rPr>
          <w:spacing w:val="-9"/>
        </w:rPr>
        <w:t> </w:t>
      </w:r>
      <w:r>
        <w:rPr/>
        <w:t>state.</w:t>
      </w:r>
      <w:r>
        <w:rPr>
          <w:spacing w:val="-9"/>
        </w:rPr>
        <w:t> </w:t>
      </w:r>
      <w:r>
        <w:rPr/>
        <w:t>The</w:t>
      </w:r>
      <w:r>
        <w:rPr>
          <w:spacing w:val="-9"/>
        </w:rPr>
        <w:t> </w:t>
      </w:r>
      <w:r>
        <w:rPr/>
        <w:t>authors</w:t>
      </w:r>
      <w:r>
        <w:rPr>
          <w:spacing w:val="-9"/>
        </w:rPr>
        <w:t> </w:t>
      </w:r>
      <w:r>
        <w:rPr/>
        <w:t>applied</w:t>
      </w:r>
      <w:r>
        <w:rPr>
          <w:spacing w:val="-9"/>
        </w:rPr>
        <w:t> </w:t>
      </w:r>
      <w:r>
        <w:rPr/>
        <w:t>the</w:t>
      </w:r>
      <w:r>
        <w:rPr>
          <w:spacing w:val="-9"/>
        </w:rPr>
        <w:t> </w:t>
      </w:r>
      <w:r>
        <w:rPr/>
        <w:t>water</w:t>
      </w:r>
      <w:r>
        <w:rPr>
          <w:spacing w:val="-10"/>
        </w:rPr>
        <w:t> </w:t>
      </w:r>
      <w:r>
        <w:rPr/>
        <w:t>poverty</w:t>
      </w:r>
      <w:r>
        <w:rPr>
          <w:spacing w:val="-15"/>
        </w:rPr>
        <w:t> </w:t>
      </w:r>
      <w:r>
        <w:rPr/>
        <w:t>index (WPI)</w:t>
      </w:r>
      <w:r>
        <w:rPr>
          <w:spacing w:val="-10"/>
        </w:rPr>
        <w:t> </w:t>
      </w:r>
      <w:r>
        <w:rPr/>
        <w:t>to</w:t>
      </w:r>
      <w:r>
        <w:rPr>
          <w:spacing w:val="-9"/>
        </w:rPr>
        <w:t> </w:t>
      </w:r>
      <w:r>
        <w:rPr/>
        <w:t>the</w:t>
      </w:r>
      <w:r>
        <w:rPr>
          <w:spacing w:val="-11"/>
        </w:rPr>
        <w:t> </w:t>
      </w:r>
      <w:r>
        <w:rPr/>
        <w:t>data</w:t>
      </w:r>
      <w:r>
        <w:rPr>
          <w:spacing w:val="-11"/>
        </w:rPr>
        <w:t> </w:t>
      </w:r>
      <w:r>
        <w:rPr/>
        <w:t>sourced</w:t>
      </w:r>
      <w:r>
        <w:rPr>
          <w:spacing w:val="-9"/>
        </w:rPr>
        <w:t> </w:t>
      </w:r>
      <w:r>
        <w:rPr/>
        <w:t>at</w:t>
      </w:r>
      <w:r>
        <w:rPr>
          <w:spacing w:val="-9"/>
        </w:rPr>
        <w:t> </w:t>
      </w:r>
      <w:r>
        <w:rPr/>
        <w:t>household</w:t>
      </w:r>
      <w:r>
        <w:rPr>
          <w:spacing w:val="-9"/>
        </w:rPr>
        <w:t> </w:t>
      </w:r>
      <w:r>
        <w:rPr/>
        <w:t>level</w:t>
      </w:r>
      <w:r>
        <w:rPr>
          <w:spacing w:val="-9"/>
        </w:rPr>
        <w:t> </w:t>
      </w:r>
      <w:r>
        <w:rPr/>
        <w:t>through</w:t>
      </w:r>
      <w:r>
        <w:rPr>
          <w:spacing w:val="-8"/>
        </w:rPr>
        <w:t> </w:t>
      </w:r>
      <w:r>
        <w:rPr/>
        <w:t>administering</w:t>
      </w:r>
      <w:r>
        <w:rPr>
          <w:spacing w:val="-10"/>
        </w:rPr>
        <w:t> </w:t>
      </w:r>
      <w:r>
        <w:rPr/>
        <w:t>370</w:t>
      </w:r>
      <w:r>
        <w:rPr>
          <w:spacing w:val="-10"/>
        </w:rPr>
        <w:t> </w:t>
      </w:r>
      <w:r>
        <w:rPr/>
        <w:t>questionnaires</w:t>
      </w:r>
      <w:r>
        <w:rPr>
          <w:spacing w:val="-9"/>
        </w:rPr>
        <w:t> </w:t>
      </w:r>
      <w:r>
        <w:rPr/>
        <w:t>in</w:t>
      </w:r>
      <w:r>
        <w:rPr>
          <w:spacing w:val="-9"/>
        </w:rPr>
        <w:t> </w:t>
      </w:r>
      <w:r>
        <w:rPr/>
        <w:t>the 10 political wards in the study area. The results of the WPI pentagrams and factor analysis revealed</w:t>
      </w:r>
      <w:r>
        <w:rPr>
          <w:spacing w:val="-10"/>
        </w:rPr>
        <w:t> </w:t>
      </w:r>
      <w:r>
        <w:rPr/>
        <w:t>that,</w:t>
      </w:r>
      <w:r>
        <w:rPr>
          <w:spacing w:val="-10"/>
        </w:rPr>
        <w:t> </w:t>
      </w:r>
      <w:r>
        <w:rPr/>
        <w:t>the</w:t>
      </w:r>
      <w:r>
        <w:rPr>
          <w:spacing w:val="-10"/>
        </w:rPr>
        <w:t> </w:t>
      </w:r>
      <w:r>
        <w:rPr/>
        <w:t>level</w:t>
      </w:r>
      <w:r>
        <w:rPr>
          <w:spacing w:val="-9"/>
        </w:rPr>
        <w:t> </w:t>
      </w:r>
      <w:r>
        <w:rPr/>
        <w:t>of</w:t>
      </w:r>
      <w:r>
        <w:rPr>
          <w:spacing w:val="-8"/>
        </w:rPr>
        <w:t> </w:t>
      </w:r>
      <w:r>
        <w:rPr/>
        <w:t>water</w:t>
      </w:r>
      <w:r>
        <w:rPr>
          <w:spacing w:val="-11"/>
        </w:rPr>
        <w:t> </w:t>
      </w:r>
      <w:r>
        <w:rPr/>
        <w:t>scarcity</w:t>
      </w:r>
      <w:r>
        <w:rPr>
          <w:spacing w:val="-14"/>
        </w:rPr>
        <w:t> </w:t>
      </w:r>
      <w:r>
        <w:rPr/>
        <w:t>in</w:t>
      </w:r>
      <w:r>
        <w:rPr>
          <w:spacing w:val="-9"/>
        </w:rPr>
        <w:t> </w:t>
      </w:r>
      <w:r>
        <w:rPr/>
        <w:t>the</w:t>
      </w:r>
      <w:r>
        <w:rPr>
          <w:spacing w:val="-10"/>
        </w:rPr>
        <w:t> </w:t>
      </w:r>
      <w:r>
        <w:rPr/>
        <w:t>10</w:t>
      </w:r>
      <w:r>
        <w:rPr>
          <w:spacing w:val="-10"/>
        </w:rPr>
        <w:t> </w:t>
      </w:r>
      <w:r>
        <w:rPr/>
        <w:t>political</w:t>
      </w:r>
      <w:r>
        <w:rPr>
          <w:spacing w:val="-9"/>
        </w:rPr>
        <w:t> </w:t>
      </w:r>
      <w:r>
        <w:rPr/>
        <w:t>wards</w:t>
      </w:r>
      <w:r>
        <w:rPr>
          <w:spacing w:val="-10"/>
        </w:rPr>
        <w:t> </w:t>
      </w:r>
      <w:r>
        <w:rPr/>
        <w:t>were</w:t>
      </w:r>
      <w:r>
        <w:rPr>
          <w:spacing w:val="-11"/>
        </w:rPr>
        <w:t> </w:t>
      </w:r>
      <w:r>
        <w:rPr/>
        <w:t>not</w:t>
      </w:r>
      <w:r>
        <w:rPr>
          <w:spacing w:val="-9"/>
        </w:rPr>
        <w:t> </w:t>
      </w:r>
      <w:r>
        <w:rPr/>
        <w:t>severe</w:t>
      </w:r>
      <w:r>
        <w:rPr>
          <w:spacing w:val="-11"/>
        </w:rPr>
        <w:t> </w:t>
      </w:r>
      <w:r>
        <w:rPr/>
        <w:t>as</w:t>
      </w:r>
      <w:r>
        <w:rPr>
          <w:spacing w:val="-9"/>
        </w:rPr>
        <w:t> </w:t>
      </w:r>
      <w:r>
        <w:rPr/>
        <w:t>the</w:t>
      </w:r>
      <w:r>
        <w:rPr>
          <w:spacing w:val="-10"/>
        </w:rPr>
        <w:t> </w:t>
      </w:r>
      <w:r>
        <w:rPr/>
        <w:t>value recorded was higher than the 44% national value for Nigeria and also higher than many African Nations.Though findings from these evidence-based studies which investigated the application</w:t>
      </w:r>
      <w:r>
        <w:rPr>
          <w:spacing w:val="-8"/>
        </w:rPr>
        <w:t> </w:t>
      </w:r>
      <w:r>
        <w:rPr/>
        <w:t>of</w:t>
      </w:r>
      <w:r>
        <w:rPr>
          <w:spacing w:val="-9"/>
        </w:rPr>
        <w:t> </w:t>
      </w:r>
      <w:r>
        <w:rPr/>
        <w:t>the</w:t>
      </w:r>
      <w:r>
        <w:rPr>
          <w:spacing w:val="-9"/>
        </w:rPr>
        <w:t> </w:t>
      </w:r>
      <w:r>
        <w:rPr/>
        <w:t>water</w:t>
      </w:r>
      <w:r>
        <w:rPr>
          <w:spacing w:val="-9"/>
        </w:rPr>
        <w:t> </w:t>
      </w:r>
      <w:r>
        <w:rPr/>
        <w:t>poverty</w:t>
      </w:r>
      <w:r>
        <w:rPr>
          <w:spacing w:val="-12"/>
        </w:rPr>
        <w:t> </w:t>
      </w:r>
      <w:r>
        <w:rPr/>
        <w:t>index</w:t>
      </w:r>
      <w:r>
        <w:rPr>
          <w:spacing w:val="-6"/>
        </w:rPr>
        <w:t> </w:t>
      </w:r>
      <w:r>
        <w:rPr/>
        <w:t>at</w:t>
      </w:r>
      <w:r>
        <w:rPr>
          <w:spacing w:val="-3"/>
        </w:rPr>
        <w:t> </w:t>
      </w:r>
      <w:r>
        <w:rPr/>
        <w:t>Local</w:t>
      </w:r>
      <w:r>
        <w:rPr>
          <w:spacing w:val="-8"/>
        </w:rPr>
        <w:t> </w:t>
      </w:r>
      <w:r>
        <w:rPr/>
        <w:t>Government</w:t>
      </w:r>
      <w:r>
        <w:rPr>
          <w:spacing w:val="-8"/>
        </w:rPr>
        <w:t> </w:t>
      </w:r>
      <w:r>
        <w:rPr/>
        <w:t>Areas</w:t>
      </w:r>
      <w:r>
        <w:rPr>
          <w:spacing w:val="-8"/>
        </w:rPr>
        <w:t> </w:t>
      </w:r>
      <w:r>
        <w:rPr/>
        <w:t>(LGAs)</w:t>
      </w:r>
      <w:r>
        <w:rPr>
          <w:spacing w:val="-7"/>
        </w:rPr>
        <w:t> </w:t>
      </w:r>
      <w:r>
        <w:rPr/>
        <w:t>scale,</w:t>
      </w:r>
      <w:r>
        <w:rPr>
          <w:spacing w:val="-9"/>
        </w:rPr>
        <w:t> </w:t>
      </w:r>
      <w:r>
        <w:rPr/>
        <w:t>may</w:t>
      </w:r>
      <w:r>
        <w:rPr>
          <w:spacing w:val="-12"/>
        </w:rPr>
        <w:t> </w:t>
      </w:r>
      <w:r>
        <w:rPr/>
        <w:t>not</w:t>
      </w:r>
      <w:r>
        <w:rPr>
          <w:spacing w:val="-8"/>
        </w:rPr>
        <w:t> </w:t>
      </w:r>
      <w:r>
        <w:rPr/>
        <w:t>be far from being realistic, the derived LGAs water poverty index from such empirical investigation might significantly mask the actual poverty levels experienced in different communities</w:t>
      </w:r>
      <w:r>
        <w:rPr>
          <w:spacing w:val="-15"/>
        </w:rPr>
        <w:t> </w:t>
      </w:r>
      <w:r>
        <w:rPr/>
        <w:t>due</w:t>
      </w:r>
      <w:r>
        <w:rPr>
          <w:spacing w:val="-15"/>
        </w:rPr>
        <w:t> </w:t>
      </w:r>
      <w:r>
        <w:rPr/>
        <w:t>to</w:t>
      </w:r>
      <w:r>
        <w:rPr>
          <w:spacing w:val="-15"/>
        </w:rPr>
        <w:t> </w:t>
      </w:r>
      <w:r>
        <w:rPr/>
        <w:t>spatial</w:t>
      </w:r>
      <w:r>
        <w:rPr>
          <w:spacing w:val="-15"/>
        </w:rPr>
        <w:t> </w:t>
      </w:r>
      <w:r>
        <w:rPr/>
        <w:t>temporal</w:t>
      </w:r>
      <w:r>
        <w:rPr>
          <w:spacing w:val="-15"/>
        </w:rPr>
        <w:t> </w:t>
      </w:r>
      <w:r>
        <w:rPr/>
        <w:t>variations</w:t>
      </w:r>
      <w:r>
        <w:rPr>
          <w:spacing w:val="-15"/>
        </w:rPr>
        <w:t> </w:t>
      </w:r>
      <w:r>
        <w:rPr/>
        <w:t>of</w:t>
      </w:r>
      <w:r>
        <w:rPr>
          <w:spacing w:val="-15"/>
        </w:rPr>
        <w:t> </w:t>
      </w:r>
      <w:r>
        <w:rPr/>
        <w:t>water</w:t>
      </w:r>
      <w:r>
        <w:rPr>
          <w:spacing w:val="-15"/>
        </w:rPr>
        <w:t> </w:t>
      </w:r>
      <w:r>
        <w:rPr/>
        <w:t>scarcity</w:t>
      </w:r>
      <w:r>
        <w:rPr>
          <w:spacing w:val="-15"/>
        </w:rPr>
        <w:t> </w:t>
      </w:r>
      <w:r>
        <w:rPr/>
        <w:t>drivers</w:t>
      </w:r>
      <w:r>
        <w:rPr>
          <w:spacing w:val="-15"/>
        </w:rPr>
        <w:t> </w:t>
      </w:r>
      <w:r>
        <w:rPr/>
        <w:t>(Cullis</w:t>
      </w:r>
      <w:r>
        <w:rPr>
          <w:spacing w:val="-15"/>
        </w:rPr>
        <w:t> </w:t>
      </w:r>
      <w:r>
        <w:rPr/>
        <w:t>and</w:t>
      </w:r>
      <w:r>
        <w:rPr>
          <w:spacing w:val="-15"/>
        </w:rPr>
        <w:t> </w:t>
      </w:r>
      <w:r>
        <w:rPr/>
        <w:t>O’Regan, 2004; Gine and Perez-Foguet, 2009). Thus, necessitating the need to explore whether the generalization of such findings is applicable in a different geographical location, both at household and neighbourhood level.</w:t>
      </w:r>
    </w:p>
    <w:p>
      <w:pPr>
        <w:pStyle w:val="BodyText"/>
        <w:spacing w:before="9"/>
      </w:pPr>
    </w:p>
    <w:p>
      <w:pPr>
        <w:pStyle w:val="ListParagraph"/>
        <w:numPr>
          <w:ilvl w:val="1"/>
          <w:numId w:val="6"/>
        </w:numPr>
        <w:tabs>
          <w:tab w:pos="987" w:val="left" w:leader="none"/>
        </w:tabs>
        <w:spacing w:line="482" w:lineRule="auto" w:before="0" w:after="0"/>
        <w:ind w:left="267" w:right="727" w:firstLine="0"/>
        <w:jc w:val="left"/>
        <w:rPr>
          <w:sz w:val="24"/>
        </w:rPr>
      </w:pPr>
      <w:r>
        <w:rPr>
          <w:b/>
          <w:sz w:val="24"/>
        </w:rPr>
        <w:t>Conceptual Background on Aversion to Unreliable Water Supply and Coping </w:t>
      </w:r>
      <w:r>
        <w:rPr>
          <w:sz w:val="24"/>
        </w:rPr>
        <w:t>The lack of water supply to household’s manifest in different dimension: physical access,</w:t>
      </w:r>
      <w:r>
        <w:rPr>
          <w:spacing w:val="40"/>
          <w:sz w:val="24"/>
        </w:rPr>
        <w:t> </w:t>
      </w:r>
      <w:r>
        <w:rPr>
          <w:sz w:val="24"/>
        </w:rPr>
        <w:t>quantity,</w:t>
      </w:r>
      <w:r>
        <w:rPr>
          <w:spacing w:val="-15"/>
          <w:sz w:val="24"/>
        </w:rPr>
        <w:t> </w:t>
      </w:r>
      <w:r>
        <w:rPr>
          <w:sz w:val="24"/>
        </w:rPr>
        <w:t>quality,</w:t>
      </w:r>
      <w:r>
        <w:rPr>
          <w:spacing w:val="-15"/>
          <w:sz w:val="24"/>
        </w:rPr>
        <w:t> </w:t>
      </w:r>
      <w:r>
        <w:rPr>
          <w:sz w:val="24"/>
        </w:rPr>
        <w:t>continuity</w:t>
      </w:r>
      <w:r>
        <w:rPr>
          <w:spacing w:val="-17"/>
          <w:sz w:val="24"/>
        </w:rPr>
        <w:t> </w:t>
      </w:r>
      <w:r>
        <w:rPr>
          <w:sz w:val="24"/>
        </w:rPr>
        <w:t>and</w:t>
      </w:r>
      <w:r>
        <w:rPr>
          <w:spacing w:val="-15"/>
          <w:sz w:val="24"/>
        </w:rPr>
        <w:t> </w:t>
      </w:r>
      <w:r>
        <w:rPr>
          <w:sz w:val="24"/>
        </w:rPr>
        <w:t>affordability</w:t>
      </w:r>
      <w:r>
        <w:rPr>
          <w:spacing w:val="-17"/>
          <w:sz w:val="24"/>
        </w:rPr>
        <w:t> </w:t>
      </w:r>
      <w:r>
        <w:rPr>
          <w:sz w:val="24"/>
        </w:rPr>
        <w:t>(Nganyanyuka</w:t>
      </w:r>
      <w:r>
        <w:rPr>
          <w:spacing w:val="-15"/>
          <w:sz w:val="24"/>
        </w:rPr>
        <w:t> </w:t>
      </w:r>
      <w:r>
        <w:rPr>
          <w:i/>
          <w:sz w:val="24"/>
        </w:rPr>
        <w:t>et</w:t>
      </w:r>
      <w:r>
        <w:rPr>
          <w:i/>
          <w:spacing w:val="-15"/>
          <w:sz w:val="24"/>
        </w:rPr>
        <w:t> </w:t>
      </w:r>
      <w:r>
        <w:rPr>
          <w:i/>
          <w:sz w:val="24"/>
        </w:rPr>
        <w:t>al.</w:t>
      </w:r>
      <w:r>
        <w:rPr>
          <w:sz w:val="24"/>
        </w:rPr>
        <w:t>,</w:t>
      </w:r>
      <w:r>
        <w:rPr>
          <w:spacing w:val="-15"/>
          <w:sz w:val="24"/>
        </w:rPr>
        <w:t> </w:t>
      </w:r>
      <w:r>
        <w:rPr>
          <w:sz w:val="24"/>
        </w:rPr>
        <w:t>2014;</w:t>
      </w:r>
      <w:r>
        <w:rPr>
          <w:spacing w:val="-15"/>
          <w:sz w:val="24"/>
        </w:rPr>
        <w:t> </w:t>
      </w:r>
      <w:r>
        <w:rPr>
          <w:sz w:val="24"/>
        </w:rPr>
        <w:t>Nastiti</w:t>
      </w:r>
      <w:r>
        <w:rPr>
          <w:spacing w:val="-15"/>
          <w:sz w:val="24"/>
        </w:rPr>
        <w:t> </w:t>
      </w:r>
      <w:r>
        <w:rPr>
          <w:i/>
          <w:sz w:val="24"/>
        </w:rPr>
        <w:t>et</w:t>
      </w:r>
      <w:r>
        <w:rPr>
          <w:i/>
          <w:spacing w:val="-15"/>
          <w:sz w:val="24"/>
        </w:rPr>
        <w:t> </w:t>
      </w:r>
      <w:r>
        <w:rPr>
          <w:i/>
          <w:sz w:val="24"/>
        </w:rPr>
        <w:t>al.,</w:t>
      </w:r>
      <w:r>
        <w:rPr>
          <w:i/>
          <w:spacing w:val="-15"/>
          <w:sz w:val="24"/>
        </w:rPr>
        <w:t> </w:t>
      </w:r>
      <w:r>
        <w:rPr>
          <w:sz w:val="24"/>
        </w:rPr>
        <w:t>2017). Coping with such lack of water connotes living with conditions which are specific to, and</w:t>
      </w:r>
      <w:r>
        <w:rPr>
          <w:spacing w:val="40"/>
          <w:sz w:val="24"/>
        </w:rPr>
        <w:t> </w:t>
      </w:r>
      <w:r>
        <w:rPr>
          <w:sz w:val="24"/>
        </w:rPr>
        <w:t>dictated</w:t>
      </w:r>
      <w:r>
        <w:rPr>
          <w:spacing w:val="40"/>
          <w:sz w:val="24"/>
        </w:rPr>
        <w:t> </w:t>
      </w:r>
      <w:r>
        <w:rPr>
          <w:sz w:val="24"/>
        </w:rPr>
        <w:t>by</w:t>
      </w:r>
      <w:r>
        <w:rPr>
          <w:spacing w:val="40"/>
          <w:sz w:val="24"/>
        </w:rPr>
        <w:t> </w:t>
      </w:r>
      <w:r>
        <w:rPr>
          <w:sz w:val="24"/>
        </w:rPr>
        <w:t>limited</w:t>
      </w:r>
      <w:r>
        <w:rPr>
          <w:spacing w:val="40"/>
          <w:sz w:val="24"/>
        </w:rPr>
        <w:t> </w:t>
      </w:r>
      <w:r>
        <w:rPr>
          <w:sz w:val="24"/>
        </w:rPr>
        <w:t>available</w:t>
      </w:r>
      <w:r>
        <w:rPr>
          <w:spacing w:val="40"/>
          <w:sz w:val="24"/>
        </w:rPr>
        <w:t> </w:t>
      </w:r>
      <w:r>
        <w:rPr>
          <w:sz w:val="24"/>
        </w:rPr>
        <w:t>water</w:t>
      </w:r>
      <w:r>
        <w:rPr>
          <w:spacing w:val="40"/>
          <w:sz w:val="24"/>
        </w:rPr>
        <w:t> </w:t>
      </w:r>
      <w:r>
        <w:rPr>
          <w:sz w:val="24"/>
        </w:rPr>
        <w:t>resources</w:t>
      </w:r>
      <w:r>
        <w:rPr>
          <w:spacing w:val="40"/>
          <w:sz w:val="24"/>
        </w:rPr>
        <w:t> </w:t>
      </w:r>
      <w:r>
        <w:rPr>
          <w:sz w:val="24"/>
        </w:rPr>
        <w:t>(Pereira</w:t>
      </w:r>
      <w:r>
        <w:rPr>
          <w:spacing w:val="40"/>
          <w:sz w:val="24"/>
        </w:rPr>
        <w:t> </w:t>
      </w:r>
      <w:r>
        <w:rPr>
          <w:i/>
          <w:sz w:val="24"/>
        </w:rPr>
        <w:t>et</w:t>
      </w:r>
      <w:r>
        <w:rPr>
          <w:i/>
          <w:spacing w:val="40"/>
          <w:sz w:val="24"/>
        </w:rPr>
        <w:t> </w:t>
      </w:r>
      <w:r>
        <w:rPr>
          <w:i/>
          <w:sz w:val="24"/>
        </w:rPr>
        <w:t>al.</w:t>
      </w:r>
      <w:r>
        <w:rPr>
          <w:sz w:val="24"/>
        </w:rPr>
        <w:t>,</w:t>
      </w:r>
      <w:r>
        <w:rPr>
          <w:spacing w:val="40"/>
          <w:sz w:val="24"/>
        </w:rPr>
        <w:t> </w:t>
      </w:r>
      <w:r>
        <w:rPr>
          <w:sz w:val="24"/>
        </w:rPr>
        <w:t>2009).</w:t>
      </w:r>
      <w:r>
        <w:rPr>
          <w:spacing w:val="40"/>
          <w:sz w:val="24"/>
        </w:rPr>
        <w:t> </w:t>
      </w:r>
      <w:r>
        <w:rPr>
          <w:sz w:val="24"/>
        </w:rPr>
        <w:t>The</w:t>
      </w:r>
      <w:r>
        <w:rPr>
          <w:spacing w:val="40"/>
          <w:sz w:val="24"/>
        </w:rPr>
        <w:t> </w:t>
      </w:r>
      <w:r>
        <w:rPr>
          <w:sz w:val="24"/>
        </w:rPr>
        <w:t>link</w:t>
      </w:r>
      <w:r>
        <w:rPr>
          <w:spacing w:val="40"/>
          <w:sz w:val="24"/>
        </w:rPr>
        <w:t> </w:t>
      </w:r>
      <w:r>
        <w:rPr>
          <w:sz w:val="24"/>
        </w:rPr>
        <w:t>between</w:t>
      </w:r>
      <w:r>
        <w:rPr>
          <w:spacing w:val="40"/>
          <w:sz w:val="24"/>
        </w:rPr>
        <w:t> </w:t>
      </w:r>
      <w:r>
        <w:rPr>
          <w:sz w:val="24"/>
        </w:rPr>
        <w:t>inadequacy</w:t>
      </w:r>
      <w:r>
        <w:rPr>
          <w:spacing w:val="41"/>
          <w:sz w:val="24"/>
        </w:rPr>
        <w:t> </w:t>
      </w:r>
      <w:r>
        <w:rPr>
          <w:sz w:val="24"/>
        </w:rPr>
        <w:t>relating</w:t>
      </w:r>
      <w:r>
        <w:rPr>
          <w:spacing w:val="45"/>
          <w:sz w:val="24"/>
        </w:rPr>
        <w:t> </w:t>
      </w:r>
      <w:r>
        <w:rPr>
          <w:sz w:val="24"/>
        </w:rPr>
        <w:t>to</w:t>
      </w:r>
      <w:r>
        <w:rPr>
          <w:spacing w:val="47"/>
          <w:sz w:val="24"/>
        </w:rPr>
        <w:t> </w:t>
      </w:r>
      <w:r>
        <w:rPr>
          <w:sz w:val="24"/>
        </w:rPr>
        <w:t>the</w:t>
      </w:r>
      <w:r>
        <w:rPr>
          <w:spacing w:val="47"/>
          <w:sz w:val="24"/>
        </w:rPr>
        <w:t> </w:t>
      </w:r>
      <w:r>
        <w:rPr>
          <w:sz w:val="24"/>
        </w:rPr>
        <w:t>dimensions</w:t>
      </w:r>
      <w:r>
        <w:rPr>
          <w:spacing w:val="47"/>
          <w:sz w:val="24"/>
        </w:rPr>
        <w:t> </w:t>
      </w:r>
      <w:r>
        <w:rPr>
          <w:sz w:val="24"/>
        </w:rPr>
        <w:t>of</w:t>
      </w:r>
      <w:r>
        <w:rPr>
          <w:spacing w:val="47"/>
          <w:sz w:val="24"/>
        </w:rPr>
        <w:t> </w:t>
      </w:r>
      <w:r>
        <w:rPr>
          <w:sz w:val="24"/>
        </w:rPr>
        <w:t>access</w:t>
      </w:r>
      <w:r>
        <w:rPr>
          <w:spacing w:val="48"/>
          <w:sz w:val="24"/>
        </w:rPr>
        <w:t> </w:t>
      </w:r>
      <w:r>
        <w:rPr>
          <w:sz w:val="24"/>
        </w:rPr>
        <w:t>to</w:t>
      </w:r>
      <w:r>
        <w:rPr>
          <w:spacing w:val="51"/>
          <w:sz w:val="24"/>
        </w:rPr>
        <w:t> </w:t>
      </w:r>
      <w:r>
        <w:rPr>
          <w:sz w:val="24"/>
        </w:rPr>
        <w:t>water</w:t>
      </w:r>
      <w:r>
        <w:rPr>
          <w:spacing w:val="46"/>
          <w:sz w:val="24"/>
        </w:rPr>
        <w:t> </w:t>
      </w:r>
      <w:r>
        <w:rPr>
          <w:sz w:val="24"/>
        </w:rPr>
        <w:t>supply</w:t>
      </w:r>
      <w:r>
        <w:rPr>
          <w:spacing w:val="39"/>
          <w:sz w:val="24"/>
        </w:rPr>
        <w:t> </w:t>
      </w:r>
      <w:r>
        <w:rPr>
          <w:sz w:val="24"/>
        </w:rPr>
        <w:t>and</w:t>
      </w:r>
      <w:r>
        <w:rPr>
          <w:spacing w:val="47"/>
          <w:sz w:val="24"/>
        </w:rPr>
        <w:t> </w:t>
      </w:r>
      <w:r>
        <w:rPr>
          <w:sz w:val="24"/>
        </w:rPr>
        <w:t>household</w:t>
      </w:r>
      <w:r>
        <w:rPr>
          <w:spacing w:val="48"/>
          <w:sz w:val="24"/>
        </w:rPr>
        <w:t> </w:t>
      </w:r>
      <w:r>
        <w:rPr>
          <w:spacing w:val="-2"/>
          <w:sz w:val="24"/>
        </w:rPr>
        <w:t>coping</w:t>
      </w:r>
    </w:p>
    <w:p>
      <w:pPr>
        <w:pStyle w:val="BodyText"/>
        <w:spacing w:line="275" w:lineRule="exact"/>
        <w:ind w:left="267"/>
        <w:jc w:val="both"/>
      </w:pPr>
      <w:r>
        <w:rPr>
          <w:spacing w:val="-2"/>
        </w:rPr>
        <w:t>strategies</w:t>
      </w:r>
      <w:r>
        <w:rPr>
          <w:spacing w:val="-7"/>
        </w:rPr>
        <w:t> </w:t>
      </w:r>
      <w:r>
        <w:rPr>
          <w:spacing w:val="-2"/>
        </w:rPr>
        <w:t>is</w:t>
      </w:r>
      <w:r>
        <w:rPr>
          <w:spacing w:val="-4"/>
        </w:rPr>
        <w:t> </w:t>
      </w:r>
      <w:r>
        <w:rPr>
          <w:spacing w:val="-2"/>
        </w:rPr>
        <w:t>often</w:t>
      </w:r>
      <w:r>
        <w:rPr>
          <w:spacing w:val="-5"/>
        </w:rPr>
        <w:t> </w:t>
      </w:r>
      <w:r>
        <w:rPr>
          <w:spacing w:val="-2"/>
        </w:rPr>
        <w:t>presented</w:t>
      </w:r>
      <w:r>
        <w:rPr>
          <w:spacing w:val="-4"/>
        </w:rPr>
        <w:t> </w:t>
      </w:r>
      <w:r>
        <w:rPr>
          <w:spacing w:val="-2"/>
        </w:rPr>
        <w:t>in</w:t>
      </w:r>
      <w:r>
        <w:rPr>
          <w:spacing w:val="-4"/>
        </w:rPr>
        <w:t> </w:t>
      </w:r>
      <w:r>
        <w:rPr>
          <w:spacing w:val="-2"/>
        </w:rPr>
        <w:t>literature</w:t>
      </w:r>
      <w:r>
        <w:rPr>
          <w:spacing w:val="-6"/>
        </w:rPr>
        <w:t> </w:t>
      </w:r>
      <w:r>
        <w:rPr>
          <w:spacing w:val="-2"/>
        </w:rPr>
        <w:t>as</w:t>
      </w:r>
      <w:r>
        <w:rPr>
          <w:spacing w:val="-1"/>
        </w:rPr>
        <w:t> </w:t>
      </w:r>
      <w:r>
        <w:rPr>
          <w:spacing w:val="-2"/>
        </w:rPr>
        <w:t>“aversion</w:t>
      </w:r>
      <w:r>
        <w:rPr>
          <w:spacing w:val="-5"/>
        </w:rPr>
        <w:t> </w:t>
      </w:r>
      <w:r>
        <w:rPr>
          <w:spacing w:val="-2"/>
        </w:rPr>
        <w:t>behaviour”</w:t>
      </w:r>
      <w:r>
        <w:rPr>
          <w:spacing w:val="-3"/>
        </w:rPr>
        <w:t> </w:t>
      </w:r>
      <w:r>
        <w:rPr>
          <w:spacing w:val="-2"/>
        </w:rPr>
        <w:t>(Abraham</w:t>
      </w:r>
      <w:r>
        <w:rPr>
          <w:spacing w:val="2"/>
        </w:rPr>
        <w:t> </w:t>
      </w:r>
      <w:r>
        <w:rPr>
          <w:i/>
          <w:spacing w:val="-2"/>
        </w:rPr>
        <w:t>et</w:t>
      </w:r>
      <w:r>
        <w:rPr>
          <w:i/>
          <w:spacing w:val="-3"/>
        </w:rPr>
        <w:t> </w:t>
      </w:r>
      <w:r>
        <w:rPr>
          <w:i/>
          <w:spacing w:val="-2"/>
        </w:rPr>
        <w:t>al.</w:t>
      </w:r>
      <w:r>
        <w:rPr>
          <w:spacing w:val="-2"/>
        </w:rPr>
        <w:t>,</w:t>
      </w:r>
      <w:r>
        <w:rPr>
          <w:spacing w:val="-5"/>
        </w:rPr>
        <w:t> </w:t>
      </w:r>
      <w:r>
        <w:rPr>
          <w:spacing w:val="-2"/>
        </w:rPr>
        <w:t>2000;</w:t>
      </w:r>
      <w:r>
        <w:rPr>
          <w:spacing w:val="-3"/>
        </w:rPr>
        <w:t> </w:t>
      </w:r>
      <w:r>
        <w:rPr>
          <w:spacing w:val="-2"/>
        </w:rPr>
        <w:t>Jakus</w:t>
      </w:r>
    </w:p>
    <w:p>
      <w:pPr>
        <w:spacing w:after="0" w:line="275" w:lineRule="exact"/>
        <w:jc w:val="both"/>
        <w:sectPr>
          <w:pgSz w:w="12240" w:h="15840"/>
          <w:pgMar w:header="0" w:footer="1068" w:top="1340" w:bottom="1260" w:left="1720" w:right="680"/>
        </w:sectPr>
      </w:pPr>
    </w:p>
    <w:p>
      <w:pPr>
        <w:pStyle w:val="BodyText"/>
        <w:spacing w:line="480" w:lineRule="auto" w:before="63"/>
        <w:ind w:left="267" w:right="724"/>
        <w:jc w:val="both"/>
      </w:pPr>
      <w:r>
        <w:rPr>
          <w:i/>
        </w:rPr>
        <w:t>et al.</w:t>
      </w:r>
      <w:r>
        <w:rPr/>
        <w:t>, 2009; Nastiti </w:t>
      </w:r>
      <w:r>
        <w:rPr>
          <w:i/>
        </w:rPr>
        <w:t>et al.</w:t>
      </w:r>
      <w:r>
        <w:rPr/>
        <w:t>, 2017). In the literature, the concept of aversion behaviour is analogous to that used in behavioral and environmental economics to measure and mitigate economic issues such as damages resulting from environmental externalities. Research on averting</w:t>
      </w:r>
      <w:r>
        <w:rPr>
          <w:spacing w:val="-3"/>
        </w:rPr>
        <w:t> </w:t>
      </w:r>
      <w:r>
        <w:rPr/>
        <w:t>behaviour</w:t>
      </w:r>
      <w:r>
        <w:rPr>
          <w:spacing w:val="-1"/>
        </w:rPr>
        <w:t> </w:t>
      </w:r>
      <w:r>
        <w:rPr/>
        <w:t>suggests that households tend</w:t>
      </w:r>
      <w:r>
        <w:rPr>
          <w:spacing w:val="-1"/>
        </w:rPr>
        <w:t> </w:t>
      </w:r>
      <w:r>
        <w:rPr/>
        <w:t>to implement diverse</w:t>
      </w:r>
      <w:r>
        <w:rPr>
          <w:spacing w:val="-1"/>
        </w:rPr>
        <w:t> </w:t>
      </w:r>
      <w:r>
        <w:rPr/>
        <w:t>measures in order to adapt or reduce their exposure to risk and uncertainty resulting from poor water supply (Abraham</w:t>
      </w:r>
      <w:r>
        <w:rPr>
          <w:spacing w:val="-3"/>
        </w:rPr>
        <w:t> </w:t>
      </w:r>
      <w:r>
        <w:rPr>
          <w:i/>
        </w:rPr>
        <w:t>et</w:t>
      </w:r>
      <w:r>
        <w:rPr>
          <w:i/>
          <w:spacing w:val="-3"/>
        </w:rPr>
        <w:t> </w:t>
      </w:r>
      <w:r>
        <w:rPr>
          <w:i/>
        </w:rPr>
        <w:t>al.</w:t>
      </w:r>
      <w:r>
        <w:rPr/>
        <w:t>,</w:t>
      </w:r>
      <w:r>
        <w:rPr>
          <w:spacing w:val="-3"/>
        </w:rPr>
        <w:t> </w:t>
      </w:r>
      <w:r>
        <w:rPr/>
        <w:t>2000;</w:t>
      </w:r>
      <w:r>
        <w:rPr>
          <w:spacing w:val="-5"/>
        </w:rPr>
        <w:t> </w:t>
      </w:r>
      <w:r>
        <w:rPr/>
        <w:t>Yoo,</w:t>
      </w:r>
      <w:r>
        <w:rPr>
          <w:spacing w:val="-3"/>
        </w:rPr>
        <w:t> </w:t>
      </w:r>
      <w:r>
        <w:rPr/>
        <w:t>2005;</w:t>
      </w:r>
      <w:r>
        <w:rPr>
          <w:spacing w:val="-3"/>
        </w:rPr>
        <w:t> </w:t>
      </w:r>
      <w:r>
        <w:rPr/>
        <w:t>Vasquez,</w:t>
      </w:r>
      <w:r>
        <w:rPr>
          <w:spacing w:val="-3"/>
        </w:rPr>
        <w:t> </w:t>
      </w:r>
      <w:r>
        <w:rPr/>
        <w:t>2012;</w:t>
      </w:r>
      <w:r>
        <w:rPr>
          <w:spacing w:val="-3"/>
        </w:rPr>
        <w:t> </w:t>
      </w:r>
      <w:r>
        <w:rPr/>
        <w:t>Nastiti</w:t>
      </w:r>
      <w:r>
        <w:rPr>
          <w:spacing w:val="-1"/>
        </w:rPr>
        <w:t> </w:t>
      </w:r>
      <w:r>
        <w:rPr>
          <w:i/>
        </w:rPr>
        <w:t>et</w:t>
      </w:r>
      <w:r>
        <w:rPr>
          <w:i/>
          <w:spacing w:val="-5"/>
        </w:rPr>
        <w:t> </w:t>
      </w:r>
      <w:r>
        <w:rPr>
          <w:i/>
        </w:rPr>
        <w:t>al.</w:t>
      </w:r>
      <w:r>
        <w:rPr/>
        <w:t>,</w:t>
      </w:r>
      <w:r>
        <w:rPr>
          <w:spacing w:val="-3"/>
        </w:rPr>
        <w:t> </w:t>
      </w:r>
      <w:r>
        <w:rPr/>
        <w:t>2017).</w:t>
      </w:r>
      <w:r>
        <w:rPr>
          <w:spacing w:val="-6"/>
        </w:rPr>
        <w:t> </w:t>
      </w:r>
      <w:r>
        <w:rPr/>
        <w:t>Following</w:t>
      </w:r>
      <w:r>
        <w:rPr>
          <w:spacing w:val="-6"/>
        </w:rPr>
        <w:t> </w:t>
      </w:r>
      <w:r>
        <w:rPr/>
        <w:t>Um</w:t>
      </w:r>
      <w:r>
        <w:rPr>
          <w:spacing w:val="-3"/>
        </w:rPr>
        <w:t> </w:t>
      </w:r>
      <w:r>
        <w:rPr>
          <w:i/>
        </w:rPr>
        <w:t>et</w:t>
      </w:r>
      <w:r>
        <w:rPr>
          <w:i/>
          <w:spacing w:val="-3"/>
        </w:rPr>
        <w:t> </w:t>
      </w:r>
      <w:r>
        <w:rPr>
          <w:i/>
        </w:rPr>
        <w:t>al. </w:t>
      </w:r>
      <w:r>
        <w:rPr/>
        <w:t>(2002) analytical framework on averting behaviour, households’ adoption of any averting behaviour(s) to unreliable water supply emerges from a two (2) step generic process: First, households form their perceptions of the level of water services when exposed to unreliable water supply services. Secondly, based on their perceptions, households adopt a variety of averting measures that may reduce the perceived risks.</w:t>
      </w:r>
    </w:p>
    <w:p>
      <w:pPr>
        <w:pStyle w:val="BodyText"/>
        <w:spacing w:before="1"/>
      </w:pPr>
    </w:p>
    <w:p>
      <w:pPr>
        <w:pStyle w:val="BodyText"/>
        <w:spacing w:line="480" w:lineRule="auto"/>
        <w:ind w:left="267" w:right="726"/>
        <w:jc w:val="both"/>
      </w:pPr>
      <w:r>
        <w:rPr/>
        <w:t>As a starting point, to provide its conceptual clarity, the research by Kudat </w:t>
      </w:r>
      <w:r>
        <w:rPr>
          <w:i/>
        </w:rPr>
        <w:t>et al. </w:t>
      </w:r>
      <w:r>
        <w:rPr/>
        <w:t>(1993), Humplick </w:t>
      </w:r>
      <w:r>
        <w:rPr>
          <w:i/>
        </w:rPr>
        <w:t>et al. </w:t>
      </w:r>
      <w:r>
        <w:rPr/>
        <w:t>(1993) and Madannat and Humplick (1993) represent some of the earliest concepts developed to systematically provide explanations on the unreliability of water supply and its negative impact on households in the three countries of India, Turkey and Pakistan.</w:t>
      </w:r>
      <w:r>
        <w:rPr>
          <w:spacing w:val="-13"/>
        </w:rPr>
        <w:t> </w:t>
      </w:r>
      <w:r>
        <w:rPr/>
        <w:t>However,</w:t>
      </w:r>
      <w:r>
        <w:rPr>
          <w:spacing w:val="-13"/>
        </w:rPr>
        <w:t> </w:t>
      </w:r>
      <w:r>
        <w:rPr/>
        <w:t>the</w:t>
      </w:r>
      <w:r>
        <w:rPr>
          <w:spacing w:val="-13"/>
        </w:rPr>
        <w:t> </w:t>
      </w:r>
      <w:r>
        <w:rPr/>
        <w:t>study</w:t>
      </w:r>
      <w:r>
        <w:rPr>
          <w:spacing w:val="-14"/>
        </w:rPr>
        <w:t> </w:t>
      </w:r>
      <w:r>
        <w:rPr/>
        <w:t>by</w:t>
      </w:r>
      <w:r>
        <w:rPr>
          <w:spacing w:val="-15"/>
        </w:rPr>
        <w:t> </w:t>
      </w:r>
      <w:r>
        <w:rPr/>
        <w:t>Majuru</w:t>
      </w:r>
      <w:r>
        <w:rPr>
          <w:spacing w:val="-10"/>
        </w:rPr>
        <w:t> </w:t>
      </w:r>
      <w:r>
        <w:rPr/>
        <w:t>(2015)</w:t>
      </w:r>
      <w:r>
        <w:rPr>
          <w:spacing w:val="-13"/>
        </w:rPr>
        <w:t> </w:t>
      </w:r>
      <w:r>
        <w:rPr/>
        <w:t>noted</w:t>
      </w:r>
      <w:r>
        <w:rPr>
          <w:spacing w:val="-13"/>
        </w:rPr>
        <w:t> </w:t>
      </w:r>
      <w:r>
        <w:rPr/>
        <w:t>that</w:t>
      </w:r>
      <w:r>
        <w:rPr>
          <w:spacing w:val="-12"/>
        </w:rPr>
        <w:t> </w:t>
      </w:r>
      <w:r>
        <w:rPr/>
        <w:t>the</w:t>
      </w:r>
      <w:r>
        <w:rPr>
          <w:spacing w:val="-10"/>
        </w:rPr>
        <w:t> </w:t>
      </w:r>
      <w:r>
        <w:rPr/>
        <w:t>subsequent</w:t>
      </w:r>
      <w:r>
        <w:rPr>
          <w:spacing w:val="-9"/>
        </w:rPr>
        <w:t> </w:t>
      </w:r>
      <w:r>
        <w:rPr/>
        <w:t>application</w:t>
      </w:r>
      <w:r>
        <w:rPr>
          <w:spacing w:val="-12"/>
        </w:rPr>
        <w:t> </w:t>
      </w:r>
      <w:r>
        <w:rPr/>
        <w:t>of</w:t>
      </w:r>
      <w:r>
        <w:rPr>
          <w:spacing w:val="-7"/>
        </w:rPr>
        <w:t> </w:t>
      </w:r>
      <w:r>
        <w:rPr/>
        <w:t>their conceptual</w:t>
      </w:r>
      <w:r>
        <w:rPr>
          <w:spacing w:val="-1"/>
        </w:rPr>
        <w:t> </w:t>
      </w:r>
      <w:r>
        <w:rPr/>
        <w:t>framework</w:t>
      </w:r>
      <w:r>
        <w:rPr>
          <w:spacing w:val="-2"/>
        </w:rPr>
        <w:t> </w:t>
      </w:r>
      <w:r>
        <w:rPr/>
        <w:t>by</w:t>
      </w:r>
      <w:r>
        <w:rPr>
          <w:spacing w:val="-4"/>
        </w:rPr>
        <w:t> </w:t>
      </w:r>
      <w:r>
        <w:rPr/>
        <w:t>Kudat </w:t>
      </w:r>
      <w:r>
        <w:rPr>
          <w:i/>
        </w:rPr>
        <w:t>et</w:t>
      </w:r>
      <w:r>
        <w:rPr>
          <w:i/>
          <w:spacing w:val="-1"/>
        </w:rPr>
        <w:t> </w:t>
      </w:r>
      <w:r>
        <w:rPr>
          <w:i/>
        </w:rPr>
        <w:t>al. </w:t>
      </w:r>
      <w:r>
        <w:rPr/>
        <w:t>(1997)</w:t>
      </w:r>
      <w:r>
        <w:rPr>
          <w:spacing w:val="-2"/>
        </w:rPr>
        <w:t> </w:t>
      </w:r>
      <w:r>
        <w:rPr/>
        <w:t>to</w:t>
      </w:r>
      <w:r>
        <w:rPr>
          <w:spacing w:val="-1"/>
        </w:rPr>
        <w:t> </w:t>
      </w:r>
      <w:r>
        <w:rPr/>
        <w:t>a</w:t>
      </w:r>
      <w:r>
        <w:rPr>
          <w:spacing w:val="-4"/>
        </w:rPr>
        <w:t> </w:t>
      </w:r>
      <w:r>
        <w:rPr/>
        <w:t>World</w:t>
      </w:r>
      <w:r>
        <w:rPr>
          <w:spacing w:val="-2"/>
        </w:rPr>
        <w:t> </w:t>
      </w:r>
      <w:r>
        <w:rPr/>
        <w:t>Bank</w:t>
      </w:r>
      <w:r>
        <w:rPr>
          <w:spacing w:val="-1"/>
        </w:rPr>
        <w:t> </w:t>
      </w:r>
      <w:r>
        <w:rPr/>
        <w:t>funded</w:t>
      </w:r>
      <w:r>
        <w:rPr>
          <w:spacing w:val="-1"/>
        </w:rPr>
        <w:t> </w:t>
      </w:r>
      <w:r>
        <w:rPr/>
        <w:t>project</w:t>
      </w:r>
      <w:r>
        <w:rPr>
          <w:spacing w:val="-1"/>
        </w:rPr>
        <w:t> </w:t>
      </w:r>
      <w:r>
        <w:rPr/>
        <w:t>in</w:t>
      </w:r>
      <w:r>
        <w:rPr>
          <w:spacing w:val="-1"/>
        </w:rPr>
        <w:t> </w:t>
      </w:r>
      <w:r>
        <w:rPr/>
        <w:t>Azerbarjan provided</w:t>
      </w:r>
      <w:r>
        <w:rPr>
          <w:spacing w:val="-11"/>
        </w:rPr>
        <w:t> </w:t>
      </w:r>
      <w:r>
        <w:rPr/>
        <w:t>a</w:t>
      </w:r>
      <w:r>
        <w:rPr>
          <w:spacing w:val="-12"/>
        </w:rPr>
        <w:t> </w:t>
      </w:r>
      <w:r>
        <w:rPr/>
        <w:t>benchmark</w:t>
      </w:r>
      <w:r>
        <w:rPr>
          <w:spacing w:val="-11"/>
        </w:rPr>
        <w:t> </w:t>
      </w:r>
      <w:r>
        <w:rPr/>
        <w:t>for</w:t>
      </w:r>
      <w:r>
        <w:rPr>
          <w:spacing w:val="-11"/>
        </w:rPr>
        <w:t> </w:t>
      </w:r>
      <w:r>
        <w:rPr/>
        <w:t>much</w:t>
      </w:r>
      <w:r>
        <w:rPr>
          <w:spacing w:val="-11"/>
        </w:rPr>
        <w:t> </w:t>
      </w:r>
      <w:r>
        <w:rPr/>
        <w:t>of</w:t>
      </w:r>
      <w:r>
        <w:rPr>
          <w:spacing w:val="-11"/>
        </w:rPr>
        <w:t> </w:t>
      </w:r>
      <w:r>
        <w:rPr/>
        <w:t>the</w:t>
      </w:r>
      <w:r>
        <w:rPr>
          <w:spacing w:val="-10"/>
        </w:rPr>
        <w:t> </w:t>
      </w:r>
      <w:r>
        <w:rPr/>
        <w:t>often-cited</w:t>
      </w:r>
      <w:r>
        <w:rPr>
          <w:spacing w:val="-7"/>
        </w:rPr>
        <w:t> </w:t>
      </w:r>
      <w:r>
        <w:rPr/>
        <w:t>research</w:t>
      </w:r>
      <w:r>
        <w:rPr>
          <w:spacing w:val="-11"/>
        </w:rPr>
        <w:t> </w:t>
      </w:r>
      <w:r>
        <w:rPr/>
        <w:t>on</w:t>
      </w:r>
      <w:r>
        <w:rPr>
          <w:spacing w:val="-8"/>
        </w:rPr>
        <w:t> </w:t>
      </w:r>
      <w:r>
        <w:rPr/>
        <w:t>water</w:t>
      </w:r>
      <w:r>
        <w:rPr>
          <w:spacing w:val="-11"/>
        </w:rPr>
        <w:t> </w:t>
      </w:r>
      <w:r>
        <w:rPr/>
        <w:t>coping</w:t>
      </w:r>
      <w:r>
        <w:rPr>
          <w:spacing w:val="-11"/>
        </w:rPr>
        <w:t> </w:t>
      </w:r>
      <w:r>
        <w:rPr/>
        <w:t>strategies.</w:t>
      </w:r>
      <w:r>
        <w:rPr>
          <w:spacing w:val="-7"/>
        </w:rPr>
        <w:t> </w:t>
      </w:r>
      <w:r>
        <w:rPr/>
        <w:t>Based on their conceptual framework, it was noted that water supply to households has the three important</w:t>
      </w:r>
      <w:r>
        <w:rPr>
          <w:spacing w:val="-3"/>
        </w:rPr>
        <w:t> </w:t>
      </w:r>
      <w:r>
        <w:rPr/>
        <w:t>attributes</w:t>
      </w:r>
      <w:r>
        <w:rPr>
          <w:spacing w:val="-3"/>
        </w:rPr>
        <w:t> </w:t>
      </w:r>
      <w:r>
        <w:rPr/>
        <w:t>of</w:t>
      </w:r>
      <w:r>
        <w:rPr>
          <w:spacing w:val="-3"/>
        </w:rPr>
        <w:t> </w:t>
      </w:r>
      <w:r>
        <w:rPr/>
        <w:t>quality,</w:t>
      </w:r>
      <w:r>
        <w:rPr>
          <w:spacing w:val="-3"/>
        </w:rPr>
        <w:t> </w:t>
      </w:r>
      <w:r>
        <w:rPr/>
        <w:t>availability</w:t>
      </w:r>
      <w:r>
        <w:rPr>
          <w:spacing w:val="-8"/>
        </w:rPr>
        <w:t> </w:t>
      </w:r>
      <w:r>
        <w:rPr/>
        <w:t>in</w:t>
      </w:r>
      <w:r>
        <w:rPr>
          <w:spacing w:val="-3"/>
        </w:rPr>
        <w:t> </w:t>
      </w:r>
      <w:r>
        <w:rPr/>
        <w:t>terms</w:t>
      </w:r>
      <w:r>
        <w:rPr>
          <w:spacing w:val="-3"/>
        </w:rPr>
        <w:t> </w:t>
      </w:r>
      <w:r>
        <w:rPr/>
        <w:t>of</w:t>
      </w:r>
      <w:r>
        <w:rPr>
          <w:spacing w:val="-4"/>
        </w:rPr>
        <w:t> </w:t>
      </w:r>
      <w:r>
        <w:rPr/>
        <w:t>quantity</w:t>
      </w:r>
      <w:r>
        <w:rPr>
          <w:spacing w:val="-11"/>
        </w:rPr>
        <w:t> </w:t>
      </w:r>
      <w:r>
        <w:rPr/>
        <w:t>and</w:t>
      </w:r>
      <w:r>
        <w:rPr>
          <w:spacing w:val="-3"/>
        </w:rPr>
        <w:t> </w:t>
      </w:r>
      <w:r>
        <w:rPr/>
        <w:t>pressure.</w:t>
      </w:r>
      <w:r>
        <w:rPr>
          <w:spacing w:val="-3"/>
        </w:rPr>
        <w:t> </w:t>
      </w:r>
      <w:r>
        <w:rPr/>
        <w:t>The</w:t>
      </w:r>
      <w:r>
        <w:rPr>
          <w:spacing w:val="-5"/>
        </w:rPr>
        <w:t> </w:t>
      </w:r>
      <w:r>
        <w:rPr/>
        <w:t>absence</w:t>
      </w:r>
      <w:r>
        <w:rPr>
          <w:spacing w:val="-4"/>
        </w:rPr>
        <w:t> </w:t>
      </w:r>
      <w:r>
        <w:rPr/>
        <w:t>of water</w:t>
      </w:r>
      <w:r>
        <w:rPr>
          <w:spacing w:val="-2"/>
        </w:rPr>
        <w:t> </w:t>
      </w:r>
      <w:r>
        <w:rPr/>
        <w:t>supply</w:t>
      </w:r>
      <w:r>
        <w:rPr>
          <w:spacing w:val="-5"/>
        </w:rPr>
        <w:t> </w:t>
      </w:r>
      <w:r>
        <w:rPr/>
        <w:t>in meeting</w:t>
      </w:r>
      <w:r>
        <w:rPr>
          <w:spacing w:val="-3"/>
        </w:rPr>
        <w:t> </w:t>
      </w:r>
      <w:r>
        <w:rPr/>
        <w:t>these</w:t>
      </w:r>
      <w:r>
        <w:rPr>
          <w:spacing w:val="-1"/>
        </w:rPr>
        <w:t> </w:t>
      </w:r>
      <w:r>
        <w:rPr/>
        <w:t>three attributes at optimal levels suggests that water</w:t>
      </w:r>
      <w:r>
        <w:rPr>
          <w:spacing w:val="-2"/>
        </w:rPr>
        <w:t> </w:t>
      </w:r>
      <w:r>
        <w:rPr/>
        <w:t>supply</w:t>
      </w:r>
      <w:r>
        <w:rPr>
          <w:spacing w:val="-5"/>
        </w:rPr>
        <w:t> </w:t>
      </w:r>
      <w:r>
        <w:rPr/>
        <w:t>is unreliable</w:t>
      </w:r>
      <w:r>
        <w:rPr>
          <w:spacing w:val="-10"/>
        </w:rPr>
        <w:t> </w:t>
      </w:r>
      <w:r>
        <w:rPr/>
        <w:t>and,</w:t>
      </w:r>
      <w:r>
        <w:rPr>
          <w:spacing w:val="-9"/>
        </w:rPr>
        <w:t> </w:t>
      </w:r>
      <w:r>
        <w:rPr/>
        <w:t>households</w:t>
      </w:r>
      <w:r>
        <w:rPr>
          <w:spacing w:val="-9"/>
        </w:rPr>
        <w:t> </w:t>
      </w:r>
      <w:r>
        <w:rPr/>
        <w:t>will</w:t>
      </w:r>
      <w:r>
        <w:rPr>
          <w:spacing w:val="-9"/>
        </w:rPr>
        <w:t> </w:t>
      </w:r>
      <w:r>
        <w:rPr/>
        <w:t>adopt</w:t>
      </w:r>
      <w:r>
        <w:rPr>
          <w:spacing w:val="-9"/>
        </w:rPr>
        <w:t> </w:t>
      </w:r>
      <w:r>
        <w:rPr/>
        <w:t>adaptive</w:t>
      </w:r>
      <w:r>
        <w:rPr>
          <w:spacing w:val="-10"/>
        </w:rPr>
        <w:t> </w:t>
      </w:r>
      <w:r>
        <w:rPr/>
        <w:t>strategies</w:t>
      </w:r>
      <w:r>
        <w:rPr>
          <w:spacing w:val="-10"/>
        </w:rPr>
        <w:t> </w:t>
      </w:r>
      <w:r>
        <w:rPr/>
        <w:t>to</w:t>
      </w:r>
      <w:r>
        <w:rPr>
          <w:spacing w:val="-9"/>
        </w:rPr>
        <w:t> </w:t>
      </w:r>
      <w:r>
        <w:rPr/>
        <w:t>mitigate</w:t>
      </w:r>
      <w:r>
        <w:rPr>
          <w:spacing w:val="-10"/>
        </w:rPr>
        <w:t> </w:t>
      </w:r>
      <w:r>
        <w:rPr/>
        <w:t>the</w:t>
      </w:r>
      <w:r>
        <w:rPr>
          <w:spacing w:val="-10"/>
        </w:rPr>
        <w:t> </w:t>
      </w:r>
      <w:r>
        <w:rPr/>
        <w:t>perceived</w:t>
      </w:r>
      <w:r>
        <w:rPr>
          <w:spacing w:val="-10"/>
        </w:rPr>
        <w:t> </w:t>
      </w:r>
      <w:r>
        <w:rPr/>
        <w:t>risks</w:t>
      </w:r>
      <w:r>
        <w:rPr>
          <w:spacing w:val="-9"/>
        </w:rPr>
        <w:t> </w:t>
      </w:r>
      <w:r>
        <w:rPr/>
        <w:t>from such unreliable water supply system.</w:t>
      </w:r>
    </w:p>
    <w:p>
      <w:pPr>
        <w:spacing w:after="0" w:line="480" w:lineRule="auto"/>
        <w:jc w:val="both"/>
        <w:sectPr>
          <w:pgSz w:w="12240" w:h="15840"/>
          <w:pgMar w:header="0" w:footer="1068" w:top="1340" w:bottom="1260" w:left="1720" w:right="680"/>
        </w:sectPr>
      </w:pPr>
    </w:p>
    <w:p>
      <w:pPr>
        <w:pStyle w:val="BodyText"/>
        <w:spacing w:line="480" w:lineRule="auto" w:before="63"/>
        <w:ind w:left="267" w:right="726"/>
        <w:jc w:val="both"/>
      </w:pPr>
      <w:r>
        <w:rPr/>
        <w:t>As proposed in the study by Lyions and Lowery (1986), households tend to respond to unreliable and unsatisfactory situations through one or more combination of the four main strategies of </w:t>
      </w:r>
      <w:r>
        <w:rPr>
          <w:i/>
        </w:rPr>
        <w:t>“Exit, Voice, Loyalty and Neglect” </w:t>
      </w:r>
      <w:r>
        <w:rPr/>
        <w:t>(EVLN concept).</w:t>
      </w:r>
      <w:r>
        <w:rPr>
          <w:spacing w:val="40"/>
        </w:rPr>
        <w:t> </w:t>
      </w:r>
      <w:r>
        <w:rPr/>
        <w:t>The concept initially developed by Hirschmann (1970) surmised that consumers respond to decline or unsatisfactory conditions in firms and organizations through the three (3) </w:t>
      </w:r>
      <w:r>
        <w:rPr>
          <w:i/>
        </w:rPr>
        <w:t>“Exit, Voice and Loyalty </w:t>
      </w:r>
      <w:r>
        <w:rPr/>
        <w:t>(EVL) strategies. The study by Rusbult </w:t>
      </w:r>
      <w:r>
        <w:rPr>
          <w:i/>
        </w:rPr>
        <w:t>et al. </w:t>
      </w:r>
      <w:r>
        <w:rPr/>
        <w:t>(1982) however extended the Hirschmann’s EVL model by including </w:t>
      </w:r>
      <w:r>
        <w:rPr>
          <w:i/>
        </w:rPr>
        <w:t>neglect </w:t>
      </w:r>
      <w:r>
        <w:rPr/>
        <w:t>as a strategy employed in response to dissatisfaction with a situation.</w:t>
      </w:r>
    </w:p>
    <w:p>
      <w:pPr>
        <w:pStyle w:val="BodyText"/>
        <w:spacing w:line="480" w:lineRule="auto" w:before="241"/>
        <w:ind w:left="267" w:right="727"/>
        <w:jc w:val="both"/>
      </w:pPr>
      <w:r>
        <w:rPr/>
        <w:t>While</w:t>
      </w:r>
      <w:r>
        <w:rPr>
          <w:spacing w:val="-1"/>
        </w:rPr>
        <w:t> </w:t>
      </w:r>
      <w:r>
        <w:rPr/>
        <w:t>the concept has earlier</w:t>
      </w:r>
      <w:r>
        <w:rPr>
          <w:spacing w:val="-1"/>
        </w:rPr>
        <w:t> </w:t>
      </w:r>
      <w:r>
        <w:rPr/>
        <w:t>been applied to provide explanations on</w:t>
      </w:r>
      <w:r>
        <w:rPr>
          <w:spacing w:val="-2"/>
        </w:rPr>
        <w:t> </w:t>
      </w:r>
      <w:r>
        <w:rPr/>
        <w:t>customers’ responses to urban service provision, the empirical study by Majuru (2015) on the reliability of water supply in developing countries noted that the “exit” strategy entails households exiting or leaving unreliable public water supply by adopting strategies like well drilling, use of capacity</w:t>
      </w:r>
      <w:r>
        <w:rPr>
          <w:spacing w:val="-1"/>
        </w:rPr>
        <w:t> </w:t>
      </w:r>
      <w:r>
        <w:rPr/>
        <w:t>storage tanks or relocating to neighbourhoods with good water. The voice strategy involves</w:t>
      </w:r>
      <w:r>
        <w:rPr>
          <w:spacing w:val="-6"/>
        </w:rPr>
        <w:t> </w:t>
      </w:r>
      <w:r>
        <w:rPr/>
        <w:t>efforts</w:t>
      </w:r>
      <w:r>
        <w:rPr>
          <w:spacing w:val="-6"/>
        </w:rPr>
        <w:t> </w:t>
      </w:r>
      <w:r>
        <w:rPr/>
        <w:t>such</w:t>
      </w:r>
      <w:r>
        <w:rPr>
          <w:spacing w:val="-6"/>
        </w:rPr>
        <w:t> </w:t>
      </w:r>
      <w:r>
        <w:rPr/>
        <w:t>as</w:t>
      </w:r>
      <w:r>
        <w:rPr>
          <w:spacing w:val="-6"/>
        </w:rPr>
        <w:t> </w:t>
      </w:r>
      <w:r>
        <w:rPr/>
        <w:t>protests,</w:t>
      </w:r>
      <w:r>
        <w:rPr>
          <w:spacing w:val="-6"/>
        </w:rPr>
        <w:t> </w:t>
      </w:r>
      <w:r>
        <w:rPr/>
        <w:t>dialogues</w:t>
      </w:r>
      <w:r>
        <w:rPr>
          <w:spacing w:val="-6"/>
        </w:rPr>
        <w:t> </w:t>
      </w:r>
      <w:r>
        <w:rPr/>
        <w:t>and</w:t>
      </w:r>
      <w:r>
        <w:rPr>
          <w:spacing w:val="-6"/>
        </w:rPr>
        <w:t> </w:t>
      </w:r>
      <w:r>
        <w:rPr/>
        <w:t>complaints</w:t>
      </w:r>
      <w:r>
        <w:rPr>
          <w:spacing w:val="-6"/>
        </w:rPr>
        <w:t> </w:t>
      </w:r>
      <w:r>
        <w:rPr/>
        <w:t>to</w:t>
      </w:r>
      <w:r>
        <w:rPr>
          <w:spacing w:val="-8"/>
        </w:rPr>
        <w:t> </w:t>
      </w:r>
      <w:r>
        <w:rPr/>
        <w:t>water</w:t>
      </w:r>
      <w:r>
        <w:rPr>
          <w:spacing w:val="-7"/>
        </w:rPr>
        <w:t> </w:t>
      </w:r>
      <w:r>
        <w:rPr/>
        <w:t>supply</w:t>
      </w:r>
      <w:r>
        <w:rPr>
          <w:spacing w:val="-11"/>
        </w:rPr>
        <w:t> </w:t>
      </w:r>
      <w:r>
        <w:rPr/>
        <w:t>authorities</w:t>
      </w:r>
      <w:r>
        <w:rPr>
          <w:spacing w:val="-6"/>
        </w:rPr>
        <w:t> </w:t>
      </w:r>
      <w:r>
        <w:rPr/>
        <w:t>which are</w:t>
      </w:r>
      <w:r>
        <w:rPr>
          <w:spacing w:val="-15"/>
        </w:rPr>
        <w:t> </w:t>
      </w:r>
      <w:r>
        <w:rPr/>
        <w:t>geared</w:t>
      </w:r>
      <w:r>
        <w:rPr>
          <w:spacing w:val="-15"/>
        </w:rPr>
        <w:t> </w:t>
      </w:r>
      <w:r>
        <w:rPr/>
        <w:t>towards</w:t>
      </w:r>
      <w:r>
        <w:rPr>
          <w:spacing w:val="-15"/>
        </w:rPr>
        <w:t> </w:t>
      </w:r>
      <w:r>
        <w:rPr/>
        <w:t>reconciliation</w:t>
      </w:r>
      <w:r>
        <w:rPr>
          <w:spacing w:val="-15"/>
        </w:rPr>
        <w:t> </w:t>
      </w:r>
      <w:r>
        <w:rPr/>
        <w:t>(Abubakar,</w:t>
      </w:r>
      <w:r>
        <w:rPr>
          <w:spacing w:val="-15"/>
        </w:rPr>
        <w:t> </w:t>
      </w:r>
      <w:r>
        <w:rPr/>
        <w:t>2012;</w:t>
      </w:r>
      <w:r>
        <w:rPr>
          <w:spacing w:val="-15"/>
        </w:rPr>
        <w:t> </w:t>
      </w:r>
      <w:r>
        <w:rPr/>
        <w:t>Majuru,</w:t>
      </w:r>
      <w:r>
        <w:rPr>
          <w:spacing w:val="-15"/>
        </w:rPr>
        <w:t> </w:t>
      </w:r>
      <w:r>
        <w:rPr/>
        <w:t>2015).</w:t>
      </w:r>
      <w:r>
        <w:rPr>
          <w:spacing w:val="-10"/>
        </w:rPr>
        <w:t> </w:t>
      </w:r>
      <w:r>
        <w:rPr/>
        <w:t>Loyalty</w:t>
      </w:r>
      <w:r>
        <w:rPr>
          <w:spacing w:val="-15"/>
        </w:rPr>
        <w:t> </w:t>
      </w:r>
      <w:r>
        <w:rPr/>
        <w:t>strategy</w:t>
      </w:r>
      <w:r>
        <w:rPr>
          <w:spacing w:val="-15"/>
        </w:rPr>
        <w:t> </w:t>
      </w:r>
      <w:r>
        <w:rPr/>
        <w:t>involves waiting for the poor water supply to improve. Loyal households in such case engaged in accommodative strategies such as rescheduling households’ water related activities, collecting water from alternative sources and consuming less water (Abubakar, 2012; Majuru,</w:t>
      </w:r>
      <w:r>
        <w:rPr>
          <w:spacing w:val="-15"/>
        </w:rPr>
        <w:t> </w:t>
      </w:r>
      <w:r>
        <w:rPr/>
        <w:t>2015).</w:t>
      </w:r>
      <w:r>
        <w:rPr>
          <w:spacing w:val="-15"/>
        </w:rPr>
        <w:t> </w:t>
      </w:r>
      <w:r>
        <w:rPr/>
        <w:t>Abubakar</w:t>
      </w:r>
      <w:r>
        <w:rPr>
          <w:spacing w:val="-15"/>
        </w:rPr>
        <w:t> </w:t>
      </w:r>
      <w:r>
        <w:rPr/>
        <w:t>(2012)</w:t>
      </w:r>
      <w:r>
        <w:rPr>
          <w:spacing w:val="-15"/>
        </w:rPr>
        <w:t> </w:t>
      </w:r>
      <w:r>
        <w:rPr/>
        <w:t>mentioned</w:t>
      </w:r>
      <w:r>
        <w:rPr>
          <w:spacing w:val="-15"/>
        </w:rPr>
        <w:t> </w:t>
      </w:r>
      <w:r>
        <w:rPr/>
        <w:t>that</w:t>
      </w:r>
      <w:r>
        <w:rPr>
          <w:spacing w:val="-15"/>
        </w:rPr>
        <w:t> </w:t>
      </w:r>
      <w:r>
        <w:rPr/>
        <w:t>the</w:t>
      </w:r>
      <w:r>
        <w:rPr>
          <w:spacing w:val="-15"/>
        </w:rPr>
        <w:t> </w:t>
      </w:r>
      <w:r>
        <w:rPr/>
        <w:t>neglect</w:t>
      </w:r>
      <w:r>
        <w:rPr>
          <w:spacing w:val="-15"/>
        </w:rPr>
        <w:t> </w:t>
      </w:r>
      <w:r>
        <w:rPr/>
        <w:t>strategy</w:t>
      </w:r>
      <w:r>
        <w:rPr>
          <w:spacing w:val="-15"/>
        </w:rPr>
        <w:t> </w:t>
      </w:r>
      <w:r>
        <w:rPr/>
        <w:t>entails</w:t>
      </w:r>
      <w:r>
        <w:rPr>
          <w:spacing w:val="-15"/>
        </w:rPr>
        <w:t> </w:t>
      </w:r>
      <w:r>
        <w:rPr/>
        <w:t>putting</w:t>
      </w:r>
      <w:r>
        <w:rPr>
          <w:spacing w:val="-15"/>
        </w:rPr>
        <w:t> </w:t>
      </w:r>
      <w:r>
        <w:rPr/>
        <w:t>less</w:t>
      </w:r>
      <w:r>
        <w:rPr>
          <w:spacing w:val="-15"/>
        </w:rPr>
        <w:t> </w:t>
      </w:r>
      <w:r>
        <w:rPr/>
        <w:t>effort or doing</w:t>
      </w:r>
      <w:r>
        <w:rPr>
          <w:spacing w:val="-2"/>
        </w:rPr>
        <w:t> </w:t>
      </w:r>
      <w:r>
        <w:rPr/>
        <w:t>nothing</w:t>
      </w:r>
      <w:r>
        <w:rPr>
          <w:spacing w:val="-3"/>
        </w:rPr>
        <w:t> </w:t>
      </w:r>
      <w:r>
        <w:rPr/>
        <w:t>and developing</w:t>
      </w:r>
      <w:r>
        <w:rPr>
          <w:spacing w:val="-3"/>
        </w:rPr>
        <w:t> </w:t>
      </w:r>
      <w:r>
        <w:rPr/>
        <w:t>negative</w:t>
      </w:r>
      <w:r>
        <w:rPr>
          <w:spacing w:val="-1"/>
        </w:rPr>
        <w:t> </w:t>
      </w:r>
      <w:r>
        <w:rPr/>
        <w:t>attitudes towards the</w:t>
      </w:r>
      <w:r>
        <w:rPr>
          <w:spacing w:val="-1"/>
        </w:rPr>
        <w:t> </w:t>
      </w:r>
      <w:r>
        <w:rPr/>
        <w:t>unsatisfactory</w:t>
      </w:r>
      <w:r>
        <w:rPr>
          <w:spacing w:val="-3"/>
        </w:rPr>
        <w:t> </w:t>
      </w:r>
      <w:r>
        <w:rPr/>
        <w:t>water</w:t>
      </w:r>
      <w:r>
        <w:rPr>
          <w:spacing w:val="-2"/>
        </w:rPr>
        <w:t> </w:t>
      </w:r>
      <w:r>
        <w:rPr/>
        <w:t>supply. The research by Rusbult </w:t>
      </w:r>
      <w:r>
        <w:rPr>
          <w:i/>
        </w:rPr>
        <w:t>et al. </w:t>
      </w:r>
      <w:r>
        <w:rPr/>
        <w:t>(1982) however mentioned that there are two dimensions to the EVLN strategies of unreliability in public water supply. While voice and loyalty are categorized</w:t>
      </w:r>
      <w:r>
        <w:rPr>
          <w:spacing w:val="5"/>
        </w:rPr>
        <w:t> </w:t>
      </w:r>
      <w:r>
        <w:rPr/>
        <w:t>as</w:t>
      </w:r>
      <w:r>
        <w:rPr>
          <w:spacing w:val="7"/>
        </w:rPr>
        <w:t> </w:t>
      </w:r>
      <w:r>
        <w:rPr/>
        <w:t>constructive</w:t>
      </w:r>
      <w:r>
        <w:rPr>
          <w:spacing w:val="6"/>
        </w:rPr>
        <w:t> </w:t>
      </w:r>
      <w:r>
        <w:rPr/>
        <w:t>response</w:t>
      </w:r>
      <w:r>
        <w:rPr>
          <w:spacing w:val="8"/>
        </w:rPr>
        <w:t> </w:t>
      </w:r>
      <w:r>
        <w:rPr/>
        <w:t>(as</w:t>
      </w:r>
      <w:r>
        <w:rPr>
          <w:spacing w:val="6"/>
        </w:rPr>
        <w:t> </w:t>
      </w:r>
      <w:r>
        <w:rPr/>
        <w:t>they</w:t>
      </w:r>
      <w:r>
        <w:rPr>
          <w:spacing w:val="2"/>
        </w:rPr>
        <w:t> </w:t>
      </w:r>
      <w:r>
        <w:rPr/>
        <w:t>are</w:t>
      </w:r>
      <w:r>
        <w:rPr>
          <w:spacing w:val="7"/>
        </w:rPr>
        <w:t> </w:t>
      </w:r>
      <w:r>
        <w:rPr/>
        <w:t>meant</w:t>
      </w:r>
      <w:r>
        <w:rPr>
          <w:spacing w:val="7"/>
        </w:rPr>
        <w:t> </w:t>
      </w:r>
      <w:r>
        <w:rPr/>
        <w:t>to</w:t>
      </w:r>
      <w:r>
        <w:rPr>
          <w:spacing w:val="6"/>
        </w:rPr>
        <w:t> </w:t>
      </w:r>
      <w:r>
        <w:rPr/>
        <w:t>maintain</w:t>
      </w:r>
      <w:r>
        <w:rPr>
          <w:spacing w:val="7"/>
        </w:rPr>
        <w:t> </w:t>
      </w:r>
      <w:r>
        <w:rPr/>
        <w:t>or</w:t>
      </w:r>
      <w:r>
        <w:rPr>
          <w:spacing w:val="6"/>
        </w:rPr>
        <w:t> </w:t>
      </w:r>
      <w:r>
        <w:rPr/>
        <w:t>revive</w:t>
      </w:r>
      <w:r>
        <w:rPr>
          <w:spacing w:val="6"/>
        </w:rPr>
        <w:t> </w:t>
      </w:r>
      <w:r>
        <w:rPr/>
        <w:t>the</w:t>
      </w:r>
      <w:r>
        <w:rPr>
          <w:spacing w:val="6"/>
        </w:rPr>
        <w:t> </w:t>
      </w:r>
      <w:r>
        <w:rPr>
          <w:spacing w:val="-2"/>
        </w:rPr>
        <w:t>subsisting</w:t>
      </w:r>
    </w:p>
    <w:p>
      <w:pPr>
        <w:spacing w:after="0" w:line="480" w:lineRule="auto"/>
        <w:jc w:val="both"/>
        <w:sectPr>
          <w:pgSz w:w="12240" w:h="15840"/>
          <w:pgMar w:header="0" w:footer="1068" w:top="1340" w:bottom="1260" w:left="1720" w:right="680"/>
        </w:sectPr>
      </w:pPr>
    </w:p>
    <w:p>
      <w:pPr>
        <w:pStyle w:val="BodyText"/>
        <w:spacing w:line="480" w:lineRule="auto" w:before="63"/>
        <w:ind w:left="267" w:right="730"/>
        <w:jc w:val="both"/>
      </w:pPr>
      <w:r>
        <w:rPr/>
        <w:t>poor water supply), exit and neglect are deemed classified as destructive responses as they are not meant to revive</w:t>
      </w:r>
      <w:r>
        <w:rPr>
          <w:spacing w:val="-1"/>
        </w:rPr>
        <w:t> </w:t>
      </w:r>
      <w:r>
        <w:rPr/>
        <w:t>the</w:t>
      </w:r>
      <w:r>
        <w:rPr>
          <w:spacing w:val="-1"/>
        </w:rPr>
        <w:t> </w:t>
      </w:r>
      <w:r>
        <w:rPr/>
        <w:t>declining water</w:t>
      </w:r>
      <w:r>
        <w:rPr>
          <w:spacing w:val="-1"/>
        </w:rPr>
        <w:t> </w:t>
      </w:r>
      <w:r>
        <w:rPr/>
        <w:t>situation).When the</w:t>
      </w:r>
      <w:r>
        <w:rPr>
          <w:spacing w:val="-1"/>
        </w:rPr>
        <w:t> </w:t>
      </w:r>
      <w:r>
        <w:rPr/>
        <w:t>EVLN</w:t>
      </w:r>
      <w:r>
        <w:rPr>
          <w:spacing w:val="-1"/>
        </w:rPr>
        <w:t> </w:t>
      </w:r>
      <w:r>
        <w:rPr/>
        <w:t>strategies are further examined</w:t>
      </w:r>
      <w:r>
        <w:rPr>
          <w:spacing w:val="-1"/>
        </w:rPr>
        <w:t> </w:t>
      </w:r>
      <w:r>
        <w:rPr/>
        <w:t>using</w:t>
      </w:r>
      <w:r>
        <w:rPr>
          <w:spacing w:val="-3"/>
        </w:rPr>
        <w:t> </w:t>
      </w:r>
      <w:r>
        <w:rPr/>
        <w:t>an</w:t>
      </w:r>
      <w:r>
        <w:rPr>
          <w:spacing w:val="-1"/>
        </w:rPr>
        <w:t> </w:t>
      </w:r>
      <w:r>
        <w:rPr/>
        <w:t>alternative</w:t>
      </w:r>
      <w:r>
        <w:rPr>
          <w:spacing w:val="-2"/>
        </w:rPr>
        <w:t> </w:t>
      </w:r>
      <w:r>
        <w:rPr/>
        <w:t>lens,</w:t>
      </w:r>
      <w:r>
        <w:rPr>
          <w:spacing w:val="-2"/>
        </w:rPr>
        <w:t> </w:t>
      </w:r>
      <w:r>
        <w:rPr/>
        <w:t>Abubakar (2012)</w:t>
      </w:r>
      <w:r>
        <w:rPr>
          <w:spacing w:val="-2"/>
        </w:rPr>
        <w:t> </w:t>
      </w:r>
      <w:r>
        <w:rPr/>
        <w:t>noted</w:t>
      </w:r>
      <w:r>
        <w:rPr>
          <w:spacing w:val="-2"/>
        </w:rPr>
        <w:t> </w:t>
      </w:r>
      <w:r>
        <w:rPr/>
        <w:t>that</w:t>
      </w:r>
      <w:r>
        <w:rPr>
          <w:spacing w:val="-1"/>
        </w:rPr>
        <w:t> </w:t>
      </w:r>
      <w:r>
        <w:rPr/>
        <w:t>voice</w:t>
      </w:r>
      <w:r>
        <w:rPr>
          <w:spacing w:val="-3"/>
        </w:rPr>
        <w:t> </w:t>
      </w:r>
      <w:r>
        <w:rPr/>
        <w:t>and</w:t>
      </w:r>
      <w:r>
        <w:rPr>
          <w:spacing w:val="-3"/>
        </w:rPr>
        <w:t> </w:t>
      </w:r>
      <w:r>
        <w:rPr/>
        <w:t>exit</w:t>
      </w:r>
      <w:r>
        <w:rPr>
          <w:spacing w:val="-3"/>
        </w:rPr>
        <w:t> </w:t>
      </w:r>
      <w:r>
        <w:rPr/>
        <w:t>strategies</w:t>
      </w:r>
      <w:r>
        <w:rPr>
          <w:spacing w:val="-2"/>
        </w:rPr>
        <w:t> </w:t>
      </w:r>
      <w:r>
        <w:rPr/>
        <w:t>are active responses ( because something is being done) and loyalty and neglect are passive in nature ( as they entails do nothing responses).</w:t>
      </w:r>
    </w:p>
    <w:p>
      <w:pPr>
        <w:pStyle w:val="BodyText"/>
        <w:spacing w:before="8"/>
      </w:pPr>
    </w:p>
    <w:p>
      <w:pPr>
        <w:pStyle w:val="Heading1"/>
        <w:numPr>
          <w:ilvl w:val="1"/>
          <w:numId w:val="6"/>
        </w:numPr>
        <w:tabs>
          <w:tab w:pos="927" w:val="left" w:leader="none"/>
        </w:tabs>
        <w:spacing w:line="240" w:lineRule="auto" w:before="0" w:after="0"/>
        <w:ind w:left="927" w:right="0" w:hanging="660"/>
        <w:jc w:val="left"/>
      </w:pPr>
      <w:r>
        <w:rPr/>
        <w:t>Coping</w:t>
      </w:r>
      <w:r>
        <w:rPr>
          <w:spacing w:val="-2"/>
        </w:rPr>
        <w:t> </w:t>
      </w:r>
      <w:r>
        <w:rPr/>
        <w:t>Strategies</w:t>
      </w:r>
      <w:r>
        <w:rPr>
          <w:spacing w:val="-2"/>
        </w:rPr>
        <w:t> </w:t>
      </w:r>
      <w:r>
        <w:rPr/>
        <w:t>in</w:t>
      </w:r>
      <w:r>
        <w:rPr>
          <w:spacing w:val="-1"/>
        </w:rPr>
        <w:t> </w:t>
      </w:r>
      <w:r>
        <w:rPr/>
        <w:t>Water</w:t>
      </w:r>
      <w:r>
        <w:rPr>
          <w:spacing w:val="-2"/>
        </w:rPr>
        <w:t> Stress/Scarcity</w:t>
      </w:r>
    </w:p>
    <w:p>
      <w:pPr>
        <w:pStyle w:val="BodyText"/>
        <w:spacing w:before="15"/>
        <w:rPr>
          <w:b/>
        </w:rPr>
      </w:pPr>
    </w:p>
    <w:p>
      <w:pPr>
        <w:pStyle w:val="BodyText"/>
        <w:spacing w:line="480" w:lineRule="auto"/>
        <w:ind w:left="267" w:right="728"/>
        <w:jc w:val="both"/>
      </w:pPr>
      <w:r>
        <w:rPr/>
        <w:t>Against the background that public water services are characterized by unreliable and intermittent</w:t>
      </w:r>
      <w:r>
        <w:rPr>
          <w:spacing w:val="-8"/>
        </w:rPr>
        <w:t> </w:t>
      </w:r>
      <w:r>
        <w:rPr/>
        <w:t>supply,</w:t>
      </w:r>
      <w:r>
        <w:rPr>
          <w:spacing w:val="-8"/>
        </w:rPr>
        <w:t> </w:t>
      </w:r>
      <w:r>
        <w:rPr/>
        <w:t>prior</w:t>
      </w:r>
      <w:r>
        <w:rPr>
          <w:spacing w:val="-7"/>
        </w:rPr>
        <w:t> </w:t>
      </w:r>
      <w:r>
        <w:rPr/>
        <w:t>studies</w:t>
      </w:r>
      <w:r>
        <w:rPr>
          <w:spacing w:val="-8"/>
        </w:rPr>
        <w:t> </w:t>
      </w:r>
      <w:r>
        <w:rPr/>
        <w:t>in</w:t>
      </w:r>
      <w:r>
        <w:rPr>
          <w:spacing w:val="-8"/>
        </w:rPr>
        <w:t> </w:t>
      </w:r>
      <w:r>
        <w:rPr/>
        <w:t>the</w:t>
      </w:r>
      <w:r>
        <w:rPr>
          <w:spacing w:val="-9"/>
        </w:rPr>
        <w:t> </w:t>
      </w:r>
      <w:r>
        <w:rPr/>
        <w:t>literature</w:t>
      </w:r>
      <w:r>
        <w:rPr>
          <w:spacing w:val="-9"/>
        </w:rPr>
        <w:t> </w:t>
      </w:r>
      <w:r>
        <w:rPr/>
        <w:t>have</w:t>
      </w:r>
      <w:r>
        <w:rPr>
          <w:spacing w:val="-9"/>
        </w:rPr>
        <w:t> </w:t>
      </w:r>
      <w:r>
        <w:rPr/>
        <w:t>provided</w:t>
      </w:r>
      <w:r>
        <w:rPr>
          <w:spacing w:val="-6"/>
        </w:rPr>
        <w:t> </w:t>
      </w:r>
      <w:r>
        <w:rPr/>
        <w:t>evidence</w:t>
      </w:r>
      <w:r>
        <w:rPr>
          <w:spacing w:val="-9"/>
        </w:rPr>
        <w:t> </w:t>
      </w:r>
      <w:r>
        <w:rPr/>
        <w:t>on</w:t>
      </w:r>
      <w:r>
        <w:rPr>
          <w:spacing w:val="-6"/>
        </w:rPr>
        <w:t> </w:t>
      </w:r>
      <w:r>
        <w:rPr/>
        <w:t>the</w:t>
      </w:r>
      <w:r>
        <w:rPr>
          <w:spacing w:val="-3"/>
        </w:rPr>
        <w:t> </w:t>
      </w:r>
      <w:r>
        <w:rPr/>
        <w:t>way’s</w:t>
      </w:r>
      <w:r>
        <w:rPr>
          <w:spacing w:val="-8"/>
        </w:rPr>
        <w:t> </w:t>
      </w:r>
      <w:r>
        <w:rPr/>
        <w:t>urban households cope with this challenge of water scarcity- which poses severe threats to urban livelihood</w:t>
      </w:r>
      <w:r>
        <w:rPr>
          <w:spacing w:val="-13"/>
        </w:rPr>
        <w:t> </w:t>
      </w:r>
      <w:r>
        <w:rPr/>
        <w:t>and</w:t>
      </w:r>
      <w:r>
        <w:rPr>
          <w:spacing w:val="-11"/>
        </w:rPr>
        <w:t> </w:t>
      </w:r>
      <w:r>
        <w:rPr/>
        <w:t>sustainability.</w:t>
      </w:r>
      <w:r>
        <w:rPr>
          <w:spacing w:val="40"/>
        </w:rPr>
        <w:t> </w:t>
      </w:r>
      <w:r>
        <w:rPr/>
        <w:t>Research</w:t>
      </w:r>
      <w:r>
        <w:rPr>
          <w:spacing w:val="-11"/>
        </w:rPr>
        <w:t> </w:t>
      </w:r>
      <w:r>
        <w:rPr/>
        <w:t>on</w:t>
      </w:r>
      <w:r>
        <w:rPr>
          <w:spacing w:val="-11"/>
        </w:rPr>
        <w:t> </w:t>
      </w:r>
      <w:r>
        <w:rPr/>
        <w:t>the</w:t>
      </w:r>
      <w:r>
        <w:rPr>
          <w:spacing w:val="-11"/>
        </w:rPr>
        <w:t> </w:t>
      </w:r>
      <w:r>
        <w:rPr/>
        <w:t>willingness</w:t>
      </w:r>
      <w:r>
        <w:rPr>
          <w:spacing w:val="-10"/>
        </w:rPr>
        <w:t> </w:t>
      </w:r>
      <w:r>
        <w:rPr/>
        <w:t>of</w:t>
      </w:r>
      <w:r>
        <w:rPr>
          <w:spacing w:val="-11"/>
        </w:rPr>
        <w:t> </w:t>
      </w:r>
      <w:r>
        <w:rPr/>
        <w:t>420</w:t>
      </w:r>
      <w:r>
        <w:rPr>
          <w:spacing w:val="-11"/>
        </w:rPr>
        <w:t> </w:t>
      </w:r>
      <w:r>
        <w:rPr/>
        <w:t>households</w:t>
      </w:r>
      <w:r>
        <w:rPr>
          <w:spacing w:val="-8"/>
        </w:rPr>
        <w:t> </w:t>
      </w:r>
      <w:r>
        <w:rPr/>
        <w:t>to</w:t>
      </w:r>
      <w:r>
        <w:rPr>
          <w:spacing w:val="-10"/>
        </w:rPr>
        <w:t> </w:t>
      </w:r>
      <w:r>
        <w:rPr/>
        <w:t>pay</w:t>
      </w:r>
      <w:r>
        <w:rPr>
          <w:spacing w:val="-15"/>
        </w:rPr>
        <w:t> </w:t>
      </w:r>
      <w:r>
        <w:rPr/>
        <w:t>more</w:t>
      </w:r>
      <w:r>
        <w:rPr>
          <w:spacing w:val="-12"/>
        </w:rPr>
        <w:t> </w:t>
      </w:r>
      <w:r>
        <w:rPr/>
        <w:t>for improved piped water supply</w:t>
      </w:r>
      <w:r>
        <w:rPr>
          <w:spacing w:val="-5"/>
        </w:rPr>
        <w:t> </w:t>
      </w:r>
      <w:r>
        <w:rPr/>
        <w:t>in urban areas of</w:t>
      </w:r>
      <w:r>
        <w:rPr>
          <w:spacing w:val="-1"/>
        </w:rPr>
        <w:t> </w:t>
      </w:r>
      <w:r>
        <w:rPr/>
        <w:t>Trinidad indicated</w:t>
      </w:r>
      <w:r>
        <w:rPr>
          <w:spacing w:val="-1"/>
        </w:rPr>
        <w:t> </w:t>
      </w:r>
      <w:r>
        <w:rPr/>
        <w:t>that capacity</w:t>
      </w:r>
      <w:r>
        <w:rPr>
          <w:spacing w:val="-3"/>
        </w:rPr>
        <w:t> </w:t>
      </w:r>
      <w:r>
        <w:rPr/>
        <w:t>tanks, water purchase, water treatment, rescheduling activities and protest to water authorities are the explaining coping strategies (Mycoo, 1996). Cho </w:t>
      </w:r>
      <w:r>
        <w:rPr>
          <w:i/>
        </w:rPr>
        <w:t>et al. </w:t>
      </w:r>
      <w:r>
        <w:rPr/>
        <w:t>(1996) noted that residents of urban Dehra</w:t>
      </w:r>
      <w:r>
        <w:rPr>
          <w:spacing w:val="-7"/>
        </w:rPr>
        <w:t> </w:t>
      </w:r>
      <w:r>
        <w:rPr/>
        <w:t>in</w:t>
      </w:r>
      <w:r>
        <w:rPr>
          <w:spacing w:val="-4"/>
        </w:rPr>
        <w:t> </w:t>
      </w:r>
      <w:r>
        <w:rPr/>
        <w:t>India</w:t>
      </w:r>
      <w:r>
        <w:rPr>
          <w:spacing w:val="-6"/>
        </w:rPr>
        <w:t> </w:t>
      </w:r>
      <w:r>
        <w:rPr/>
        <w:t>adopted</w:t>
      </w:r>
      <w:r>
        <w:rPr>
          <w:spacing w:val="-6"/>
        </w:rPr>
        <w:t> </w:t>
      </w:r>
      <w:r>
        <w:rPr/>
        <w:t>the</w:t>
      </w:r>
      <w:r>
        <w:rPr>
          <w:spacing w:val="-8"/>
        </w:rPr>
        <w:t> </w:t>
      </w:r>
      <w:r>
        <w:rPr/>
        <w:t>use</w:t>
      </w:r>
      <w:r>
        <w:rPr>
          <w:spacing w:val="-8"/>
        </w:rPr>
        <w:t> </w:t>
      </w:r>
      <w:r>
        <w:rPr/>
        <w:t>of</w:t>
      </w:r>
      <w:r>
        <w:rPr>
          <w:spacing w:val="-8"/>
        </w:rPr>
        <w:t> </w:t>
      </w:r>
      <w:r>
        <w:rPr/>
        <w:t>storage</w:t>
      </w:r>
      <w:r>
        <w:rPr>
          <w:spacing w:val="-8"/>
        </w:rPr>
        <w:t> </w:t>
      </w:r>
      <w:r>
        <w:rPr/>
        <w:t>tanks,</w:t>
      </w:r>
      <w:r>
        <w:rPr>
          <w:spacing w:val="-5"/>
        </w:rPr>
        <w:t> </w:t>
      </w:r>
      <w:r>
        <w:rPr/>
        <w:t>enhancing</w:t>
      </w:r>
      <w:r>
        <w:rPr>
          <w:spacing w:val="-10"/>
        </w:rPr>
        <w:t> </w:t>
      </w:r>
      <w:r>
        <w:rPr/>
        <w:t>pressure</w:t>
      </w:r>
      <w:r>
        <w:rPr>
          <w:spacing w:val="-6"/>
        </w:rPr>
        <w:t> </w:t>
      </w:r>
      <w:r>
        <w:rPr/>
        <w:t>and</w:t>
      </w:r>
      <w:r>
        <w:rPr>
          <w:spacing w:val="-7"/>
        </w:rPr>
        <w:t> </w:t>
      </w:r>
      <w:r>
        <w:rPr/>
        <w:t>improving</w:t>
      </w:r>
      <w:r>
        <w:rPr>
          <w:spacing w:val="-10"/>
        </w:rPr>
        <w:t> </w:t>
      </w:r>
      <w:r>
        <w:rPr/>
        <w:t>the</w:t>
      </w:r>
      <w:r>
        <w:rPr>
          <w:spacing w:val="-8"/>
        </w:rPr>
        <w:t> </w:t>
      </w:r>
      <w:r>
        <w:rPr/>
        <w:t>water quality as palliative measures against intermittent water supply.</w:t>
      </w:r>
    </w:p>
    <w:p>
      <w:pPr>
        <w:pStyle w:val="BodyText"/>
      </w:pPr>
    </w:p>
    <w:p>
      <w:pPr>
        <w:pStyle w:val="BodyText"/>
        <w:spacing w:line="480" w:lineRule="auto" w:before="1"/>
        <w:ind w:left="267" w:right="727"/>
        <w:jc w:val="both"/>
      </w:pPr>
      <w:r>
        <w:rPr/>
        <w:t>Kudat </w:t>
      </w:r>
      <w:r>
        <w:rPr>
          <w:i/>
        </w:rPr>
        <w:t>et al. </w:t>
      </w:r>
      <w:r>
        <w:rPr/>
        <w:t>(1997) provided evidence that boiling was the most common water treatment method employed in Urban Baku, Azerbaijan with low-income households leaning more towards the adoption of accommodative than enhancement water coping measures. Zerah (2000) examined the strategies employed by Delhi households in coping with unreliable water supply in India. The results of a survey of 700 households from 4 residential zones indicated that a substantial proportion of respondents representing 63.10% stored water, while</w:t>
      </w:r>
      <w:r>
        <w:rPr>
          <w:spacing w:val="65"/>
        </w:rPr>
        <w:t> </w:t>
      </w:r>
      <w:r>
        <w:rPr/>
        <w:t>16.50%</w:t>
      </w:r>
      <w:r>
        <w:rPr>
          <w:spacing w:val="68"/>
        </w:rPr>
        <w:t> </w:t>
      </w:r>
      <w:r>
        <w:rPr/>
        <w:t>drilled</w:t>
      </w:r>
      <w:r>
        <w:rPr>
          <w:spacing w:val="69"/>
        </w:rPr>
        <w:t> </w:t>
      </w:r>
      <w:r>
        <w:rPr/>
        <w:t>boreholes,</w:t>
      </w:r>
      <w:r>
        <w:rPr>
          <w:spacing w:val="68"/>
        </w:rPr>
        <w:t> </w:t>
      </w:r>
      <w:r>
        <w:rPr/>
        <w:t>11.90%</w:t>
      </w:r>
      <w:r>
        <w:rPr>
          <w:spacing w:val="71"/>
        </w:rPr>
        <w:t> </w:t>
      </w:r>
      <w:r>
        <w:rPr/>
        <w:t>complained</w:t>
      </w:r>
      <w:r>
        <w:rPr>
          <w:spacing w:val="68"/>
        </w:rPr>
        <w:t> </w:t>
      </w:r>
      <w:r>
        <w:rPr/>
        <w:t>and</w:t>
      </w:r>
      <w:r>
        <w:rPr>
          <w:spacing w:val="68"/>
        </w:rPr>
        <w:t> </w:t>
      </w:r>
      <w:r>
        <w:rPr/>
        <w:t>1.50%</w:t>
      </w:r>
      <w:r>
        <w:rPr>
          <w:spacing w:val="68"/>
        </w:rPr>
        <w:t> </w:t>
      </w:r>
      <w:r>
        <w:rPr/>
        <w:t>intended</w:t>
      </w:r>
      <w:r>
        <w:rPr>
          <w:spacing w:val="69"/>
        </w:rPr>
        <w:t> </w:t>
      </w:r>
      <w:r>
        <w:rPr/>
        <w:t>or</w:t>
      </w:r>
      <w:r>
        <w:rPr>
          <w:spacing w:val="68"/>
        </w:rPr>
        <w:t> </w:t>
      </w:r>
      <w:r>
        <w:rPr>
          <w:spacing w:val="-2"/>
        </w:rPr>
        <w:t>changed</w:t>
      </w:r>
    </w:p>
    <w:p>
      <w:pPr>
        <w:pStyle w:val="BodyText"/>
        <w:ind w:left="267"/>
      </w:pPr>
      <w:r>
        <w:rPr>
          <w:spacing w:val="-2"/>
        </w:rPr>
        <w:t>residence.</w:t>
      </w:r>
    </w:p>
    <w:p>
      <w:pPr>
        <w:spacing w:after="0"/>
        <w:sectPr>
          <w:pgSz w:w="12240" w:h="15840"/>
          <w:pgMar w:header="0" w:footer="1068" w:top="1340" w:bottom="1260" w:left="1720" w:right="680"/>
        </w:sectPr>
      </w:pPr>
    </w:p>
    <w:p>
      <w:pPr>
        <w:pStyle w:val="BodyText"/>
        <w:spacing w:line="480" w:lineRule="auto" w:before="63"/>
        <w:ind w:left="267" w:right="726"/>
        <w:jc w:val="both"/>
      </w:pPr>
      <w:r>
        <w:rPr/>
        <w:t>Adekalu </w:t>
      </w:r>
      <w:r>
        <w:rPr>
          <w:i/>
        </w:rPr>
        <w:t>et al. </w:t>
      </w:r>
      <w:r>
        <w:rPr/>
        <w:t>(2002) examined households’ water supply system, water use practices and water</w:t>
      </w:r>
      <w:r>
        <w:rPr>
          <w:spacing w:val="-15"/>
        </w:rPr>
        <w:t> </w:t>
      </w:r>
      <w:r>
        <w:rPr/>
        <w:t>demand</w:t>
      </w:r>
      <w:r>
        <w:rPr>
          <w:spacing w:val="-15"/>
        </w:rPr>
        <w:t> </w:t>
      </w:r>
      <w:r>
        <w:rPr/>
        <w:t>in</w:t>
      </w:r>
      <w:r>
        <w:rPr>
          <w:spacing w:val="-15"/>
        </w:rPr>
        <w:t> </w:t>
      </w:r>
      <w:r>
        <w:rPr/>
        <w:t>four</w:t>
      </w:r>
      <w:r>
        <w:rPr>
          <w:spacing w:val="-15"/>
        </w:rPr>
        <w:t> </w:t>
      </w:r>
      <w:r>
        <w:rPr/>
        <w:t>cities</w:t>
      </w:r>
      <w:r>
        <w:rPr>
          <w:spacing w:val="-15"/>
        </w:rPr>
        <w:t> </w:t>
      </w:r>
      <w:r>
        <w:rPr/>
        <w:t>of</w:t>
      </w:r>
      <w:r>
        <w:rPr>
          <w:spacing w:val="-15"/>
        </w:rPr>
        <w:t> </w:t>
      </w:r>
      <w:r>
        <w:rPr/>
        <w:t>Lagos,</w:t>
      </w:r>
      <w:r>
        <w:rPr>
          <w:spacing w:val="-15"/>
        </w:rPr>
        <w:t> </w:t>
      </w:r>
      <w:r>
        <w:rPr/>
        <w:t>Ibadan,</w:t>
      </w:r>
      <w:r>
        <w:rPr>
          <w:spacing w:val="-15"/>
        </w:rPr>
        <w:t> </w:t>
      </w:r>
      <w:r>
        <w:rPr/>
        <w:t>Ife</w:t>
      </w:r>
      <w:r>
        <w:rPr>
          <w:spacing w:val="-15"/>
        </w:rPr>
        <w:t> </w:t>
      </w:r>
      <w:r>
        <w:rPr/>
        <w:t>and</w:t>
      </w:r>
      <w:r>
        <w:rPr>
          <w:spacing w:val="-15"/>
        </w:rPr>
        <w:t> </w:t>
      </w:r>
      <w:r>
        <w:rPr/>
        <w:t>Ilesha</w:t>
      </w:r>
      <w:r>
        <w:rPr>
          <w:spacing w:val="-15"/>
        </w:rPr>
        <w:t> </w:t>
      </w:r>
      <w:r>
        <w:rPr/>
        <w:t>in</w:t>
      </w:r>
      <w:r>
        <w:rPr>
          <w:spacing w:val="-15"/>
        </w:rPr>
        <w:t> </w:t>
      </w:r>
      <w:r>
        <w:rPr/>
        <w:t>southwestern</w:t>
      </w:r>
      <w:r>
        <w:rPr>
          <w:spacing w:val="-15"/>
        </w:rPr>
        <w:t> </w:t>
      </w:r>
      <w:r>
        <w:rPr/>
        <w:t>Nigeria.</w:t>
      </w:r>
      <w:r>
        <w:rPr>
          <w:spacing w:val="-15"/>
        </w:rPr>
        <w:t> </w:t>
      </w:r>
      <w:r>
        <w:rPr/>
        <w:t>Findings based on the in-depth interview and personal observation of 5000 households showed that only</w:t>
      </w:r>
      <w:r>
        <w:rPr>
          <w:spacing w:val="-10"/>
        </w:rPr>
        <w:t> </w:t>
      </w:r>
      <w:r>
        <w:rPr/>
        <w:t>30%</w:t>
      </w:r>
      <w:r>
        <w:rPr>
          <w:spacing w:val="-6"/>
        </w:rPr>
        <w:t> </w:t>
      </w:r>
      <w:r>
        <w:rPr/>
        <w:t>of</w:t>
      </w:r>
      <w:r>
        <w:rPr>
          <w:spacing w:val="-3"/>
        </w:rPr>
        <w:t> </w:t>
      </w:r>
      <w:r>
        <w:rPr/>
        <w:t>the</w:t>
      </w:r>
      <w:r>
        <w:rPr>
          <w:spacing w:val="-5"/>
        </w:rPr>
        <w:t> </w:t>
      </w:r>
      <w:r>
        <w:rPr/>
        <w:t>respondents</w:t>
      </w:r>
      <w:r>
        <w:rPr>
          <w:spacing w:val="-4"/>
        </w:rPr>
        <w:t> </w:t>
      </w:r>
      <w:r>
        <w:rPr/>
        <w:t>have</w:t>
      </w:r>
      <w:r>
        <w:rPr>
          <w:spacing w:val="-4"/>
        </w:rPr>
        <w:t> </w:t>
      </w:r>
      <w:r>
        <w:rPr/>
        <w:t>access</w:t>
      </w:r>
      <w:r>
        <w:rPr>
          <w:spacing w:val="-4"/>
        </w:rPr>
        <w:t> </w:t>
      </w:r>
      <w:r>
        <w:rPr/>
        <w:t>to</w:t>
      </w:r>
      <w:r>
        <w:rPr>
          <w:spacing w:val="-2"/>
        </w:rPr>
        <w:t> </w:t>
      </w:r>
      <w:r>
        <w:rPr/>
        <w:t>public</w:t>
      </w:r>
      <w:r>
        <w:rPr>
          <w:spacing w:val="-6"/>
        </w:rPr>
        <w:t> </w:t>
      </w:r>
      <w:r>
        <w:rPr/>
        <w:t>piped</w:t>
      </w:r>
      <w:r>
        <w:rPr>
          <w:spacing w:val="-2"/>
        </w:rPr>
        <w:t> </w:t>
      </w:r>
      <w:r>
        <w:rPr/>
        <w:t>water</w:t>
      </w:r>
      <w:r>
        <w:rPr>
          <w:spacing w:val="-4"/>
        </w:rPr>
        <w:t> </w:t>
      </w:r>
      <w:r>
        <w:rPr/>
        <w:t>supply,</w:t>
      </w:r>
      <w:r>
        <w:rPr>
          <w:spacing w:val="-5"/>
        </w:rPr>
        <w:t> </w:t>
      </w:r>
      <w:r>
        <w:rPr/>
        <w:t>and</w:t>
      </w:r>
      <w:r>
        <w:rPr>
          <w:spacing w:val="-3"/>
        </w:rPr>
        <w:t> </w:t>
      </w:r>
      <w:r>
        <w:rPr/>
        <w:t>have</w:t>
      </w:r>
      <w:r>
        <w:rPr>
          <w:spacing w:val="-4"/>
        </w:rPr>
        <w:t> </w:t>
      </w:r>
      <w:r>
        <w:rPr/>
        <w:t>to</w:t>
      </w:r>
      <w:r>
        <w:rPr>
          <w:spacing w:val="-4"/>
        </w:rPr>
        <w:t> </w:t>
      </w:r>
      <w:r>
        <w:rPr/>
        <w:t>purchase storage tanks of various capacities for storing tap and rainwater, and invest in alternative water sources such as the construction of both shallow and deep wells as coping strategies for unreliable public water supply. Utilizing a multistage stratified sampling, the study by Dutta and Tiwari (2005) examined households’ willingness to pay to support a policy for better</w:t>
      </w:r>
      <w:r>
        <w:rPr>
          <w:spacing w:val="-15"/>
        </w:rPr>
        <w:t> </w:t>
      </w:r>
      <w:r>
        <w:rPr/>
        <w:t>public</w:t>
      </w:r>
      <w:r>
        <w:rPr>
          <w:spacing w:val="-13"/>
        </w:rPr>
        <w:t> </w:t>
      </w:r>
      <w:r>
        <w:rPr/>
        <w:t>piped</w:t>
      </w:r>
      <w:r>
        <w:rPr>
          <w:spacing w:val="-12"/>
        </w:rPr>
        <w:t> </w:t>
      </w:r>
      <w:r>
        <w:rPr/>
        <w:t>water</w:t>
      </w:r>
      <w:r>
        <w:rPr>
          <w:spacing w:val="-10"/>
        </w:rPr>
        <w:t> </w:t>
      </w:r>
      <w:r>
        <w:rPr/>
        <w:t>supply</w:t>
      </w:r>
      <w:r>
        <w:rPr>
          <w:spacing w:val="-15"/>
        </w:rPr>
        <w:t> </w:t>
      </w:r>
      <w:r>
        <w:rPr/>
        <w:t>in</w:t>
      </w:r>
      <w:r>
        <w:rPr>
          <w:spacing w:val="-12"/>
        </w:rPr>
        <w:t> </w:t>
      </w:r>
      <w:r>
        <w:rPr/>
        <w:t>4</w:t>
      </w:r>
      <w:r>
        <w:rPr>
          <w:spacing w:val="-10"/>
        </w:rPr>
        <w:t> </w:t>
      </w:r>
      <w:r>
        <w:rPr/>
        <w:t>unplanned</w:t>
      </w:r>
      <w:r>
        <w:rPr>
          <w:spacing w:val="-12"/>
        </w:rPr>
        <w:t> </w:t>
      </w:r>
      <w:r>
        <w:rPr/>
        <w:t>settlements</w:t>
      </w:r>
      <w:r>
        <w:rPr>
          <w:spacing w:val="-12"/>
        </w:rPr>
        <w:t> </w:t>
      </w:r>
      <w:r>
        <w:rPr/>
        <w:t>in</w:t>
      </w:r>
      <w:r>
        <w:rPr>
          <w:spacing w:val="-12"/>
        </w:rPr>
        <w:t> </w:t>
      </w:r>
      <w:r>
        <w:rPr/>
        <w:t>urban</w:t>
      </w:r>
      <w:r>
        <w:rPr>
          <w:spacing w:val="-7"/>
        </w:rPr>
        <w:t> </w:t>
      </w:r>
      <w:r>
        <w:rPr/>
        <w:t>India.</w:t>
      </w:r>
      <w:r>
        <w:rPr>
          <w:spacing w:val="-10"/>
        </w:rPr>
        <w:t> </w:t>
      </w:r>
      <w:r>
        <w:rPr/>
        <w:t>Findings</w:t>
      </w:r>
      <w:r>
        <w:rPr>
          <w:spacing w:val="-12"/>
        </w:rPr>
        <w:t> </w:t>
      </w:r>
      <w:r>
        <w:rPr/>
        <w:t>from</w:t>
      </w:r>
      <w:r>
        <w:rPr>
          <w:spacing w:val="-9"/>
        </w:rPr>
        <w:t> </w:t>
      </w:r>
      <w:r>
        <w:rPr/>
        <w:t>the study showed that drilling wells, the use of storage tanks, and pump installation were the coping strategies employed in the study area.</w:t>
      </w:r>
    </w:p>
    <w:p>
      <w:pPr>
        <w:pStyle w:val="BodyText"/>
        <w:spacing w:before="1"/>
      </w:pPr>
    </w:p>
    <w:p>
      <w:pPr>
        <w:pStyle w:val="BodyText"/>
        <w:spacing w:line="480" w:lineRule="auto"/>
        <w:ind w:left="267" w:right="727"/>
        <w:jc w:val="both"/>
      </w:pPr>
      <w:r>
        <w:rPr/>
        <w:t>Nyarko (2008) examined the various coping strategies employed by 170 households in Acccra, Ghana and found that water buying from neighbours, buying from water tanker operators,</w:t>
      </w:r>
      <w:r>
        <w:rPr>
          <w:spacing w:val="-6"/>
        </w:rPr>
        <w:t> </w:t>
      </w:r>
      <w:r>
        <w:rPr/>
        <w:t>building</w:t>
      </w:r>
      <w:r>
        <w:rPr>
          <w:spacing w:val="-8"/>
        </w:rPr>
        <w:t> </w:t>
      </w:r>
      <w:r>
        <w:rPr/>
        <w:t>water</w:t>
      </w:r>
      <w:r>
        <w:rPr>
          <w:spacing w:val="-5"/>
        </w:rPr>
        <w:t> </w:t>
      </w:r>
      <w:r>
        <w:rPr/>
        <w:t>storage</w:t>
      </w:r>
      <w:r>
        <w:rPr>
          <w:spacing w:val="-7"/>
        </w:rPr>
        <w:t> </w:t>
      </w:r>
      <w:r>
        <w:rPr/>
        <w:t>facilities,</w:t>
      </w:r>
      <w:r>
        <w:rPr>
          <w:spacing w:val="-6"/>
        </w:rPr>
        <w:t> </w:t>
      </w:r>
      <w:r>
        <w:rPr/>
        <w:t>purchase</w:t>
      </w:r>
      <w:r>
        <w:rPr>
          <w:spacing w:val="-7"/>
        </w:rPr>
        <w:t> </w:t>
      </w:r>
      <w:r>
        <w:rPr/>
        <w:t>of</w:t>
      </w:r>
      <w:r>
        <w:rPr>
          <w:spacing w:val="-7"/>
        </w:rPr>
        <w:t> </w:t>
      </w:r>
      <w:r>
        <w:rPr/>
        <w:t>bottled</w:t>
      </w:r>
      <w:r>
        <w:rPr>
          <w:spacing w:val="-6"/>
        </w:rPr>
        <w:t> </w:t>
      </w:r>
      <w:r>
        <w:rPr/>
        <w:t>and</w:t>
      </w:r>
      <w:r>
        <w:rPr>
          <w:spacing w:val="-6"/>
        </w:rPr>
        <w:t> </w:t>
      </w:r>
      <w:r>
        <w:rPr/>
        <w:t>sachet</w:t>
      </w:r>
      <w:r>
        <w:rPr>
          <w:spacing w:val="-3"/>
        </w:rPr>
        <w:t> </w:t>
      </w:r>
      <w:r>
        <w:rPr/>
        <w:t>water</w:t>
      </w:r>
      <w:r>
        <w:rPr>
          <w:spacing w:val="-7"/>
        </w:rPr>
        <w:t> </w:t>
      </w:r>
      <w:r>
        <w:rPr/>
        <w:t>for</w:t>
      </w:r>
      <w:r>
        <w:rPr>
          <w:spacing w:val="-7"/>
        </w:rPr>
        <w:t> </w:t>
      </w:r>
      <w:r>
        <w:rPr/>
        <w:t>drinking were</w:t>
      </w:r>
      <w:r>
        <w:rPr>
          <w:spacing w:val="-15"/>
        </w:rPr>
        <w:t> </w:t>
      </w:r>
      <w:r>
        <w:rPr/>
        <w:t>the</w:t>
      </w:r>
      <w:r>
        <w:rPr>
          <w:spacing w:val="-15"/>
        </w:rPr>
        <w:t> </w:t>
      </w:r>
      <w:r>
        <w:rPr/>
        <w:t>coping</w:t>
      </w:r>
      <w:r>
        <w:rPr>
          <w:spacing w:val="-15"/>
        </w:rPr>
        <w:t> </w:t>
      </w:r>
      <w:r>
        <w:rPr/>
        <w:t>strategies</w:t>
      </w:r>
      <w:r>
        <w:rPr>
          <w:spacing w:val="-15"/>
        </w:rPr>
        <w:t> </w:t>
      </w:r>
      <w:r>
        <w:rPr/>
        <w:t>employed</w:t>
      </w:r>
      <w:r>
        <w:rPr>
          <w:spacing w:val="-15"/>
        </w:rPr>
        <w:t> </w:t>
      </w:r>
      <w:r>
        <w:rPr/>
        <w:t>by</w:t>
      </w:r>
      <w:r>
        <w:rPr>
          <w:spacing w:val="-15"/>
        </w:rPr>
        <w:t> </w:t>
      </w:r>
      <w:r>
        <w:rPr/>
        <w:t>households.</w:t>
      </w:r>
      <w:r>
        <w:rPr>
          <w:spacing w:val="-15"/>
        </w:rPr>
        <w:t> </w:t>
      </w:r>
      <w:r>
        <w:rPr/>
        <w:t>From</w:t>
      </w:r>
      <w:r>
        <w:rPr>
          <w:spacing w:val="-15"/>
        </w:rPr>
        <w:t> </w:t>
      </w:r>
      <w:r>
        <w:rPr/>
        <w:t>an</w:t>
      </w:r>
      <w:r>
        <w:rPr>
          <w:spacing w:val="-15"/>
        </w:rPr>
        <w:t> </w:t>
      </w:r>
      <w:r>
        <w:rPr/>
        <w:t>equity</w:t>
      </w:r>
      <w:r>
        <w:rPr>
          <w:spacing w:val="-15"/>
        </w:rPr>
        <w:t> </w:t>
      </w:r>
      <w:r>
        <w:rPr/>
        <w:t>perspective,</w:t>
      </w:r>
      <w:r>
        <w:rPr>
          <w:spacing w:val="-15"/>
        </w:rPr>
        <w:t> </w:t>
      </w:r>
      <w:r>
        <w:rPr/>
        <w:t>high</w:t>
      </w:r>
      <w:r>
        <w:rPr>
          <w:spacing w:val="-15"/>
        </w:rPr>
        <w:t> </w:t>
      </w:r>
      <w:r>
        <w:rPr/>
        <w:t>income consumers</w:t>
      </w:r>
      <w:r>
        <w:rPr>
          <w:spacing w:val="-3"/>
        </w:rPr>
        <w:t> </w:t>
      </w:r>
      <w:r>
        <w:rPr/>
        <w:t>who</w:t>
      </w:r>
      <w:r>
        <w:rPr>
          <w:spacing w:val="-3"/>
        </w:rPr>
        <w:t> </w:t>
      </w:r>
      <w:r>
        <w:rPr/>
        <w:t>relied</w:t>
      </w:r>
      <w:r>
        <w:rPr>
          <w:spacing w:val="-3"/>
        </w:rPr>
        <w:t> </w:t>
      </w:r>
      <w:r>
        <w:rPr/>
        <w:t>on</w:t>
      </w:r>
      <w:r>
        <w:rPr>
          <w:spacing w:val="-3"/>
        </w:rPr>
        <w:t> </w:t>
      </w:r>
      <w:r>
        <w:rPr/>
        <w:t>buying</w:t>
      </w:r>
      <w:r>
        <w:rPr>
          <w:spacing w:val="-6"/>
        </w:rPr>
        <w:t> </w:t>
      </w:r>
      <w:r>
        <w:rPr/>
        <w:t>directly</w:t>
      </w:r>
      <w:r>
        <w:rPr>
          <w:spacing w:val="-8"/>
        </w:rPr>
        <w:t> </w:t>
      </w:r>
      <w:r>
        <w:rPr/>
        <w:t>from</w:t>
      </w:r>
      <w:r>
        <w:rPr>
          <w:spacing w:val="-3"/>
        </w:rPr>
        <w:t> </w:t>
      </w:r>
      <w:r>
        <w:rPr/>
        <w:t>tankers</w:t>
      </w:r>
      <w:r>
        <w:rPr>
          <w:spacing w:val="-3"/>
        </w:rPr>
        <w:t> </w:t>
      </w:r>
      <w:r>
        <w:rPr/>
        <w:t>pay</w:t>
      </w:r>
      <w:r>
        <w:rPr>
          <w:spacing w:val="-11"/>
        </w:rPr>
        <w:t> </w:t>
      </w:r>
      <w:r>
        <w:rPr/>
        <w:t>7</w:t>
      </w:r>
      <w:r>
        <w:rPr>
          <w:spacing w:val="-3"/>
        </w:rPr>
        <w:t> </w:t>
      </w:r>
      <w:r>
        <w:rPr/>
        <w:t>times</w:t>
      </w:r>
      <w:r>
        <w:rPr>
          <w:spacing w:val="-3"/>
        </w:rPr>
        <w:t> </w:t>
      </w:r>
      <w:r>
        <w:rPr/>
        <w:t>the</w:t>
      </w:r>
      <w:r>
        <w:rPr>
          <w:spacing w:val="-4"/>
        </w:rPr>
        <w:t> </w:t>
      </w:r>
      <w:r>
        <w:rPr/>
        <w:t>water</w:t>
      </w:r>
      <w:r>
        <w:rPr>
          <w:spacing w:val="-3"/>
        </w:rPr>
        <w:t> </w:t>
      </w:r>
      <w:r>
        <w:rPr/>
        <w:t>rate</w:t>
      </w:r>
      <w:r>
        <w:rPr>
          <w:spacing w:val="-3"/>
        </w:rPr>
        <w:t> </w:t>
      </w:r>
      <w:r>
        <w:rPr/>
        <w:t>charged</w:t>
      </w:r>
      <w:r>
        <w:rPr>
          <w:spacing w:val="-3"/>
        </w:rPr>
        <w:t> </w:t>
      </w:r>
      <w:r>
        <w:rPr/>
        <w:t>by Ghanian water authority. On the other hand, low income who relied on neighbours and private water vendors were paying 10-13 times the rate charged by water authority in the study area.</w:t>
      </w:r>
    </w:p>
    <w:p>
      <w:pPr>
        <w:pStyle w:val="BodyText"/>
        <w:spacing w:line="480" w:lineRule="auto" w:before="2"/>
        <w:ind w:left="267" w:right="724"/>
        <w:jc w:val="both"/>
      </w:pPr>
      <w:r>
        <w:rPr/>
        <w:t>Acey</w:t>
      </w:r>
      <w:r>
        <w:rPr>
          <w:spacing w:val="-11"/>
        </w:rPr>
        <w:t> </w:t>
      </w:r>
      <w:r>
        <w:rPr/>
        <w:t>(2008)</w:t>
      </w:r>
      <w:r>
        <w:rPr>
          <w:spacing w:val="-3"/>
        </w:rPr>
        <w:t> </w:t>
      </w:r>
      <w:r>
        <w:rPr/>
        <w:t>analyzed</w:t>
      </w:r>
      <w:r>
        <w:rPr>
          <w:spacing w:val="-6"/>
        </w:rPr>
        <w:t> </w:t>
      </w:r>
      <w:r>
        <w:rPr/>
        <w:t>the</w:t>
      </w:r>
      <w:r>
        <w:rPr>
          <w:spacing w:val="-6"/>
        </w:rPr>
        <w:t> </w:t>
      </w:r>
      <w:r>
        <w:rPr/>
        <w:t>effects</w:t>
      </w:r>
      <w:r>
        <w:rPr>
          <w:spacing w:val="-5"/>
        </w:rPr>
        <w:t> </w:t>
      </w:r>
      <w:r>
        <w:rPr/>
        <w:t>of</w:t>
      </w:r>
      <w:r>
        <w:rPr>
          <w:spacing w:val="-7"/>
        </w:rPr>
        <w:t> </w:t>
      </w:r>
      <w:r>
        <w:rPr/>
        <w:t>389</w:t>
      </w:r>
      <w:r>
        <w:rPr>
          <w:spacing w:val="-6"/>
        </w:rPr>
        <w:t> </w:t>
      </w:r>
      <w:r>
        <w:rPr/>
        <w:t>households’</w:t>
      </w:r>
      <w:r>
        <w:rPr>
          <w:spacing w:val="-7"/>
        </w:rPr>
        <w:t> </w:t>
      </w:r>
      <w:r>
        <w:rPr/>
        <w:t>responses</w:t>
      </w:r>
      <w:r>
        <w:rPr>
          <w:spacing w:val="-6"/>
        </w:rPr>
        <w:t> </w:t>
      </w:r>
      <w:r>
        <w:rPr/>
        <w:t>to</w:t>
      </w:r>
      <w:r>
        <w:rPr>
          <w:spacing w:val="-5"/>
        </w:rPr>
        <w:t> </w:t>
      </w:r>
      <w:r>
        <w:rPr/>
        <w:t>public-piped</w:t>
      </w:r>
      <w:r>
        <w:rPr>
          <w:spacing w:val="-6"/>
        </w:rPr>
        <w:t> </w:t>
      </w:r>
      <w:r>
        <w:rPr/>
        <w:t>water</w:t>
      </w:r>
      <w:r>
        <w:rPr>
          <w:spacing w:val="-7"/>
        </w:rPr>
        <w:t> </w:t>
      </w:r>
      <w:r>
        <w:rPr/>
        <w:t>supply problem in the two urban cities of Lagos and Benin city in Nigeria. The survey result indicated that 40% of the dissatisfied households in Lagos exited, 17% voiced, and 19% showed</w:t>
      </w:r>
      <w:r>
        <w:rPr>
          <w:spacing w:val="14"/>
        </w:rPr>
        <w:t> </w:t>
      </w:r>
      <w:r>
        <w:rPr/>
        <w:t>loyalty</w:t>
      </w:r>
      <w:r>
        <w:rPr>
          <w:spacing w:val="13"/>
        </w:rPr>
        <w:t> </w:t>
      </w:r>
      <w:r>
        <w:rPr/>
        <w:t>and</w:t>
      </w:r>
      <w:r>
        <w:rPr>
          <w:spacing w:val="15"/>
        </w:rPr>
        <w:t> </w:t>
      </w:r>
      <w:r>
        <w:rPr/>
        <w:t>2%</w:t>
      </w:r>
      <w:r>
        <w:rPr>
          <w:spacing w:val="16"/>
        </w:rPr>
        <w:t> </w:t>
      </w:r>
      <w:r>
        <w:rPr/>
        <w:t>employed</w:t>
      </w:r>
      <w:r>
        <w:rPr>
          <w:spacing w:val="15"/>
        </w:rPr>
        <w:t> </w:t>
      </w:r>
      <w:r>
        <w:rPr/>
        <w:t>neglect.</w:t>
      </w:r>
      <w:r>
        <w:rPr>
          <w:spacing w:val="18"/>
        </w:rPr>
        <w:t> </w:t>
      </w:r>
      <w:r>
        <w:rPr/>
        <w:t>In</w:t>
      </w:r>
      <w:r>
        <w:rPr>
          <w:spacing w:val="16"/>
        </w:rPr>
        <w:t> </w:t>
      </w:r>
      <w:r>
        <w:rPr/>
        <w:t>Benin,</w:t>
      </w:r>
      <w:r>
        <w:rPr>
          <w:spacing w:val="16"/>
        </w:rPr>
        <w:t> </w:t>
      </w:r>
      <w:r>
        <w:rPr/>
        <w:t>15%</w:t>
      </w:r>
      <w:r>
        <w:rPr>
          <w:spacing w:val="14"/>
        </w:rPr>
        <w:t> </w:t>
      </w:r>
      <w:r>
        <w:rPr/>
        <w:t>exited,</w:t>
      </w:r>
      <w:r>
        <w:rPr>
          <w:spacing w:val="14"/>
        </w:rPr>
        <w:t> </w:t>
      </w:r>
      <w:r>
        <w:rPr/>
        <w:t>37%</w:t>
      </w:r>
      <w:r>
        <w:rPr>
          <w:spacing w:val="14"/>
        </w:rPr>
        <w:t> </w:t>
      </w:r>
      <w:r>
        <w:rPr/>
        <w:t>voiced</w:t>
      </w:r>
      <w:r>
        <w:rPr>
          <w:spacing w:val="15"/>
        </w:rPr>
        <w:t> </w:t>
      </w:r>
      <w:r>
        <w:rPr/>
        <w:t>and</w:t>
      </w:r>
      <w:r>
        <w:rPr>
          <w:spacing w:val="15"/>
        </w:rPr>
        <w:t> </w:t>
      </w:r>
      <w:r>
        <w:rPr>
          <w:spacing w:val="-2"/>
        </w:rPr>
        <w:t>showed</w:t>
      </w:r>
    </w:p>
    <w:p>
      <w:pPr>
        <w:spacing w:after="0" w:line="480" w:lineRule="auto"/>
        <w:jc w:val="both"/>
        <w:sectPr>
          <w:pgSz w:w="12240" w:h="15840"/>
          <w:pgMar w:header="0" w:footer="1068" w:top="1340" w:bottom="1260" w:left="1720" w:right="680"/>
        </w:sectPr>
      </w:pPr>
    </w:p>
    <w:p>
      <w:pPr>
        <w:pStyle w:val="BodyText"/>
        <w:spacing w:line="480" w:lineRule="auto" w:before="63"/>
        <w:ind w:left="267" w:right="726"/>
        <w:jc w:val="both"/>
      </w:pPr>
      <w:r>
        <w:rPr/>
        <w:t>loyalty respectively while 1% neglected the water supply problem. Gerlack and Franceys (2009) analyzed the water supply services focusing on poor and vulnerable water users in urban Jordan. The authors reported that the households coping strategies employed were buying</w:t>
      </w:r>
      <w:r>
        <w:rPr>
          <w:spacing w:val="-5"/>
        </w:rPr>
        <w:t> </w:t>
      </w:r>
      <w:r>
        <w:rPr/>
        <w:t>of</w:t>
      </w:r>
      <w:r>
        <w:rPr>
          <w:spacing w:val="-3"/>
        </w:rPr>
        <w:t> </w:t>
      </w:r>
      <w:r>
        <w:rPr/>
        <w:t>water</w:t>
      </w:r>
      <w:r>
        <w:rPr>
          <w:spacing w:val="-4"/>
        </w:rPr>
        <w:t> </w:t>
      </w:r>
      <w:r>
        <w:rPr/>
        <w:t>from</w:t>
      </w:r>
      <w:r>
        <w:rPr>
          <w:spacing w:val="-3"/>
        </w:rPr>
        <w:t> </w:t>
      </w:r>
      <w:r>
        <w:rPr/>
        <w:t>private</w:t>
      </w:r>
      <w:r>
        <w:rPr>
          <w:spacing w:val="-4"/>
        </w:rPr>
        <w:t> </w:t>
      </w:r>
      <w:r>
        <w:rPr/>
        <w:t>tankers,</w:t>
      </w:r>
      <w:r>
        <w:rPr>
          <w:spacing w:val="-3"/>
        </w:rPr>
        <w:t> </w:t>
      </w:r>
      <w:r>
        <w:rPr/>
        <w:t>the</w:t>
      </w:r>
      <w:r>
        <w:rPr>
          <w:spacing w:val="-4"/>
        </w:rPr>
        <w:t> </w:t>
      </w:r>
      <w:r>
        <w:rPr/>
        <w:t>use</w:t>
      </w:r>
      <w:r>
        <w:rPr>
          <w:spacing w:val="-4"/>
        </w:rPr>
        <w:t> </w:t>
      </w:r>
      <w:r>
        <w:rPr/>
        <w:t>of</w:t>
      </w:r>
      <w:r>
        <w:rPr>
          <w:spacing w:val="-3"/>
        </w:rPr>
        <w:t> </w:t>
      </w:r>
      <w:r>
        <w:rPr/>
        <w:t>storage</w:t>
      </w:r>
      <w:r>
        <w:rPr>
          <w:spacing w:val="-4"/>
        </w:rPr>
        <w:t> </w:t>
      </w:r>
      <w:r>
        <w:rPr/>
        <w:t>tanks,</w:t>
      </w:r>
      <w:r>
        <w:rPr>
          <w:spacing w:val="-3"/>
        </w:rPr>
        <w:t> </w:t>
      </w:r>
      <w:r>
        <w:rPr/>
        <w:t>collection</w:t>
      </w:r>
      <w:r>
        <w:rPr>
          <w:spacing w:val="-3"/>
        </w:rPr>
        <w:t> </w:t>
      </w:r>
      <w:r>
        <w:rPr/>
        <w:t>from</w:t>
      </w:r>
      <w:r>
        <w:rPr>
          <w:spacing w:val="-3"/>
        </w:rPr>
        <w:t> </w:t>
      </w:r>
      <w:r>
        <w:rPr/>
        <w:t>wells,</w:t>
      </w:r>
      <w:r>
        <w:rPr>
          <w:spacing w:val="-3"/>
        </w:rPr>
        <w:t> </w:t>
      </w:r>
      <w:r>
        <w:rPr/>
        <w:t>buying bottled</w:t>
      </w:r>
      <w:r>
        <w:rPr>
          <w:spacing w:val="-1"/>
        </w:rPr>
        <w:t> </w:t>
      </w:r>
      <w:r>
        <w:rPr/>
        <w:t>water, scheduling major</w:t>
      </w:r>
      <w:r>
        <w:rPr>
          <w:spacing w:val="-1"/>
        </w:rPr>
        <w:t> </w:t>
      </w:r>
      <w:r>
        <w:rPr/>
        <w:t>household activities</w:t>
      </w:r>
      <w:r>
        <w:rPr>
          <w:spacing w:val="-1"/>
        </w:rPr>
        <w:t> </w:t>
      </w:r>
      <w:r>
        <w:rPr/>
        <w:t>to when water</w:t>
      </w:r>
      <w:r>
        <w:rPr>
          <w:spacing w:val="-1"/>
        </w:rPr>
        <w:t> </w:t>
      </w:r>
      <w:r>
        <w:rPr/>
        <w:t>is available</w:t>
      </w:r>
      <w:r>
        <w:rPr>
          <w:spacing w:val="-1"/>
        </w:rPr>
        <w:t> </w:t>
      </w:r>
      <w:r>
        <w:rPr/>
        <w:t>and limiting water use.</w:t>
      </w:r>
    </w:p>
    <w:p>
      <w:pPr>
        <w:pStyle w:val="BodyText"/>
        <w:spacing w:before="1"/>
      </w:pPr>
    </w:p>
    <w:p>
      <w:pPr>
        <w:pStyle w:val="BodyText"/>
        <w:spacing w:line="480" w:lineRule="auto"/>
        <w:ind w:left="267" w:right="729"/>
        <w:jc w:val="both"/>
      </w:pPr>
      <w:r>
        <w:rPr/>
        <w:t>Sanusi</w:t>
      </w:r>
      <w:r>
        <w:rPr>
          <w:spacing w:val="-15"/>
        </w:rPr>
        <w:t> </w:t>
      </w:r>
      <w:r>
        <w:rPr/>
        <w:t>(2010)</w:t>
      </w:r>
      <w:r>
        <w:rPr>
          <w:spacing w:val="-15"/>
        </w:rPr>
        <w:t> </w:t>
      </w:r>
      <w:r>
        <w:rPr/>
        <w:t>examined</w:t>
      </w:r>
      <w:r>
        <w:rPr>
          <w:spacing w:val="-15"/>
        </w:rPr>
        <w:t> </w:t>
      </w:r>
      <w:r>
        <w:rPr/>
        <w:t>the</w:t>
      </w:r>
      <w:r>
        <w:rPr>
          <w:spacing w:val="-15"/>
        </w:rPr>
        <w:t> </w:t>
      </w:r>
      <w:r>
        <w:rPr/>
        <w:t>problem</w:t>
      </w:r>
      <w:r>
        <w:rPr>
          <w:spacing w:val="-15"/>
        </w:rPr>
        <w:t> </w:t>
      </w:r>
      <w:r>
        <w:rPr/>
        <w:t>of</w:t>
      </w:r>
      <w:r>
        <w:rPr>
          <w:spacing w:val="-15"/>
        </w:rPr>
        <w:t> </w:t>
      </w:r>
      <w:r>
        <w:rPr/>
        <w:t>water</w:t>
      </w:r>
      <w:r>
        <w:rPr>
          <w:spacing w:val="-15"/>
        </w:rPr>
        <w:t> </w:t>
      </w:r>
      <w:r>
        <w:rPr/>
        <w:t>supply</w:t>
      </w:r>
      <w:r>
        <w:rPr>
          <w:spacing w:val="-15"/>
        </w:rPr>
        <w:t> </w:t>
      </w:r>
      <w:r>
        <w:rPr/>
        <w:t>and</w:t>
      </w:r>
      <w:r>
        <w:rPr>
          <w:spacing w:val="-15"/>
        </w:rPr>
        <w:t> </w:t>
      </w:r>
      <w:r>
        <w:rPr/>
        <w:t>sanitation</w:t>
      </w:r>
      <w:r>
        <w:rPr>
          <w:spacing w:val="-14"/>
        </w:rPr>
        <w:t> </w:t>
      </w:r>
      <w:r>
        <w:rPr/>
        <w:t>facilities</w:t>
      </w:r>
      <w:r>
        <w:rPr>
          <w:spacing w:val="-15"/>
        </w:rPr>
        <w:t> </w:t>
      </w:r>
      <w:r>
        <w:rPr/>
        <w:t>in</w:t>
      </w:r>
      <w:r>
        <w:rPr>
          <w:spacing w:val="-14"/>
        </w:rPr>
        <w:t> </w:t>
      </w:r>
      <w:r>
        <w:rPr/>
        <w:t>five</w:t>
      </w:r>
      <w:r>
        <w:rPr>
          <w:spacing w:val="-15"/>
        </w:rPr>
        <w:t> </w:t>
      </w:r>
      <w:r>
        <w:rPr/>
        <w:t>(5)</w:t>
      </w:r>
      <w:r>
        <w:rPr>
          <w:spacing w:val="-15"/>
        </w:rPr>
        <w:t> </w:t>
      </w:r>
      <w:r>
        <w:rPr/>
        <w:t>urban fringe</w:t>
      </w:r>
      <w:r>
        <w:rPr>
          <w:spacing w:val="-3"/>
        </w:rPr>
        <w:t> </w:t>
      </w:r>
      <w:r>
        <w:rPr/>
        <w:t>settlements</w:t>
      </w:r>
      <w:r>
        <w:rPr>
          <w:spacing w:val="-3"/>
        </w:rPr>
        <w:t> </w:t>
      </w:r>
      <w:r>
        <w:rPr/>
        <w:t>of</w:t>
      </w:r>
      <w:r>
        <w:rPr>
          <w:spacing w:val="-3"/>
        </w:rPr>
        <w:t> </w:t>
      </w:r>
      <w:r>
        <w:rPr/>
        <w:t>Minna,</w:t>
      </w:r>
      <w:r>
        <w:rPr>
          <w:spacing w:val="-3"/>
        </w:rPr>
        <w:t> </w:t>
      </w:r>
      <w:r>
        <w:rPr/>
        <w:t>Nigeria.</w:t>
      </w:r>
      <w:r>
        <w:rPr>
          <w:spacing w:val="-1"/>
        </w:rPr>
        <w:t> </w:t>
      </w:r>
      <w:r>
        <w:rPr/>
        <w:t>Based</w:t>
      </w:r>
      <w:r>
        <w:rPr>
          <w:spacing w:val="-1"/>
        </w:rPr>
        <w:t> </w:t>
      </w:r>
      <w:r>
        <w:rPr/>
        <w:t>on</w:t>
      </w:r>
      <w:r>
        <w:rPr>
          <w:spacing w:val="-3"/>
        </w:rPr>
        <w:t> </w:t>
      </w:r>
      <w:r>
        <w:rPr/>
        <w:t>a</w:t>
      </w:r>
      <w:r>
        <w:rPr>
          <w:spacing w:val="-2"/>
        </w:rPr>
        <w:t> </w:t>
      </w:r>
      <w:r>
        <w:rPr/>
        <w:t>questionnaire</w:t>
      </w:r>
      <w:r>
        <w:rPr>
          <w:spacing w:val="-5"/>
        </w:rPr>
        <w:t> </w:t>
      </w:r>
      <w:r>
        <w:rPr/>
        <w:t>survey</w:t>
      </w:r>
      <w:r>
        <w:rPr>
          <w:spacing w:val="-7"/>
        </w:rPr>
        <w:t> </w:t>
      </w:r>
      <w:r>
        <w:rPr/>
        <w:t>of</w:t>
      </w:r>
      <w:r>
        <w:rPr>
          <w:spacing w:val="-2"/>
        </w:rPr>
        <w:t> </w:t>
      </w:r>
      <w:r>
        <w:rPr/>
        <w:t>80</w:t>
      </w:r>
      <w:r>
        <w:rPr>
          <w:spacing w:val="-1"/>
        </w:rPr>
        <w:t> </w:t>
      </w:r>
      <w:r>
        <w:rPr/>
        <w:t>households</w:t>
      </w:r>
      <w:r>
        <w:rPr>
          <w:spacing w:val="-3"/>
        </w:rPr>
        <w:t> </w:t>
      </w:r>
      <w:r>
        <w:rPr/>
        <w:t>and a</w:t>
      </w:r>
      <w:r>
        <w:rPr>
          <w:spacing w:val="-6"/>
        </w:rPr>
        <w:t> </w:t>
      </w:r>
      <w:r>
        <w:rPr/>
        <w:t>focus</w:t>
      </w:r>
      <w:r>
        <w:rPr>
          <w:spacing w:val="-2"/>
        </w:rPr>
        <w:t> </w:t>
      </w:r>
      <w:r>
        <w:rPr/>
        <w:t>group</w:t>
      </w:r>
      <w:r>
        <w:rPr>
          <w:spacing w:val="-3"/>
        </w:rPr>
        <w:t> </w:t>
      </w:r>
      <w:r>
        <w:rPr/>
        <w:t>interview</w:t>
      </w:r>
      <w:r>
        <w:rPr>
          <w:spacing w:val="-5"/>
        </w:rPr>
        <w:t> </w:t>
      </w:r>
      <w:r>
        <w:rPr/>
        <w:t>of</w:t>
      </w:r>
      <w:r>
        <w:rPr>
          <w:spacing w:val="-6"/>
        </w:rPr>
        <w:t> </w:t>
      </w:r>
      <w:r>
        <w:rPr/>
        <w:t>four</w:t>
      </w:r>
      <w:r>
        <w:rPr>
          <w:spacing w:val="-6"/>
        </w:rPr>
        <w:t> </w:t>
      </w:r>
      <w:r>
        <w:rPr/>
        <w:t>women</w:t>
      </w:r>
      <w:r>
        <w:rPr>
          <w:spacing w:val="-3"/>
        </w:rPr>
        <w:t> </w:t>
      </w:r>
      <w:r>
        <w:rPr/>
        <w:t>each</w:t>
      </w:r>
      <w:r>
        <w:rPr>
          <w:spacing w:val="-5"/>
        </w:rPr>
        <w:t> </w:t>
      </w:r>
      <w:r>
        <w:rPr/>
        <w:t>in</w:t>
      </w:r>
      <w:r>
        <w:rPr>
          <w:spacing w:val="-4"/>
        </w:rPr>
        <w:t> </w:t>
      </w:r>
      <w:r>
        <w:rPr/>
        <w:t>two</w:t>
      </w:r>
      <w:r>
        <w:rPr>
          <w:spacing w:val="-5"/>
        </w:rPr>
        <w:t> </w:t>
      </w:r>
      <w:r>
        <w:rPr/>
        <w:t>of</w:t>
      </w:r>
      <w:r>
        <w:rPr>
          <w:spacing w:val="-6"/>
        </w:rPr>
        <w:t> </w:t>
      </w:r>
      <w:r>
        <w:rPr/>
        <w:t>the</w:t>
      </w:r>
      <w:r>
        <w:rPr>
          <w:spacing w:val="-5"/>
        </w:rPr>
        <w:t> </w:t>
      </w:r>
      <w:r>
        <w:rPr/>
        <w:t>five</w:t>
      </w:r>
      <w:r>
        <w:rPr>
          <w:spacing w:val="-6"/>
        </w:rPr>
        <w:t> </w:t>
      </w:r>
      <w:r>
        <w:rPr/>
        <w:t>selected</w:t>
      </w:r>
      <w:r>
        <w:rPr>
          <w:spacing w:val="-5"/>
        </w:rPr>
        <w:t> </w:t>
      </w:r>
      <w:r>
        <w:rPr/>
        <w:t>settlements</w:t>
      </w:r>
      <w:r>
        <w:rPr>
          <w:spacing w:val="-4"/>
        </w:rPr>
        <w:t> </w:t>
      </w:r>
      <w:r>
        <w:rPr/>
        <w:t>the</w:t>
      </w:r>
      <w:r>
        <w:rPr>
          <w:spacing w:val="-5"/>
        </w:rPr>
        <w:t> </w:t>
      </w:r>
      <w:r>
        <w:rPr/>
        <w:t>study showed</w:t>
      </w:r>
      <w:r>
        <w:rPr>
          <w:spacing w:val="-11"/>
        </w:rPr>
        <w:t> </w:t>
      </w:r>
      <w:r>
        <w:rPr/>
        <w:t>that</w:t>
      </w:r>
      <w:r>
        <w:rPr>
          <w:spacing w:val="-11"/>
        </w:rPr>
        <w:t> </w:t>
      </w:r>
      <w:r>
        <w:rPr/>
        <w:t>the</w:t>
      </w:r>
      <w:r>
        <w:rPr>
          <w:spacing w:val="-11"/>
        </w:rPr>
        <w:t> </w:t>
      </w:r>
      <w:r>
        <w:rPr/>
        <w:t>households</w:t>
      </w:r>
      <w:r>
        <w:rPr>
          <w:spacing w:val="-10"/>
        </w:rPr>
        <w:t> </w:t>
      </w:r>
      <w:r>
        <w:rPr/>
        <w:t>were</w:t>
      </w:r>
      <w:r>
        <w:rPr>
          <w:spacing w:val="-10"/>
        </w:rPr>
        <w:t> </w:t>
      </w:r>
      <w:r>
        <w:rPr/>
        <w:t>water-stressed,</w:t>
      </w:r>
      <w:r>
        <w:rPr>
          <w:spacing w:val="-11"/>
        </w:rPr>
        <w:t> </w:t>
      </w:r>
      <w:r>
        <w:rPr/>
        <w:t>and</w:t>
      </w:r>
      <w:r>
        <w:rPr>
          <w:spacing w:val="-11"/>
        </w:rPr>
        <w:t> </w:t>
      </w:r>
      <w:r>
        <w:rPr/>
        <w:t>exhibited</w:t>
      </w:r>
      <w:r>
        <w:rPr>
          <w:spacing w:val="-11"/>
        </w:rPr>
        <w:t> </w:t>
      </w:r>
      <w:r>
        <w:rPr/>
        <w:t>collective</w:t>
      </w:r>
      <w:r>
        <w:rPr>
          <w:spacing w:val="-12"/>
        </w:rPr>
        <w:t> </w:t>
      </w:r>
      <w:r>
        <w:rPr/>
        <w:t>action</w:t>
      </w:r>
      <w:r>
        <w:rPr>
          <w:spacing w:val="-11"/>
        </w:rPr>
        <w:t> </w:t>
      </w:r>
      <w:r>
        <w:rPr/>
        <w:t>in</w:t>
      </w:r>
      <w:r>
        <w:rPr>
          <w:spacing w:val="-10"/>
        </w:rPr>
        <w:t> </w:t>
      </w:r>
      <w:r>
        <w:rPr/>
        <w:t>managing water sources by making contribution for water facilities repairs. Findings from the study also indicated that digging shallow holes near river valleys during dry seasons, water treatment</w:t>
      </w:r>
      <w:r>
        <w:rPr>
          <w:spacing w:val="-6"/>
        </w:rPr>
        <w:t> </w:t>
      </w:r>
      <w:r>
        <w:rPr/>
        <w:t>by</w:t>
      </w:r>
      <w:r>
        <w:rPr>
          <w:spacing w:val="-10"/>
        </w:rPr>
        <w:t> </w:t>
      </w:r>
      <w:r>
        <w:rPr/>
        <w:t>boiling</w:t>
      </w:r>
      <w:r>
        <w:rPr>
          <w:spacing w:val="-7"/>
        </w:rPr>
        <w:t> </w:t>
      </w:r>
      <w:r>
        <w:rPr/>
        <w:t>and</w:t>
      </w:r>
      <w:r>
        <w:rPr>
          <w:spacing w:val="-5"/>
        </w:rPr>
        <w:t> </w:t>
      </w:r>
      <w:r>
        <w:rPr/>
        <w:t>adding</w:t>
      </w:r>
      <w:r>
        <w:rPr>
          <w:spacing w:val="-7"/>
        </w:rPr>
        <w:t> </w:t>
      </w:r>
      <w:r>
        <w:rPr/>
        <w:t>alum,</w:t>
      </w:r>
      <w:r>
        <w:rPr>
          <w:spacing w:val="-7"/>
        </w:rPr>
        <w:t> </w:t>
      </w:r>
      <w:r>
        <w:rPr/>
        <w:t>purchase</w:t>
      </w:r>
      <w:r>
        <w:rPr>
          <w:spacing w:val="-6"/>
        </w:rPr>
        <w:t> </w:t>
      </w:r>
      <w:r>
        <w:rPr/>
        <w:t>of</w:t>
      </w:r>
      <w:r>
        <w:rPr>
          <w:spacing w:val="-6"/>
        </w:rPr>
        <w:t> </w:t>
      </w:r>
      <w:r>
        <w:rPr/>
        <w:t>sachet</w:t>
      </w:r>
      <w:r>
        <w:rPr>
          <w:spacing w:val="-7"/>
        </w:rPr>
        <w:t> </w:t>
      </w:r>
      <w:r>
        <w:rPr/>
        <w:t>water</w:t>
      </w:r>
      <w:r>
        <w:rPr>
          <w:spacing w:val="-6"/>
        </w:rPr>
        <w:t> </w:t>
      </w:r>
      <w:r>
        <w:rPr/>
        <w:t>when</w:t>
      </w:r>
      <w:r>
        <w:rPr>
          <w:spacing w:val="-5"/>
        </w:rPr>
        <w:t> </w:t>
      </w:r>
      <w:r>
        <w:rPr/>
        <w:t>water</w:t>
      </w:r>
      <w:r>
        <w:rPr>
          <w:spacing w:val="-6"/>
        </w:rPr>
        <w:t> </w:t>
      </w:r>
      <w:r>
        <w:rPr/>
        <w:t>quality</w:t>
      </w:r>
      <w:r>
        <w:rPr>
          <w:spacing w:val="-10"/>
        </w:rPr>
        <w:t> </w:t>
      </w:r>
      <w:r>
        <w:rPr/>
        <w:t>becomes unbearable and rainwater harvesting during rainy seasons were the major households’ adaptive measures employed across the five fringe urban settlements.</w:t>
      </w:r>
    </w:p>
    <w:p>
      <w:pPr>
        <w:pStyle w:val="BodyText"/>
        <w:spacing w:before="1"/>
      </w:pPr>
    </w:p>
    <w:p>
      <w:pPr>
        <w:pStyle w:val="BodyText"/>
        <w:spacing w:line="480" w:lineRule="auto"/>
        <w:ind w:left="267" w:right="721"/>
        <w:jc w:val="both"/>
      </w:pPr>
      <w:r>
        <w:rPr/>
        <w:t>The</w:t>
      </w:r>
      <w:r>
        <w:rPr>
          <w:spacing w:val="-3"/>
        </w:rPr>
        <w:t> </w:t>
      </w:r>
      <w:r>
        <w:rPr/>
        <w:t>study</w:t>
      </w:r>
      <w:r>
        <w:rPr>
          <w:spacing w:val="-6"/>
        </w:rPr>
        <w:t> </w:t>
      </w:r>
      <w:r>
        <w:rPr/>
        <w:t>by</w:t>
      </w:r>
      <w:r>
        <w:rPr>
          <w:spacing w:val="-4"/>
        </w:rPr>
        <w:t> </w:t>
      </w:r>
      <w:r>
        <w:rPr/>
        <w:t>Baisa </w:t>
      </w:r>
      <w:r>
        <w:rPr>
          <w:i/>
        </w:rPr>
        <w:t>et</w:t>
      </w:r>
      <w:r>
        <w:rPr>
          <w:i/>
          <w:spacing w:val="-1"/>
        </w:rPr>
        <w:t> </w:t>
      </w:r>
      <w:r>
        <w:rPr>
          <w:i/>
        </w:rPr>
        <w:t>al. </w:t>
      </w:r>
      <w:r>
        <w:rPr/>
        <w:t>(2010)</w:t>
      </w:r>
      <w:r>
        <w:rPr>
          <w:spacing w:val="-1"/>
        </w:rPr>
        <w:t> </w:t>
      </w:r>
      <w:r>
        <w:rPr/>
        <w:t>for</w:t>
      </w:r>
      <w:r>
        <w:rPr>
          <w:spacing w:val="-1"/>
        </w:rPr>
        <w:t> </w:t>
      </w:r>
      <w:r>
        <w:rPr/>
        <w:t>instance,</w:t>
      </w:r>
      <w:r>
        <w:rPr>
          <w:spacing w:val="-1"/>
        </w:rPr>
        <w:t> </w:t>
      </w:r>
      <w:r>
        <w:rPr/>
        <w:t>examined</w:t>
      </w:r>
      <w:r>
        <w:rPr>
          <w:spacing w:val="-1"/>
        </w:rPr>
        <w:t> </w:t>
      </w:r>
      <w:r>
        <w:rPr/>
        <w:t>the</w:t>
      </w:r>
      <w:r>
        <w:rPr>
          <w:spacing w:val="-1"/>
        </w:rPr>
        <w:t> </w:t>
      </w:r>
      <w:r>
        <w:rPr/>
        <w:t>unreliable</w:t>
      </w:r>
      <w:r>
        <w:rPr>
          <w:spacing w:val="-2"/>
        </w:rPr>
        <w:t> </w:t>
      </w:r>
      <w:r>
        <w:rPr/>
        <w:t>piped</w:t>
      </w:r>
      <w:r>
        <w:rPr>
          <w:spacing w:val="-1"/>
        </w:rPr>
        <w:t> </w:t>
      </w:r>
      <w:r>
        <w:rPr/>
        <w:t>water</w:t>
      </w:r>
      <w:r>
        <w:rPr>
          <w:spacing w:val="-1"/>
        </w:rPr>
        <w:t> </w:t>
      </w:r>
      <w:r>
        <w:rPr/>
        <w:t>supply</w:t>
      </w:r>
      <w:r>
        <w:rPr>
          <w:spacing w:val="-4"/>
        </w:rPr>
        <w:t> </w:t>
      </w:r>
      <w:r>
        <w:rPr/>
        <w:t>in urban Mexico City</w:t>
      </w:r>
      <w:r>
        <w:rPr>
          <w:spacing w:val="-3"/>
        </w:rPr>
        <w:t> </w:t>
      </w:r>
      <w:r>
        <w:rPr/>
        <w:t>using the national household and income survey, and found that storage tank</w:t>
      </w:r>
      <w:r>
        <w:rPr>
          <w:spacing w:val="-8"/>
        </w:rPr>
        <w:t> </w:t>
      </w:r>
      <w:r>
        <w:rPr/>
        <w:t>is</w:t>
      </w:r>
      <w:r>
        <w:rPr>
          <w:spacing w:val="-7"/>
        </w:rPr>
        <w:t> </w:t>
      </w:r>
      <w:r>
        <w:rPr/>
        <w:t>the</w:t>
      </w:r>
      <w:r>
        <w:rPr>
          <w:spacing w:val="-8"/>
        </w:rPr>
        <w:t> </w:t>
      </w:r>
      <w:r>
        <w:rPr/>
        <w:t>most</w:t>
      </w:r>
      <w:r>
        <w:rPr>
          <w:spacing w:val="-8"/>
        </w:rPr>
        <w:t> </w:t>
      </w:r>
      <w:r>
        <w:rPr/>
        <w:t>common</w:t>
      </w:r>
      <w:r>
        <w:rPr>
          <w:spacing w:val="-10"/>
        </w:rPr>
        <w:t> </w:t>
      </w:r>
      <w:r>
        <w:rPr/>
        <w:t>strategy</w:t>
      </w:r>
      <w:r>
        <w:rPr>
          <w:spacing w:val="-12"/>
        </w:rPr>
        <w:t> </w:t>
      </w:r>
      <w:r>
        <w:rPr/>
        <w:t>employed</w:t>
      </w:r>
      <w:r>
        <w:rPr>
          <w:spacing w:val="-7"/>
        </w:rPr>
        <w:t> </w:t>
      </w:r>
      <w:r>
        <w:rPr/>
        <w:t>by</w:t>
      </w:r>
      <w:r>
        <w:rPr>
          <w:spacing w:val="-12"/>
        </w:rPr>
        <w:t> </w:t>
      </w:r>
      <w:r>
        <w:rPr/>
        <w:t>households</w:t>
      </w:r>
      <w:r>
        <w:rPr>
          <w:spacing w:val="-7"/>
        </w:rPr>
        <w:t> </w:t>
      </w:r>
      <w:r>
        <w:rPr/>
        <w:t>in</w:t>
      </w:r>
      <w:r>
        <w:rPr>
          <w:spacing w:val="-7"/>
        </w:rPr>
        <w:t> </w:t>
      </w:r>
      <w:r>
        <w:rPr/>
        <w:t>coping</w:t>
      </w:r>
      <w:r>
        <w:rPr>
          <w:spacing w:val="-9"/>
        </w:rPr>
        <w:t> </w:t>
      </w:r>
      <w:r>
        <w:rPr/>
        <w:t>with</w:t>
      </w:r>
      <w:r>
        <w:rPr>
          <w:spacing w:val="-7"/>
        </w:rPr>
        <w:t> </w:t>
      </w:r>
      <w:r>
        <w:rPr/>
        <w:t>their</w:t>
      </w:r>
      <w:r>
        <w:rPr>
          <w:spacing w:val="-8"/>
        </w:rPr>
        <w:t> </w:t>
      </w:r>
      <w:r>
        <w:rPr/>
        <w:t>water</w:t>
      </w:r>
      <w:r>
        <w:rPr>
          <w:spacing w:val="-8"/>
        </w:rPr>
        <w:t> </w:t>
      </w:r>
      <w:r>
        <w:rPr/>
        <w:t>supply problem.</w:t>
      </w:r>
      <w:r>
        <w:rPr>
          <w:spacing w:val="-8"/>
        </w:rPr>
        <w:t> </w:t>
      </w:r>
      <w:r>
        <w:rPr/>
        <w:t>Similar</w:t>
      </w:r>
      <w:r>
        <w:rPr>
          <w:spacing w:val="-9"/>
        </w:rPr>
        <w:t> </w:t>
      </w:r>
      <w:r>
        <w:rPr/>
        <w:t>findings</w:t>
      </w:r>
      <w:r>
        <w:rPr>
          <w:spacing w:val="-8"/>
        </w:rPr>
        <w:t> </w:t>
      </w:r>
      <w:r>
        <w:rPr/>
        <w:t>have</w:t>
      </w:r>
      <w:r>
        <w:rPr>
          <w:spacing w:val="-9"/>
        </w:rPr>
        <w:t> </w:t>
      </w:r>
      <w:r>
        <w:rPr/>
        <w:t>earlier</w:t>
      </w:r>
      <w:r>
        <w:rPr>
          <w:spacing w:val="-9"/>
        </w:rPr>
        <w:t> </w:t>
      </w:r>
      <w:r>
        <w:rPr/>
        <w:t>echoed</w:t>
      </w:r>
      <w:r>
        <w:rPr>
          <w:spacing w:val="-8"/>
        </w:rPr>
        <w:t> </w:t>
      </w:r>
      <w:r>
        <w:rPr/>
        <w:t>that</w:t>
      </w:r>
      <w:r>
        <w:rPr>
          <w:spacing w:val="-6"/>
        </w:rPr>
        <w:t> </w:t>
      </w:r>
      <w:r>
        <w:rPr/>
        <w:t>water</w:t>
      </w:r>
      <w:r>
        <w:rPr>
          <w:spacing w:val="-9"/>
        </w:rPr>
        <w:t> </w:t>
      </w:r>
      <w:r>
        <w:rPr/>
        <w:t>storage</w:t>
      </w:r>
      <w:r>
        <w:rPr>
          <w:spacing w:val="-9"/>
        </w:rPr>
        <w:t> </w:t>
      </w:r>
      <w:r>
        <w:rPr/>
        <w:t>within</w:t>
      </w:r>
      <w:r>
        <w:rPr>
          <w:spacing w:val="-8"/>
        </w:rPr>
        <w:t> </w:t>
      </w:r>
      <w:r>
        <w:rPr/>
        <w:t>households</w:t>
      </w:r>
      <w:r>
        <w:rPr>
          <w:spacing w:val="-8"/>
        </w:rPr>
        <w:t> </w:t>
      </w:r>
      <w:r>
        <w:rPr/>
        <w:t>is</w:t>
      </w:r>
      <w:r>
        <w:rPr>
          <w:spacing w:val="-8"/>
        </w:rPr>
        <w:t> </w:t>
      </w:r>
      <w:r>
        <w:rPr/>
        <w:t>a</w:t>
      </w:r>
      <w:r>
        <w:rPr>
          <w:spacing w:val="-9"/>
        </w:rPr>
        <w:t> </w:t>
      </w:r>
      <w:r>
        <w:rPr/>
        <w:t>well- established</w:t>
      </w:r>
      <w:r>
        <w:rPr>
          <w:spacing w:val="-6"/>
        </w:rPr>
        <w:t> </w:t>
      </w:r>
      <w:r>
        <w:rPr/>
        <w:t>practice</w:t>
      </w:r>
      <w:r>
        <w:rPr>
          <w:spacing w:val="-7"/>
        </w:rPr>
        <w:t> </w:t>
      </w:r>
      <w:r>
        <w:rPr/>
        <w:t>for</w:t>
      </w:r>
      <w:r>
        <w:rPr>
          <w:spacing w:val="-7"/>
        </w:rPr>
        <w:t> </w:t>
      </w:r>
      <w:r>
        <w:rPr/>
        <w:t>providing</w:t>
      </w:r>
      <w:r>
        <w:rPr>
          <w:spacing w:val="-8"/>
        </w:rPr>
        <w:t> </w:t>
      </w:r>
      <w:r>
        <w:rPr/>
        <w:t>reserves</w:t>
      </w:r>
      <w:r>
        <w:rPr>
          <w:spacing w:val="-6"/>
        </w:rPr>
        <w:t> </w:t>
      </w:r>
      <w:r>
        <w:rPr/>
        <w:t>of</w:t>
      </w:r>
      <w:r>
        <w:rPr>
          <w:spacing w:val="-7"/>
        </w:rPr>
        <w:t> </w:t>
      </w:r>
      <w:r>
        <w:rPr/>
        <w:t>tap</w:t>
      </w:r>
      <w:r>
        <w:rPr>
          <w:spacing w:val="-3"/>
        </w:rPr>
        <w:t> </w:t>
      </w:r>
      <w:r>
        <w:rPr/>
        <w:t>water</w:t>
      </w:r>
      <w:r>
        <w:rPr>
          <w:spacing w:val="-7"/>
        </w:rPr>
        <w:t> </w:t>
      </w:r>
      <w:r>
        <w:rPr/>
        <w:t>or</w:t>
      </w:r>
      <w:r>
        <w:rPr>
          <w:spacing w:val="-3"/>
        </w:rPr>
        <w:t> </w:t>
      </w:r>
      <w:r>
        <w:rPr/>
        <w:t>rain</w:t>
      </w:r>
      <w:r>
        <w:rPr>
          <w:spacing w:val="-5"/>
        </w:rPr>
        <w:t> </w:t>
      </w:r>
      <w:r>
        <w:rPr/>
        <w:t>harvest</w:t>
      </w:r>
      <w:r>
        <w:rPr>
          <w:spacing w:val="-5"/>
        </w:rPr>
        <w:t> </w:t>
      </w:r>
      <w:r>
        <w:rPr/>
        <w:t>(Adekalu</w:t>
      </w:r>
      <w:r>
        <w:rPr>
          <w:spacing w:val="-1"/>
        </w:rPr>
        <w:t> </w:t>
      </w:r>
      <w:r>
        <w:rPr>
          <w:i/>
        </w:rPr>
        <w:t>et</w:t>
      </w:r>
      <w:r>
        <w:rPr>
          <w:i/>
          <w:spacing w:val="-5"/>
        </w:rPr>
        <w:t> </w:t>
      </w:r>
      <w:r>
        <w:rPr>
          <w:i/>
        </w:rPr>
        <w:t>al.</w:t>
      </w:r>
      <w:r>
        <w:rPr/>
        <w:t>,</w:t>
      </w:r>
      <w:r>
        <w:rPr>
          <w:spacing w:val="-6"/>
        </w:rPr>
        <w:t> </w:t>
      </w:r>
      <w:r>
        <w:rPr/>
        <w:t>2002; Bartlett;</w:t>
      </w:r>
      <w:r>
        <w:rPr>
          <w:spacing w:val="-4"/>
        </w:rPr>
        <w:t> </w:t>
      </w:r>
      <w:r>
        <w:rPr/>
        <w:t>2003;</w:t>
      </w:r>
      <w:r>
        <w:rPr>
          <w:spacing w:val="-4"/>
        </w:rPr>
        <w:t> </w:t>
      </w:r>
      <w:r>
        <w:rPr/>
        <w:t>Gulyani</w:t>
      </w:r>
      <w:r>
        <w:rPr>
          <w:spacing w:val="-3"/>
        </w:rPr>
        <w:t> </w:t>
      </w:r>
      <w:r>
        <w:rPr>
          <w:i/>
        </w:rPr>
        <w:t>et</w:t>
      </w:r>
      <w:r>
        <w:rPr>
          <w:i/>
          <w:spacing w:val="-2"/>
        </w:rPr>
        <w:t> </w:t>
      </w:r>
      <w:r>
        <w:rPr>
          <w:i/>
        </w:rPr>
        <w:t>al.</w:t>
      </w:r>
      <w:r>
        <w:rPr/>
        <w:t>,</w:t>
      </w:r>
      <w:r>
        <w:rPr>
          <w:spacing w:val="-5"/>
        </w:rPr>
        <w:t> </w:t>
      </w:r>
      <w:r>
        <w:rPr/>
        <w:t>2005;</w:t>
      </w:r>
      <w:r>
        <w:rPr>
          <w:spacing w:val="-7"/>
        </w:rPr>
        <w:t> </w:t>
      </w:r>
      <w:r>
        <w:rPr/>
        <w:t>Caprara</w:t>
      </w:r>
      <w:r>
        <w:rPr>
          <w:spacing w:val="-6"/>
        </w:rPr>
        <w:t> </w:t>
      </w:r>
      <w:r>
        <w:rPr>
          <w:i/>
        </w:rPr>
        <w:t>et</w:t>
      </w:r>
      <w:r>
        <w:rPr>
          <w:i/>
          <w:spacing w:val="-4"/>
        </w:rPr>
        <w:t> </w:t>
      </w:r>
      <w:r>
        <w:rPr>
          <w:i/>
        </w:rPr>
        <w:t>al.</w:t>
      </w:r>
      <w:r>
        <w:rPr/>
        <w:t>,</w:t>
      </w:r>
      <w:r>
        <w:rPr>
          <w:spacing w:val="-5"/>
        </w:rPr>
        <w:t> </w:t>
      </w:r>
      <w:r>
        <w:rPr/>
        <w:t>2009).</w:t>
      </w:r>
      <w:r>
        <w:rPr>
          <w:spacing w:val="-5"/>
        </w:rPr>
        <w:t> </w:t>
      </w:r>
      <w:r>
        <w:rPr/>
        <w:t>The</w:t>
      </w:r>
      <w:r>
        <w:rPr>
          <w:spacing w:val="-6"/>
        </w:rPr>
        <w:t> </w:t>
      </w:r>
      <w:r>
        <w:rPr/>
        <w:t>study</w:t>
      </w:r>
      <w:r>
        <w:rPr>
          <w:spacing w:val="-12"/>
        </w:rPr>
        <w:t> </w:t>
      </w:r>
      <w:r>
        <w:rPr/>
        <w:t>by</w:t>
      </w:r>
      <w:r>
        <w:rPr>
          <w:spacing w:val="-10"/>
        </w:rPr>
        <w:t> </w:t>
      </w:r>
      <w:r>
        <w:rPr/>
        <w:t>Potter</w:t>
      </w:r>
      <w:r>
        <w:rPr>
          <w:spacing w:val="-6"/>
        </w:rPr>
        <w:t> </w:t>
      </w:r>
      <w:r>
        <w:rPr/>
        <w:t>and</w:t>
      </w:r>
      <w:r>
        <w:rPr>
          <w:spacing w:val="-5"/>
        </w:rPr>
        <w:t> </w:t>
      </w:r>
      <w:r>
        <w:rPr/>
        <w:t>Darmame (2010)</w:t>
      </w:r>
      <w:r>
        <w:rPr>
          <w:spacing w:val="-9"/>
        </w:rPr>
        <w:t> </w:t>
      </w:r>
      <w:r>
        <w:rPr/>
        <w:t>examined</w:t>
      </w:r>
      <w:r>
        <w:rPr>
          <w:spacing w:val="-8"/>
        </w:rPr>
        <w:t> </w:t>
      </w:r>
      <w:r>
        <w:rPr/>
        <w:t>the</w:t>
      </w:r>
      <w:r>
        <w:rPr>
          <w:spacing w:val="-8"/>
        </w:rPr>
        <w:t> </w:t>
      </w:r>
      <w:r>
        <w:rPr/>
        <w:t>use</w:t>
      </w:r>
      <w:r>
        <w:rPr>
          <w:spacing w:val="-7"/>
        </w:rPr>
        <w:t> </w:t>
      </w:r>
      <w:r>
        <w:rPr/>
        <w:t>of</w:t>
      </w:r>
      <w:r>
        <w:rPr>
          <w:spacing w:val="-8"/>
        </w:rPr>
        <w:t> </w:t>
      </w:r>
      <w:r>
        <w:rPr/>
        <w:t>piped</w:t>
      </w:r>
      <w:r>
        <w:rPr>
          <w:spacing w:val="-8"/>
        </w:rPr>
        <w:t> </w:t>
      </w:r>
      <w:r>
        <w:rPr/>
        <w:t>water</w:t>
      </w:r>
      <w:r>
        <w:rPr>
          <w:spacing w:val="-8"/>
        </w:rPr>
        <w:t> </w:t>
      </w:r>
      <w:r>
        <w:rPr/>
        <w:t>from</w:t>
      </w:r>
      <w:r>
        <w:rPr>
          <w:spacing w:val="-8"/>
        </w:rPr>
        <w:t> </w:t>
      </w:r>
      <w:r>
        <w:rPr/>
        <w:t>a</w:t>
      </w:r>
      <w:r>
        <w:rPr>
          <w:spacing w:val="-9"/>
        </w:rPr>
        <w:t> </w:t>
      </w:r>
      <w:r>
        <w:rPr/>
        <w:t>social</w:t>
      </w:r>
      <w:r>
        <w:rPr>
          <w:spacing w:val="-8"/>
        </w:rPr>
        <w:t> </w:t>
      </w:r>
      <w:r>
        <w:rPr/>
        <w:t>equity</w:t>
      </w:r>
      <w:r>
        <w:rPr>
          <w:spacing w:val="-12"/>
        </w:rPr>
        <w:t> </w:t>
      </w:r>
      <w:r>
        <w:rPr/>
        <w:t>dimension</w:t>
      </w:r>
      <w:r>
        <w:rPr>
          <w:spacing w:val="-8"/>
        </w:rPr>
        <w:t> </w:t>
      </w:r>
      <w:r>
        <w:rPr/>
        <w:t>and</w:t>
      </w:r>
      <w:r>
        <w:rPr>
          <w:spacing w:val="-5"/>
        </w:rPr>
        <w:t> </w:t>
      </w:r>
      <w:r>
        <w:rPr/>
        <w:t>showed</w:t>
      </w:r>
      <w:r>
        <w:rPr>
          <w:spacing w:val="-8"/>
        </w:rPr>
        <w:t> </w:t>
      </w:r>
      <w:r>
        <w:rPr/>
        <w:t>that</w:t>
      </w:r>
      <w:r>
        <w:rPr>
          <w:spacing w:val="-8"/>
        </w:rPr>
        <w:t> </w:t>
      </w:r>
      <w:r>
        <w:rPr>
          <w:spacing w:val="-4"/>
        </w:rPr>
        <w:t>high</w:t>
      </w:r>
    </w:p>
    <w:p>
      <w:pPr>
        <w:spacing w:after="0" w:line="480" w:lineRule="auto"/>
        <w:jc w:val="both"/>
        <w:sectPr>
          <w:pgSz w:w="12240" w:h="15840"/>
          <w:pgMar w:header="0" w:footer="1068" w:top="1340" w:bottom="1260" w:left="1720" w:right="680"/>
        </w:sectPr>
      </w:pPr>
    </w:p>
    <w:p>
      <w:pPr>
        <w:pStyle w:val="BodyText"/>
        <w:spacing w:line="480" w:lineRule="auto" w:before="63"/>
        <w:ind w:left="267" w:right="733"/>
        <w:jc w:val="both"/>
      </w:pPr>
      <w:r>
        <w:rPr/>
        <w:t>income households adopted larger storage capacity tanks compared to low income households in urban Jordan.</w:t>
      </w:r>
    </w:p>
    <w:p>
      <w:pPr>
        <w:pStyle w:val="BodyText"/>
      </w:pPr>
    </w:p>
    <w:p>
      <w:pPr>
        <w:pStyle w:val="BodyText"/>
        <w:spacing w:line="480" w:lineRule="auto"/>
        <w:ind w:left="267" w:right="731"/>
        <w:jc w:val="both"/>
      </w:pPr>
      <w:r>
        <w:rPr/>
        <w:t>Similar to the research by Dutta and Tiwari (2005) and Mycoo (1996), the study by Virjee and Gaskin (2010) examined the willingness to pay for change in the service quality experienced among different categories of 1419 water users (piped in residence, piped in residence and other secondary</w:t>
      </w:r>
      <w:r>
        <w:rPr>
          <w:spacing w:val="-1"/>
        </w:rPr>
        <w:t> </w:t>
      </w:r>
      <w:r>
        <w:rPr/>
        <w:t>source and no residence connection) at Trindad and Tobago. In their study, storage tanks and water treatment were identified to be the most important water coping mechanisms employed in Trinidad and Tobago. Jamal and Rahman (2012) examined the coping strategies employed to tackle the water supply crisis in Dhaka, Bangladesh. The study revealed that drilling wells, collection from shared sources, buying water and water treatment were the adaptive measures employed as response to unreliable water supply. In line with the findings in Sanusi (2010), the study also reported that community action as a coping strategy was sought by households through contributing towards the establishment of a tube well.</w:t>
      </w:r>
    </w:p>
    <w:p>
      <w:pPr>
        <w:pStyle w:val="BodyText"/>
        <w:spacing w:before="2"/>
      </w:pPr>
    </w:p>
    <w:p>
      <w:pPr>
        <w:pStyle w:val="BodyText"/>
        <w:spacing w:line="480" w:lineRule="auto"/>
        <w:ind w:left="267" w:right="728"/>
        <w:jc w:val="both"/>
      </w:pPr>
      <w:r>
        <w:rPr/>
        <w:t>Subbaraman </w:t>
      </w:r>
      <w:r>
        <w:rPr>
          <w:i/>
        </w:rPr>
        <w:t>et al. </w:t>
      </w:r>
      <w:r>
        <w:rPr/>
        <w:t>(2013) conducted a survey of informal water delivery to 959 households in</w:t>
      </w:r>
      <w:r>
        <w:rPr>
          <w:spacing w:val="-8"/>
        </w:rPr>
        <w:t> </w:t>
      </w:r>
      <w:r>
        <w:rPr/>
        <w:t>Kaula</w:t>
      </w:r>
      <w:r>
        <w:rPr>
          <w:spacing w:val="-9"/>
        </w:rPr>
        <w:t> </w:t>
      </w:r>
      <w:r>
        <w:rPr/>
        <w:t>Bandar-</w:t>
      </w:r>
      <w:r>
        <w:rPr>
          <w:spacing w:val="-7"/>
        </w:rPr>
        <w:t> </w:t>
      </w:r>
      <w:r>
        <w:rPr/>
        <w:t>a</w:t>
      </w:r>
      <w:r>
        <w:rPr>
          <w:spacing w:val="-9"/>
        </w:rPr>
        <w:t> </w:t>
      </w:r>
      <w:r>
        <w:rPr/>
        <w:t>non-notified</w:t>
      </w:r>
      <w:r>
        <w:rPr>
          <w:spacing w:val="-8"/>
        </w:rPr>
        <w:t> </w:t>
      </w:r>
      <w:r>
        <w:rPr/>
        <w:t>slum</w:t>
      </w:r>
      <w:r>
        <w:rPr>
          <w:spacing w:val="-7"/>
        </w:rPr>
        <w:t> </w:t>
      </w:r>
      <w:r>
        <w:rPr/>
        <w:t>in</w:t>
      </w:r>
      <w:r>
        <w:rPr>
          <w:spacing w:val="-8"/>
        </w:rPr>
        <w:t> </w:t>
      </w:r>
      <w:r>
        <w:rPr/>
        <w:t>India.</w:t>
      </w:r>
      <w:r>
        <w:rPr>
          <w:spacing w:val="-8"/>
        </w:rPr>
        <w:t> </w:t>
      </w:r>
      <w:r>
        <w:rPr/>
        <w:t>The</w:t>
      </w:r>
      <w:r>
        <w:rPr>
          <w:spacing w:val="-7"/>
        </w:rPr>
        <w:t> </w:t>
      </w:r>
      <w:r>
        <w:rPr/>
        <w:t>survey</w:t>
      </w:r>
      <w:r>
        <w:rPr>
          <w:spacing w:val="-12"/>
        </w:rPr>
        <w:t> </w:t>
      </w:r>
      <w:r>
        <w:rPr/>
        <w:t>results</w:t>
      </w:r>
      <w:r>
        <w:rPr>
          <w:spacing w:val="-8"/>
        </w:rPr>
        <w:t> </w:t>
      </w:r>
      <w:r>
        <w:rPr/>
        <w:t>indicated</w:t>
      </w:r>
      <w:r>
        <w:rPr>
          <w:spacing w:val="-9"/>
        </w:rPr>
        <w:t> </w:t>
      </w:r>
      <w:r>
        <w:rPr/>
        <w:t>that</w:t>
      </w:r>
      <w:r>
        <w:rPr>
          <w:spacing w:val="-8"/>
        </w:rPr>
        <w:t> </w:t>
      </w:r>
      <w:r>
        <w:rPr/>
        <w:t>aside</w:t>
      </w:r>
      <w:r>
        <w:rPr>
          <w:spacing w:val="-9"/>
        </w:rPr>
        <w:t> </w:t>
      </w:r>
      <w:r>
        <w:rPr/>
        <w:t>the</w:t>
      </w:r>
      <w:r>
        <w:rPr>
          <w:spacing w:val="-9"/>
        </w:rPr>
        <w:t> </w:t>
      </w:r>
      <w:r>
        <w:rPr/>
        <w:t>use of private tanker, 95% of the sampled household’s resort to the use of less than 50 litre of water</w:t>
      </w:r>
      <w:r>
        <w:rPr>
          <w:spacing w:val="-11"/>
        </w:rPr>
        <w:t> </w:t>
      </w:r>
      <w:r>
        <w:rPr/>
        <w:t>per</w:t>
      </w:r>
      <w:r>
        <w:rPr>
          <w:spacing w:val="-10"/>
        </w:rPr>
        <w:t> </w:t>
      </w:r>
      <w:r>
        <w:rPr/>
        <w:t>capita</w:t>
      </w:r>
      <w:r>
        <w:rPr>
          <w:spacing w:val="-11"/>
        </w:rPr>
        <w:t> </w:t>
      </w:r>
      <w:r>
        <w:rPr/>
        <w:t>per</w:t>
      </w:r>
      <w:r>
        <w:rPr>
          <w:spacing w:val="-10"/>
        </w:rPr>
        <w:t> </w:t>
      </w:r>
      <w:r>
        <w:rPr/>
        <w:t>day</w:t>
      </w:r>
      <w:r>
        <w:rPr>
          <w:spacing w:val="-14"/>
        </w:rPr>
        <w:t> </w:t>
      </w:r>
      <w:r>
        <w:rPr/>
        <w:t>in</w:t>
      </w:r>
      <w:r>
        <w:rPr>
          <w:spacing w:val="-9"/>
        </w:rPr>
        <w:t> </w:t>
      </w:r>
      <w:r>
        <w:rPr/>
        <w:t>periods</w:t>
      </w:r>
      <w:r>
        <w:rPr>
          <w:spacing w:val="-10"/>
        </w:rPr>
        <w:t> </w:t>
      </w:r>
      <w:r>
        <w:rPr/>
        <w:t>of</w:t>
      </w:r>
      <w:r>
        <w:rPr>
          <w:spacing w:val="-10"/>
        </w:rPr>
        <w:t> </w:t>
      </w:r>
      <w:r>
        <w:rPr/>
        <w:t>water</w:t>
      </w:r>
      <w:r>
        <w:rPr>
          <w:spacing w:val="-11"/>
        </w:rPr>
        <w:t> </w:t>
      </w:r>
      <w:r>
        <w:rPr/>
        <w:t>supply</w:t>
      </w:r>
      <w:r>
        <w:rPr>
          <w:spacing w:val="-12"/>
        </w:rPr>
        <w:t> </w:t>
      </w:r>
      <w:r>
        <w:rPr/>
        <w:t>failure.</w:t>
      </w:r>
      <w:r>
        <w:rPr>
          <w:spacing w:val="-10"/>
        </w:rPr>
        <w:t> </w:t>
      </w:r>
      <w:r>
        <w:rPr/>
        <w:t>Chaminuka</w:t>
      </w:r>
      <w:r>
        <w:rPr>
          <w:spacing w:val="-11"/>
        </w:rPr>
        <w:t> </w:t>
      </w:r>
      <w:r>
        <w:rPr/>
        <w:t>and</w:t>
      </w:r>
      <w:r>
        <w:rPr>
          <w:spacing w:val="-7"/>
        </w:rPr>
        <w:t> </w:t>
      </w:r>
      <w:r>
        <w:rPr/>
        <w:t>Nyatsanza</w:t>
      </w:r>
      <w:r>
        <w:rPr>
          <w:spacing w:val="-11"/>
        </w:rPr>
        <w:t> </w:t>
      </w:r>
      <w:r>
        <w:rPr/>
        <w:t>(2013) investigated the cause and extent of water shortage and the coping measures employed by urban residents in Harare, Zimbabwe using convenience sampling. The empirical findings revealed that water collection from boreholes and neighbours, rainwater harvesting during rainy</w:t>
      </w:r>
      <w:r>
        <w:rPr>
          <w:spacing w:val="-1"/>
        </w:rPr>
        <w:t> </w:t>
      </w:r>
      <w:r>
        <w:rPr/>
        <w:t>season</w:t>
      </w:r>
      <w:r>
        <w:rPr>
          <w:spacing w:val="6"/>
        </w:rPr>
        <w:t> </w:t>
      </w:r>
      <w:r>
        <w:rPr/>
        <w:t>and</w:t>
      </w:r>
      <w:r>
        <w:rPr>
          <w:spacing w:val="5"/>
        </w:rPr>
        <w:t> </w:t>
      </w:r>
      <w:r>
        <w:rPr/>
        <w:t>drilling</w:t>
      </w:r>
      <w:r>
        <w:rPr>
          <w:spacing w:val="3"/>
        </w:rPr>
        <w:t> </w:t>
      </w:r>
      <w:r>
        <w:rPr/>
        <w:t>of</w:t>
      </w:r>
      <w:r>
        <w:rPr>
          <w:spacing w:val="5"/>
        </w:rPr>
        <w:t> </w:t>
      </w:r>
      <w:r>
        <w:rPr/>
        <w:t>wells</w:t>
      </w:r>
      <w:r>
        <w:rPr>
          <w:spacing w:val="6"/>
        </w:rPr>
        <w:t> </w:t>
      </w:r>
      <w:r>
        <w:rPr/>
        <w:t>were</w:t>
      </w:r>
      <w:r>
        <w:rPr>
          <w:spacing w:val="5"/>
        </w:rPr>
        <w:t> </w:t>
      </w:r>
      <w:r>
        <w:rPr/>
        <w:t>used</w:t>
      </w:r>
      <w:r>
        <w:rPr>
          <w:spacing w:val="5"/>
        </w:rPr>
        <w:t> </w:t>
      </w:r>
      <w:r>
        <w:rPr/>
        <w:t>by</w:t>
      </w:r>
      <w:r>
        <w:rPr>
          <w:spacing w:val="1"/>
        </w:rPr>
        <w:t> </w:t>
      </w:r>
      <w:r>
        <w:rPr/>
        <w:t>the</w:t>
      </w:r>
      <w:r>
        <w:rPr>
          <w:spacing w:val="5"/>
        </w:rPr>
        <w:t> </w:t>
      </w:r>
      <w:r>
        <w:rPr/>
        <w:t>respondents</w:t>
      </w:r>
      <w:r>
        <w:rPr>
          <w:spacing w:val="6"/>
        </w:rPr>
        <w:t> </w:t>
      </w:r>
      <w:r>
        <w:rPr/>
        <w:t>as</w:t>
      </w:r>
      <w:r>
        <w:rPr>
          <w:spacing w:val="6"/>
        </w:rPr>
        <w:t> </w:t>
      </w:r>
      <w:r>
        <w:rPr/>
        <w:t>coping</w:t>
      </w:r>
      <w:r>
        <w:rPr>
          <w:spacing w:val="6"/>
        </w:rPr>
        <w:t> </w:t>
      </w:r>
      <w:r>
        <w:rPr/>
        <w:t>strategies</w:t>
      </w:r>
      <w:r>
        <w:rPr>
          <w:spacing w:val="6"/>
        </w:rPr>
        <w:t> </w:t>
      </w:r>
      <w:r>
        <w:rPr>
          <w:spacing w:val="-2"/>
        </w:rPr>
        <w:t>against</w:t>
      </w:r>
    </w:p>
    <w:p>
      <w:pPr>
        <w:pStyle w:val="BodyText"/>
        <w:spacing w:line="274" w:lineRule="exact"/>
        <w:ind w:left="267"/>
        <w:jc w:val="both"/>
      </w:pPr>
      <w:r>
        <w:rPr/>
        <w:t>water</w:t>
      </w:r>
      <w:r>
        <w:rPr>
          <w:spacing w:val="-4"/>
        </w:rPr>
        <w:t> </w:t>
      </w:r>
      <w:r>
        <w:rPr>
          <w:spacing w:val="-2"/>
        </w:rPr>
        <w:t>shortage.</w:t>
      </w:r>
    </w:p>
    <w:p>
      <w:pPr>
        <w:spacing w:after="0" w:line="274" w:lineRule="exact"/>
        <w:jc w:val="both"/>
        <w:sectPr>
          <w:pgSz w:w="12240" w:h="15840"/>
          <w:pgMar w:header="0" w:footer="1068" w:top="1340" w:bottom="1260" w:left="1720" w:right="680"/>
        </w:sectPr>
      </w:pPr>
    </w:p>
    <w:p>
      <w:pPr>
        <w:pStyle w:val="BodyText"/>
        <w:spacing w:line="480" w:lineRule="auto" w:before="79"/>
        <w:ind w:left="267" w:right="701"/>
      </w:pPr>
      <w:r>
        <w:rPr/>
        <w:t>Pasakhala </w:t>
      </w:r>
      <w:r>
        <w:rPr>
          <w:i/>
        </w:rPr>
        <w:t>et al. </w:t>
      </w:r>
      <w:r>
        <w:rPr/>
        <w:t>(2013) examined the coping</w:t>
      </w:r>
      <w:r>
        <w:rPr>
          <w:spacing w:val="-2"/>
        </w:rPr>
        <w:t> </w:t>
      </w:r>
      <w:r>
        <w:rPr/>
        <w:t>strategies used by</w:t>
      </w:r>
      <w:r>
        <w:rPr>
          <w:spacing w:val="-4"/>
        </w:rPr>
        <w:t> </w:t>
      </w:r>
      <w:r>
        <w:rPr/>
        <w:t>217 households (111 renters and</w:t>
      </w:r>
      <w:r>
        <w:rPr>
          <w:spacing w:val="36"/>
        </w:rPr>
        <w:t> </w:t>
      </w:r>
      <w:r>
        <w:rPr/>
        <w:t>106</w:t>
      </w:r>
      <w:r>
        <w:rPr>
          <w:spacing w:val="36"/>
        </w:rPr>
        <w:t> </w:t>
      </w:r>
      <w:r>
        <w:rPr/>
        <w:t>owners)</w:t>
      </w:r>
      <w:r>
        <w:rPr>
          <w:spacing w:val="37"/>
        </w:rPr>
        <w:t> </w:t>
      </w:r>
      <w:r>
        <w:rPr/>
        <w:t>in</w:t>
      </w:r>
      <w:r>
        <w:rPr>
          <w:spacing w:val="36"/>
        </w:rPr>
        <w:t> </w:t>
      </w:r>
      <w:r>
        <w:rPr/>
        <w:t>Kathmandu,</w:t>
      </w:r>
      <w:r>
        <w:rPr>
          <w:spacing w:val="35"/>
        </w:rPr>
        <w:t> </w:t>
      </w:r>
      <w:r>
        <w:rPr/>
        <w:t>Nepal.</w:t>
      </w:r>
      <w:r>
        <w:rPr>
          <w:spacing w:val="36"/>
        </w:rPr>
        <w:t> </w:t>
      </w:r>
      <w:r>
        <w:rPr/>
        <w:t>Findings</w:t>
      </w:r>
      <w:r>
        <w:rPr>
          <w:spacing w:val="36"/>
        </w:rPr>
        <w:t> </w:t>
      </w:r>
      <w:r>
        <w:rPr/>
        <w:t>from</w:t>
      </w:r>
      <w:r>
        <w:rPr>
          <w:spacing w:val="36"/>
        </w:rPr>
        <w:t> </w:t>
      </w:r>
      <w:r>
        <w:rPr/>
        <w:t>their</w:t>
      </w:r>
      <w:r>
        <w:rPr>
          <w:spacing w:val="37"/>
        </w:rPr>
        <w:t> </w:t>
      </w:r>
      <w:r>
        <w:rPr/>
        <w:t>research</w:t>
      </w:r>
      <w:r>
        <w:rPr>
          <w:spacing w:val="36"/>
        </w:rPr>
        <w:t> </w:t>
      </w:r>
      <w:r>
        <w:rPr/>
        <w:t>showed</w:t>
      </w:r>
      <w:r>
        <w:rPr>
          <w:spacing w:val="36"/>
        </w:rPr>
        <w:t> </w:t>
      </w:r>
      <w:r>
        <w:rPr/>
        <w:t>that</w:t>
      </w:r>
      <w:r>
        <w:rPr>
          <w:spacing w:val="38"/>
        </w:rPr>
        <w:t> </w:t>
      </w:r>
      <w:r>
        <w:rPr/>
        <w:t>water storage tanks and water supply from multiple sources were the predominantly used water</w:t>
      </w:r>
      <w:r>
        <w:rPr>
          <w:spacing w:val="80"/>
        </w:rPr>
        <w:t> </w:t>
      </w:r>
      <w:r>
        <w:rPr/>
        <w:t>coping</w:t>
      </w:r>
      <w:r>
        <w:rPr>
          <w:spacing w:val="40"/>
        </w:rPr>
        <w:t> </w:t>
      </w:r>
      <w:r>
        <w:rPr/>
        <w:t>measures</w:t>
      </w:r>
      <w:r>
        <w:rPr>
          <w:spacing w:val="40"/>
        </w:rPr>
        <w:t> </w:t>
      </w:r>
      <w:r>
        <w:rPr/>
        <w:t>by</w:t>
      </w:r>
      <w:r>
        <w:rPr>
          <w:spacing w:val="40"/>
        </w:rPr>
        <w:t> </w:t>
      </w:r>
      <w:r>
        <w:rPr/>
        <w:t>both</w:t>
      </w:r>
      <w:r>
        <w:rPr>
          <w:spacing w:val="40"/>
        </w:rPr>
        <w:t> </w:t>
      </w:r>
      <w:r>
        <w:rPr/>
        <w:t>renters</w:t>
      </w:r>
      <w:r>
        <w:rPr>
          <w:spacing w:val="40"/>
        </w:rPr>
        <w:t> </w:t>
      </w:r>
      <w:r>
        <w:rPr/>
        <w:t>and</w:t>
      </w:r>
      <w:r>
        <w:rPr>
          <w:spacing w:val="40"/>
        </w:rPr>
        <w:t> </w:t>
      </w:r>
      <w:r>
        <w:rPr/>
        <w:t>owners</w:t>
      </w:r>
      <w:r>
        <w:rPr>
          <w:spacing w:val="40"/>
        </w:rPr>
        <w:t> </w:t>
      </w:r>
      <w:r>
        <w:rPr/>
        <w:t>in</w:t>
      </w:r>
      <w:r>
        <w:rPr>
          <w:spacing w:val="40"/>
        </w:rPr>
        <w:t> </w:t>
      </w:r>
      <w:r>
        <w:rPr/>
        <w:t>the</w:t>
      </w:r>
      <w:r>
        <w:rPr>
          <w:spacing w:val="40"/>
        </w:rPr>
        <w:t> </w:t>
      </w:r>
      <w:r>
        <w:rPr/>
        <w:t>study</w:t>
      </w:r>
      <w:r>
        <w:rPr>
          <w:spacing w:val="40"/>
        </w:rPr>
        <w:t> </w:t>
      </w:r>
      <w:r>
        <w:rPr/>
        <w:t>area.</w:t>
      </w:r>
      <w:r>
        <w:rPr>
          <w:spacing w:val="40"/>
        </w:rPr>
        <w:t> </w:t>
      </w:r>
      <w:r>
        <w:rPr/>
        <w:t>Furthermore,</w:t>
      </w:r>
      <w:r>
        <w:rPr>
          <w:spacing w:val="40"/>
        </w:rPr>
        <w:t> </w:t>
      </w:r>
      <w:r>
        <w:rPr/>
        <w:t>the</w:t>
      </w:r>
      <w:r>
        <w:rPr>
          <w:spacing w:val="40"/>
        </w:rPr>
        <w:t> </w:t>
      </w:r>
      <w:r>
        <w:rPr/>
        <w:t>study concluded that while strategies as varied as water purchase from commercial supply, use of gray water and ground water extraction were employed by both owners and renters, there</w:t>
      </w:r>
      <w:r>
        <w:rPr>
          <w:spacing w:val="40"/>
        </w:rPr>
        <w:t> </w:t>
      </w:r>
      <w:r>
        <w:rPr/>
        <w:t>was</w:t>
      </w:r>
      <w:r>
        <w:rPr>
          <w:spacing w:val="-6"/>
        </w:rPr>
        <w:t> </w:t>
      </w:r>
      <w:r>
        <w:rPr/>
        <w:t>significant</w:t>
      </w:r>
      <w:r>
        <w:rPr>
          <w:spacing w:val="-5"/>
        </w:rPr>
        <w:t> </w:t>
      </w:r>
      <w:r>
        <w:rPr/>
        <w:t>difference</w:t>
      </w:r>
      <w:r>
        <w:rPr>
          <w:spacing w:val="-7"/>
        </w:rPr>
        <w:t> </w:t>
      </w:r>
      <w:r>
        <w:rPr/>
        <w:t>between</w:t>
      </w:r>
      <w:r>
        <w:rPr>
          <w:spacing w:val="-6"/>
        </w:rPr>
        <w:t> </w:t>
      </w:r>
      <w:r>
        <w:rPr/>
        <w:t>the</w:t>
      </w:r>
      <w:r>
        <w:rPr>
          <w:spacing w:val="-6"/>
        </w:rPr>
        <w:t> </w:t>
      </w:r>
      <w:r>
        <w:rPr/>
        <w:t>two</w:t>
      </w:r>
      <w:r>
        <w:rPr>
          <w:spacing w:val="-6"/>
        </w:rPr>
        <w:t> </w:t>
      </w:r>
      <w:r>
        <w:rPr/>
        <w:t>group</w:t>
      </w:r>
      <w:r>
        <w:rPr>
          <w:spacing w:val="-4"/>
        </w:rPr>
        <w:t> </w:t>
      </w:r>
      <w:r>
        <w:rPr/>
        <w:t>of</w:t>
      </w:r>
      <w:r>
        <w:rPr>
          <w:spacing w:val="-7"/>
        </w:rPr>
        <w:t> </w:t>
      </w:r>
      <w:r>
        <w:rPr/>
        <w:t>households</w:t>
      </w:r>
      <w:r>
        <w:rPr>
          <w:spacing w:val="-5"/>
        </w:rPr>
        <w:t> </w:t>
      </w:r>
      <w:r>
        <w:rPr/>
        <w:t>in</w:t>
      </w:r>
      <w:r>
        <w:rPr>
          <w:spacing w:val="-5"/>
        </w:rPr>
        <w:t> </w:t>
      </w:r>
      <w:r>
        <w:rPr/>
        <w:t>terms</w:t>
      </w:r>
      <w:r>
        <w:rPr>
          <w:spacing w:val="-6"/>
        </w:rPr>
        <w:t> </w:t>
      </w:r>
      <w:r>
        <w:rPr/>
        <w:t>of</w:t>
      </w:r>
      <w:r>
        <w:rPr>
          <w:spacing w:val="-9"/>
        </w:rPr>
        <w:t> </w:t>
      </w:r>
      <w:r>
        <w:rPr/>
        <w:t>their</w:t>
      </w:r>
      <w:r>
        <w:rPr>
          <w:spacing w:val="-7"/>
        </w:rPr>
        <w:t> </w:t>
      </w:r>
      <w:r>
        <w:rPr/>
        <w:t>adoption</w:t>
      </w:r>
      <w:r>
        <w:rPr>
          <w:spacing w:val="-6"/>
        </w:rPr>
        <w:t> </w:t>
      </w:r>
      <w:r>
        <w:rPr/>
        <w:t>of large water storage tank, rainwater harvesting, reduction in water consumption and water</w:t>
      </w:r>
      <w:r>
        <w:rPr>
          <w:spacing w:val="80"/>
        </w:rPr>
        <w:t> </w:t>
      </w:r>
      <w:r>
        <w:rPr/>
        <w:t>efficiency</w:t>
      </w:r>
      <w:r>
        <w:rPr>
          <w:spacing w:val="-1"/>
        </w:rPr>
        <w:t> </w:t>
      </w:r>
      <w:r>
        <w:rPr/>
        <w:t>retrofit (efficient shower heads and dual flush toilet system) as coping measures. Utilizing convenience sampling, the study by Adeniji-Oloukoi </w:t>
      </w:r>
      <w:r>
        <w:rPr>
          <w:i/>
        </w:rPr>
        <w:t>et al. </w:t>
      </w:r>
      <w:r>
        <w:rPr/>
        <w:t>(2013) identified the</w:t>
      </w:r>
      <w:r>
        <w:rPr>
          <w:spacing w:val="80"/>
        </w:rPr>
        <w:t> </w:t>
      </w:r>
      <w:r>
        <w:rPr/>
        <w:t>typology</w:t>
      </w:r>
      <w:r>
        <w:rPr>
          <w:spacing w:val="-10"/>
        </w:rPr>
        <w:t> </w:t>
      </w:r>
      <w:r>
        <w:rPr/>
        <w:t>of</w:t>
      </w:r>
      <w:r>
        <w:rPr>
          <w:spacing w:val="-6"/>
        </w:rPr>
        <w:t> </w:t>
      </w:r>
      <w:r>
        <w:rPr/>
        <w:t>strategies</w:t>
      </w:r>
      <w:r>
        <w:rPr>
          <w:spacing w:val="-5"/>
        </w:rPr>
        <w:t> </w:t>
      </w:r>
      <w:r>
        <w:rPr/>
        <w:t>that</w:t>
      </w:r>
      <w:r>
        <w:rPr>
          <w:spacing w:val="-4"/>
        </w:rPr>
        <w:t> </w:t>
      </w:r>
      <w:r>
        <w:rPr/>
        <w:t>are</w:t>
      </w:r>
      <w:r>
        <w:rPr>
          <w:spacing w:val="-7"/>
        </w:rPr>
        <w:t> </w:t>
      </w:r>
      <w:r>
        <w:rPr/>
        <w:t>available</w:t>
      </w:r>
      <w:r>
        <w:rPr>
          <w:spacing w:val="-3"/>
        </w:rPr>
        <w:t> </w:t>
      </w:r>
      <w:r>
        <w:rPr/>
        <w:t>to</w:t>
      </w:r>
      <w:r>
        <w:rPr>
          <w:spacing w:val="-4"/>
        </w:rPr>
        <w:t> </w:t>
      </w:r>
      <w:r>
        <w:rPr/>
        <w:t>households</w:t>
      </w:r>
      <w:r>
        <w:rPr>
          <w:spacing w:val="-4"/>
        </w:rPr>
        <w:t> </w:t>
      </w:r>
      <w:r>
        <w:rPr/>
        <w:t>in</w:t>
      </w:r>
      <w:r>
        <w:rPr>
          <w:spacing w:val="-4"/>
        </w:rPr>
        <w:t> </w:t>
      </w:r>
      <w:r>
        <w:rPr/>
        <w:t>coping</w:t>
      </w:r>
      <w:r>
        <w:rPr>
          <w:spacing w:val="-7"/>
        </w:rPr>
        <w:t> </w:t>
      </w:r>
      <w:r>
        <w:rPr/>
        <w:t>with</w:t>
      </w:r>
      <w:r>
        <w:rPr>
          <w:spacing w:val="-4"/>
        </w:rPr>
        <w:t> </w:t>
      </w:r>
      <w:r>
        <w:rPr/>
        <w:t>water</w:t>
      </w:r>
      <w:r>
        <w:rPr>
          <w:spacing w:val="-2"/>
        </w:rPr>
        <w:t> </w:t>
      </w:r>
      <w:r>
        <w:rPr/>
        <w:t>supply</w:t>
      </w:r>
      <w:r>
        <w:rPr>
          <w:spacing w:val="-10"/>
        </w:rPr>
        <w:t> </w:t>
      </w:r>
      <w:r>
        <w:rPr/>
        <w:t>shortages in</w:t>
      </w:r>
      <w:r>
        <w:rPr>
          <w:spacing w:val="-4"/>
        </w:rPr>
        <w:t> </w:t>
      </w:r>
      <w:r>
        <w:rPr/>
        <w:t>Oke-Ogun,</w:t>
      </w:r>
      <w:r>
        <w:rPr>
          <w:spacing w:val="-3"/>
        </w:rPr>
        <w:t> </w:t>
      </w:r>
      <w:r>
        <w:rPr/>
        <w:t>Nigeria.</w:t>
      </w:r>
      <w:r>
        <w:rPr>
          <w:spacing w:val="-5"/>
        </w:rPr>
        <w:t> </w:t>
      </w:r>
      <w:r>
        <w:rPr/>
        <w:t>Rain</w:t>
      </w:r>
      <w:r>
        <w:rPr>
          <w:spacing w:val="-4"/>
        </w:rPr>
        <w:t> </w:t>
      </w:r>
      <w:r>
        <w:rPr/>
        <w:t>water</w:t>
      </w:r>
      <w:r>
        <w:rPr>
          <w:spacing w:val="-2"/>
        </w:rPr>
        <w:t> </w:t>
      </w:r>
      <w:r>
        <w:rPr/>
        <w:t>collection;</w:t>
      </w:r>
      <w:r>
        <w:rPr>
          <w:spacing w:val="-4"/>
        </w:rPr>
        <w:t> </w:t>
      </w:r>
      <w:r>
        <w:rPr/>
        <w:t>recycling</w:t>
      </w:r>
      <w:r>
        <w:rPr>
          <w:spacing w:val="-5"/>
        </w:rPr>
        <w:t> </w:t>
      </w:r>
      <w:r>
        <w:rPr/>
        <w:t>water</w:t>
      </w:r>
      <w:r>
        <w:rPr>
          <w:spacing w:val="-6"/>
        </w:rPr>
        <w:t> </w:t>
      </w:r>
      <w:r>
        <w:rPr/>
        <w:t>for</w:t>
      </w:r>
      <w:r>
        <w:rPr>
          <w:spacing w:val="-6"/>
        </w:rPr>
        <w:t> </w:t>
      </w:r>
      <w:r>
        <w:rPr/>
        <w:t>other</w:t>
      </w:r>
      <w:r>
        <w:rPr>
          <w:spacing w:val="-6"/>
        </w:rPr>
        <w:t> </w:t>
      </w:r>
      <w:r>
        <w:rPr/>
        <w:t>uses,</w:t>
      </w:r>
      <w:r>
        <w:rPr>
          <w:spacing w:val="-5"/>
        </w:rPr>
        <w:t> </w:t>
      </w:r>
      <w:r>
        <w:rPr/>
        <w:t>rescheduling</w:t>
      </w:r>
      <w:r>
        <w:rPr>
          <w:spacing w:val="-5"/>
        </w:rPr>
        <w:t> </w:t>
      </w:r>
      <w:r>
        <w:rPr/>
        <w:t>of water</w:t>
      </w:r>
      <w:r>
        <w:rPr>
          <w:spacing w:val="40"/>
        </w:rPr>
        <w:t> </w:t>
      </w:r>
      <w:r>
        <w:rPr/>
        <w:t>collection</w:t>
      </w:r>
      <w:r>
        <w:rPr>
          <w:spacing w:val="40"/>
        </w:rPr>
        <w:t> </w:t>
      </w:r>
      <w:r>
        <w:rPr/>
        <w:t>from</w:t>
      </w:r>
      <w:r>
        <w:rPr>
          <w:spacing w:val="40"/>
        </w:rPr>
        <w:t> </w:t>
      </w:r>
      <w:r>
        <w:rPr/>
        <w:t>community</w:t>
      </w:r>
      <w:r>
        <w:rPr>
          <w:spacing w:val="40"/>
        </w:rPr>
        <w:t> </w:t>
      </w:r>
      <w:r>
        <w:rPr/>
        <w:t>wells</w:t>
      </w:r>
      <w:r>
        <w:rPr>
          <w:spacing w:val="40"/>
        </w:rPr>
        <w:t> </w:t>
      </w:r>
      <w:r>
        <w:rPr/>
        <w:t>and</w:t>
      </w:r>
      <w:r>
        <w:rPr>
          <w:spacing w:val="40"/>
        </w:rPr>
        <w:t> </w:t>
      </w:r>
      <w:r>
        <w:rPr/>
        <w:t>households</w:t>
      </w:r>
      <w:r>
        <w:rPr>
          <w:spacing w:val="40"/>
        </w:rPr>
        <w:t> </w:t>
      </w:r>
      <w:r>
        <w:rPr/>
        <w:t>purchasing</w:t>
      </w:r>
      <w:r>
        <w:rPr>
          <w:spacing w:val="40"/>
        </w:rPr>
        <w:t> </w:t>
      </w:r>
      <w:r>
        <w:rPr/>
        <w:t>water</w:t>
      </w:r>
      <w:r>
        <w:rPr>
          <w:spacing w:val="40"/>
        </w:rPr>
        <w:t> </w:t>
      </w:r>
      <w:r>
        <w:rPr/>
        <w:t>from</w:t>
      </w:r>
      <w:r>
        <w:rPr>
          <w:spacing w:val="40"/>
        </w:rPr>
        <w:t> </w:t>
      </w:r>
      <w:r>
        <w:rPr/>
        <w:t>private vendors were adopted as strategies in coping with water shortage in the study area.</w:t>
      </w:r>
    </w:p>
    <w:p>
      <w:pPr>
        <w:pStyle w:val="BodyText"/>
        <w:spacing w:before="2"/>
      </w:pPr>
    </w:p>
    <w:p>
      <w:pPr>
        <w:pStyle w:val="BodyText"/>
        <w:spacing w:line="480" w:lineRule="auto"/>
        <w:ind w:left="267" w:right="728"/>
        <w:jc w:val="both"/>
      </w:pPr>
      <w:r>
        <w:rPr/>
        <w:t>The specific study conducted by Ahile </w:t>
      </w:r>
      <w:r>
        <w:rPr>
          <w:i/>
        </w:rPr>
        <w:t>et al. </w:t>
      </w:r>
      <w:r>
        <w:rPr/>
        <w:t>(2015) examined the coping strategies of 228 households</w:t>
      </w:r>
      <w:r>
        <w:rPr>
          <w:spacing w:val="-1"/>
        </w:rPr>
        <w:t> </w:t>
      </w:r>
      <w:r>
        <w:rPr/>
        <w:t>against water scarcity</w:t>
      </w:r>
      <w:r>
        <w:rPr>
          <w:spacing w:val="-6"/>
        </w:rPr>
        <w:t> </w:t>
      </w:r>
      <w:r>
        <w:rPr/>
        <w:t>in</w:t>
      </w:r>
      <w:r>
        <w:rPr>
          <w:spacing w:val="-1"/>
        </w:rPr>
        <w:t> </w:t>
      </w:r>
      <w:r>
        <w:rPr/>
        <w:t>Makurdi,</w:t>
      </w:r>
      <w:r>
        <w:rPr>
          <w:spacing w:val="-2"/>
        </w:rPr>
        <w:t> </w:t>
      </w:r>
      <w:r>
        <w:rPr/>
        <w:t>Nigeria. Based on</w:t>
      </w:r>
      <w:r>
        <w:rPr>
          <w:spacing w:val="-1"/>
        </w:rPr>
        <w:t> </w:t>
      </w:r>
      <w:r>
        <w:rPr/>
        <w:t>their</w:t>
      </w:r>
      <w:r>
        <w:rPr>
          <w:spacing w:val="-2"/>
        </w:rPr>
        <w:t> </w:t>
      </w:r>
      <w:r>
        <w:rPr/>
        <w:t>questionnaire</w:t>
      </w:r>
      <w:r>
        <w:rPr>
          <w:spacing w:val="-3"/>
        </w:rPr>
        <w:t> </w:t>
      </w:r>
      <w:r>
        <w:rPr/>
        <w:t>survey, the respondents identified dredging dry hand dug wells as the most commonly used coping strategy while minimizing water use was the least employed coping strategy. In the study, fisher’s</w:t>
      </w:r>
      <w:r>
        <w:rPr>
          <w:spacing w:val="-1"/>
        </w:rPr>
        <w:t> </w:t>
      </w:r>
      <w:r>
        <w:rPr/>
        <w:t>exact</w:t>
      </w:r>
      <w:r>
        <w:rPr>
          <w:spacing w:val="-1"/>
        </w:rPr>
        <w:t> </w:t>
      </w:r>
      <w:r>
        <w:rPr/>
        <w:t>test</w:t>
      </w:r>
      <w:r>
        <w:rPr>
          <w:spacing w:val="-1"/>
        </w:rPr>
        <w:t> </w:t>
      </w:r>
      <w:r>
        <w:rPr/>
        <w:t>was</w:t>
      </w:r>
      <w:r>
        <w:rPr>
          <w:spacing w:val="-1"/>
        </w:rPr>
        <w:t> </w:t>
      </w:r>
      <w:r>
        <w:rPr/>
        <w:t>also</w:t>
      </w:r>
      <w:r>
        <w:rPr>
          <w:spacing w:val="-1"/>
        </w:rPr>
        <w:t> </w:t>
      </w:r>
      <w:r>
        <w:rPr/>
        <w:t>employed</w:t>
      </w:r>
      <w:r>
        <w:rPr>
          <w:spacing w:val="-1"/>
        </w:rPr>
        <w:t> </w:t>
      </w:r>
      <w:r>
        <w:rPr/>
        <w:t>to</w:t>
      </w:r>
      <w:r>
        <w:rPr>
          <w:spacing w:val="-1"/>
        </w:rPr>
        <w:t> </w:t>
      </w:r>
      <w:r>
        <w:rPr/>
        <w:t>examine</w:t>
      </w:r>
      <w:r>
        <w:rPr>
          <w:spacing w:val="-2"/>
        </w:rPr>
        <w:t> </w:t>
      </w:r>
      <w:r>
        <w:rPr/>
        <w:t>the</w:t>
      </w:r>
      <w:r>
        <w:rPr>
          <w:spacing w:val="-2"/>
        </w:rPr>
        <w:t> </w:t>
      </w:r>
      <w:r>
        <w:rPr/>
        <w:t>level</w:t>
      </w:r>
      <w:r>
        <w:rPr>
          <w:spacing w:val="-1"/>
        </w:rPr>
        <w:t> </w:t>
      </w:r>
      <w:r>
        <w:rPr/>
        <w:t>of</w:t>
      </w:r>
      <w:r>
        <w:rPr>
          <w:spacing w:val="-2"/>
        </w:rPr>
        <w:t> </w:t>
      </w:r>
      <w:r>
        <w:rPr/>
        <w:t>association</w:t>
      </w:r>
      <w:r>
        <w:rPr>
          <w:spacing w:val="-1"/>
        </w:rPr>
        <w:t> </w:t>
      </w:r>
      <w:r>
        <w:rPr/>
        <w:t>between</w:t>
      </w:r>
      <w:r>
        <w:rPr>
          <w:spacing w:val="-1"/>
        </w:rPr>
        <w:t> </w:t>
      </w:r>
      <w:r>
        <w:rPr/>
        <w:t>the</w:t>
      </w:r>
      <w:r>
        <w:rPr>
          <w:spacing w:val="-2"/>
        </w:rPr>
        <w:t> </w:t>
      </w:r>
      <w:r>
        <w:rPr/>
        <w:t>socio- demographic</w:t>
      </w:r>
      <w:r>
        <w:rPr>
          <w:spacing w:val="-15"/>
        </w:rPr>
        <w:t> </w:t>
      </w:r>
      <w:r>
        <w:rPr/>
        <w:t>characteristics</w:t>
      </w:r>
      <w:r>
        <w:rPr>
          <w:spacing w:val="-15"/>
        </w:rPr>
        <w:t> </w:t>
      </w:r>
      <w:r>
        <w:rPr/>
        <w:t>of</w:t>
      </w:r>
      <w:r>
        <w:rPr>
          <w:spacing w:val="-15"/>
        </w:rPr>
        <w:t> </w:t>
      </w:r>
      <w:r>
        <w:rPr/>
        <w:t>the</w:t>
      </w:r>
      <w:r>
        <w:rPr>
          <w:spacing w:val="-15"/>
        </w:rPr>
        <w:t> </w:t>
      </w:r>
      <w:r>
        <w:rPr/>
        <w:t>households</w:t>
      </w:r>
      <w:r>
        <w:rPr>
          <w:spacing w:val="-15"/>
        </w:rPr>
        <w:t> </w:t>
      </w:r>
      <w:r>
        <w:rPr/>
        <w:t>and</w:t>
      </w:r>
      <w:r>
        <w:rPr>
          <w:spacing w:val="-15"/>
        </w:rPr>
        <w:t> </w:t>
      </w:r>
      <w:r>
        <w:rPr/>
        <w:t>the</w:t>
      </w:r>
      <w:r>
        <w:rPr>
          <w:spacing w:val="-15"/>
        </w:rPr>
        <w:t> </w:t>
      </w:r>
      <w:r>
        <w:rPr/>
        <w:t>strategies</w:t>
      </w:r>
      <w:r>
        <w:rPr>
          <w:spacing w:val="-15"/>
        </w:rPr>
        <w:t> </w:t>
      </w:r>
      <w:r>
        <w:rPr/>
        <w:t>employed</w:t>
      </w:r>
      <w:r>
        <w:rPr>
          <w:spacing w:val="-15"/>
        </w:rPr>
        <w:t> </w:t>
      </w:r>
      <w:r>
        <w:rPr/>
        <w:t>to</w:t>
      </w:r>
      <w:r>
        <w:rPr>
          <w:spacing w:val="-15"/>
        </w:rPr>
        <w:t> </w:t>
      </w:r>
      <w:r>
        <w:rPr/>
        <w:t>cope</w:t>
      </w:r>
      <w:r>
        <w:rPr>
          <w:spacing w:val="-15"/>
        </w:rPr>
        <w:t> </w:t>
      </w:r>
      <w:r>
        <w:rPr/>
        <w:t>with</w:t>
      </w:r>
      <w:r>
        <w:rPr>
          <w:spacing w:val="-15"/>
        </w:rPr>
        <w:t> </w:t>
      </w:r>
      <w:r>
        <w:rPr/>
        <w:t>water scarcity. The study concluded that with the exception of level of education, both place of residence</w:t>
      </w:r>
      <w:r>
        <w:rPr>
          <w:spacing w:val="55"/>
        </w:rPr>
        <w:t> </w:t>
      </w:r>
      <w:r>
        <w:rPr/>
        <w:t>and</w:t>
      </w:r>
      <w:r>
        <w:rPr>
          <w:spacing w:val="59"/>
        </w:rPr>
        <w:t> </w:t>
      </w:r>
      <w:r>
        <w:rPr/>
        <w:t>income</w:t>
      </w:r>
      <w:r>
        <w:rPr>
          <w:spacing w:val="58"/>
        </w:rPr>
        <w:t> </w:t>
      </w:r>
      <w:r>
        <w:rPr/>
        <w:t>level</w:t>
      </w:r>
      <w:r>
        <w:rPr>
          <w:spacing w:val="60"/>
        </w:rPr>
        <w:t> </w:t>
      </w:r>
      <w:r>
        <w:rPr/>
        <w:t>were</w:t>
      </w:r>
      <w:r>
        <w:rPr>
          <w:spacing w:val="60"/>
        </w:rPr>
        <w:t> </w:t>
      </w:r>
      <w:r>
        <w:rPr/>
        <w:t>found</w:t>
      </w:r>
      <w:r>
        <w:rPr>
          <w:spacing w:val="59"/>
        </w:rPr>
        <w:t> </w:t>
      </w:r>
      <w:r>
        <w:rPr/>
        <w:t>to</w:t>
      </w:r>
      <w:r>
        <w:rPr>
          <w:spacing w:val="60"/>
        </w:rPr>
        <w:t> </w:t>
      </w:r>
      <w:r>
        <w:rPr/>
        <w:t>be</w:t>
      </w:r>
      <w:r>
        <w:rPr>
          <w:spacing w:val="61"/>
        </w:rPr>
        <w:t> </w:t>
      </w:r>
      <w:r>
        <w:rPr/>
        <w:t>statistically</w:t>
      </w:r>
      <w:r>
        <w:rPr>
          <w:spacing w:val="54"/>
        </w:rPr>
        <w:t> </w:t>
      </w:r>
      <w:r>
        <w:rPr/>
        <w:t>different</w:t>
      </w:r>
      <w:r>
        <w:rPr>
          <w:spacing w:val="60"/>
        </w:rPr>
        <w:t> </w:t>
      </w:r>
      <w:r>
        <w:rPr/>
        <w:t>from</w:t>
      </w:r>
      <w:r>
        <w:rPr>
          <w:spacing w:val="60"/>
        </w:rPr>
        <w:t> </w:t>
      </w:r>
      <w:r>
        <w:rPr/>
        <w:t>zero</w:t>
      </w:r>
      <w:r>
        <w:rPr>
          <w:spacing w:val="59"/>
        </w:rPr>
        <w:t> </w:t>
      </w:r>
      <w:r>
        <w:rPr/>
        <w:t>at</w:t>
      </w:r>
      <w:r>
        <w:rPr>
          <w:spacing w:val="60"/>
        </w:rPr>
        <w:t> </w:t>
      </w:r>
      <w:r>
        <w:rPr>
          <w:spacing w:val="-5"/>
        </w:rPr>
        <w:t>99%</w:t>
      </w:r>
    </w:p>
    <w:p>
      <w:pPr>
        <w:pStyle w:val="BodyText"/>
        <w:spacing w:line="274" w:lineRule="exact"/>
        <w:ind w:left="267"/>
        <w:jc w:val="both"/>
      </w:pPr>
      <w:r>
        <w:rPr/>
        <w:t>probability</w:t>
      </w:r>
      <w:r>
        <w:rPr>
          <w:spacing w:val="-4"/>
        </w:rPr>
        <w:t> </w:t>
      </w:r>
      <w:r>
        <w:rPr>
          <w:spacing w:val="-2"/>
        </w:rPr>
        <w:t>level.</w:t>
      </w:r>
    </w:p>
    <w:p>
      <w:pPr>
        <w:spacing w:after="0" w:line="274" w:lineRule="exact"/>
        <w:jc w:val="both"/>
        <w:sectPr>
          <w:pgSz w:w="12240" w:h="15840"/>
          <w:pgMar w:header="0" w:footer="1068" w:top="1600" w:bottom="1260" w:left="1720" w:right="680"/>
        </w:sectPr>
      </w:pPr>
    </w:p>
    <w:p>
      <w:pPr>
        <w:pStyle w:val="BodyText"/>
        <w:spacing w:line="480" w:lineRule="auto" w:before="63"/>
        <w:ind w:left="267" w:right="728"/>
        <w:jc w:val="both"/>
      </w:pPr>
      <w:r>
        <w:rPr/>
        <w:t>A</w:t>
      </w:r>
      <w:r>
        <w:rPr>
          <w:spacing w:val="-6"/>
        </w:rPr>
        <w:t> </w:t>
      </w:r>
      <w:r>
        <w:rPr/>
        <w:t>specific</w:t>
      </w:r>
      <w:r>
        <w:rPr>
          <w:spacing w:val="-7"/>
        </w:rPr>
        <w:t> </w:t>
      </w:r>
      <w:r>
        <w:rPr/>
        <w:t>investigation</w:t>
      </w:r>
      <w:r>
        <w:rPr>
          <w:spacing w:val="-6"/>
        </w:rPr>
        <w:t> </w:t>
      </w:r>
      <w:r>
        <w:rPr/>
        <w:t>by</w:t>
      </w:r>
      <w:r>
        <w:rPr>
          <w:spacing w:val="-8"/>
        </w:rPr>
        <w:t> </w:t>
      </w:r>
      <w:r>
        <w:rPr/>
        <w:t>Majuru</w:t>
      </w:r>
      <w:r>
        <w:rPr>
          <w:spacing w:val="-4"/>
        </w:rPr>
        <w:t> </w:t>
      </w:r>
      <w:r>
        <w:rPr/>
        <w:t>(2015)</w:t>
      </w:r>
      <w:r>
        <w:rPr>
          <w:spacing w:val="-3"/>
        </w:rPr>
        <w:t> </w:t>
      </w:r>
      <w:r>
        <w:rPr/>
        <w:t>conducted</w:t>
      </w:r>
      <w:r>
        <w:rPr>
          <w:spacing w:val="-6"/>
        </w:rPr>
        <w:t> </w:t>
      </w:r>
      <w:r>
        <w:rPr/>
        <w:t>a</w:t>
      </w:r>
      <w:r>
        <w:rPr>
          <w:spacing w:val="-7"/>
        </w:rPr>
        <w:t> </w:t>
      </w:r>
      <w:r>
        <w:rPr/>
        <w:t>systematic</w:t>
      </w:r>
      <w:r>
        <w:rPr>
          <w:spacing w:val="-7"/>
        </w:rPr>
        <w:t> </w:t>
      </w:r>
      <w:r>
        <w:rPr/>
        <w:t>review</w:t>
      </w:r>
      <w:r>
        <w:rPr>
          <w:spacing w:val="-7"/>
        </w:rPr>
        <w:t> </w:t>
      </w:r>
      <w:r>
        <w:rPr/>
        <w:t>of</w:t>
      </w:r>
      <w:r>
        <w:rPr>
          <w:spacing w:val="-4"/>
        </w:rPr>
        <w:t> </w:t>
      </w:r>
      <w:r>
        <w:rPr/>
        <w:t>1398</w:t>
      </w:r>
      <w:r>
        <w:rPr>
          <w:spacing w:val="-6"/>
        </w:rPr>
        <w:t> </w:t>
      </w:r>
      <w:r>
        <w:rPr/>
        <w:t>studies</w:t>
      </w:r>
      <w:r>
        <w:rPr>
          <w:spacing w:val="-6"/>
        </w:rPr>
        <w:t> </w:t>
      </w:r>
      <w:r>
        <w:rPr/>
        <w:t>on coping with water scarcity in developing countries using search criteria such as coping strategies, costs and determinants of coping. The study surmised that three categories of coping strategies can be identified from the review: (1) enhancing and conserving water (2) improving water quality and (3) enhancing water flow rate. Abubakar (2018) explored the strategies</w:t>
      </w:r>
      <w:r>
        <w:rPr>
          <w:spacing w:val="-15"/>
        </w:rPr>
        <w:t> </w:t>
      </w:r>
      <w:r>
        <w:rPr/>
        <w:t>employed</w:t>
      </w:r>
      <w:r>
        <w:rPr>
          <w:spacing w:val="-15"/>
        </w:rPr>
        <w:t> </w:t>
      </w:r>
      <w:r>
        <w:rPr/>
        <w:t>by</w:t>
      </w:r>
      <w:r>
        <w:rPr>
          <w:spacing w:val="-15"/>
        </w:rPr>
        <w:t> </w:t>
      </w:r>
      <w:r>
        <w:rPr/>
        <w:t>household</w:t>
      </w:r>
      <w:r>
        <w:rPr>
          <w:spacing w:val="-15"/>
        </w:rPr>
        <w:t> </w:t>
      </w:r>
      <w:r>
        <w:rPr/>
        <w:t>in</w:t>
      </w:r>
      <w:r>
        <w:rPr>
          <w:spacing w:val="-15"/>
        </w:rPr>
        <w:t> </w:t>
      </w:r>
      <w:r>
        <w:rPr/>
        <w:t>coping</w:t>
      </w:r>
      <w:r>
        <w:rPr>
          <w:spacing w:val="-15"/>
        </w:rPr>
        <w:t> </w:t>
      </w:r>
      <w:r>
        <w:rPr/>
        <w:t>with</w:t>
      </w:r>
      <w:r>
        <w:rPr>
          <w:spacing w:val="-15"/>
        </w:rPr>
        <w:t> </w:t>
      </w:r>
      <w:r>
        <w:rPr/>
        <w:t>inadequate</w:t>
      </w:r>
      <w:r>
        <w:rPr>
          <w:spacing w:val="-13"/>
        </w:rPr>
        <w:t> </w:t>
      </w:r>
      <w:r>
        <w:rPr/>
        <w:t>domestic</w:t>
      </w:r>
      <w:r>
        <w:rPr>
          <w:spacing w:val="-15"/>
        </w:rPr>
        <w:t> </w:t>
      </w:r>
      <w:r>
        <w:rPr/>
        <w:t>water</w:t>
      </w:r>
      <w:r>
        <w:rPr>
          <w:spacing w:val="-15"/>
        </w:rPr>
        <w:t> </w:t>
      </w:r>
      <w:r>
        <w:rPr/>
        <w:t>supply</w:t>
      </w:r>
      <w:r>
        <w:rPr>
          <w:spacing w:val="-15"/>
        </w:rPr>
        <w:t> </w:t>
      </w:r>
      <w:r>
        <w:rPr/>
        <w:t>in</w:t>
      </w:r>
      <w:r>
        <w:rPr>
          <w:spacing w:val="-12"/>
        </w:rPr>
        <w:t> </w:t>
      </w:r>
      <w:r>
        <w:rPr/>
        <w:t>Abuja, Nigeria by using in-depth interview and observation aid with focus group discussion. The finding</w:t>
      </w:r>
      <w:r>
        <w:rPr>
          <w:spacing w:val="-10"/>
        </w:rPr>
        <w:t> </w:t>
      </w:r>
      <w:r>
        <w:rPr/>
        <w:t>from</w:t>
      </w:r>
      <w:r>
        <w:rPr>
          <w:spacing w:val="-8"/>
        </w:rPr>
        <w:t> </w:t>
      </w:r>
      <w:r>
        <w:rPr/>
        <w:t>the</w:t>
      </w:r>
      <w:r>
        <w:rPr>
          <w:spacing w:val="-9"/>
        </w:rPr>
        <w:t> </w:t>
      </w:r>
      <w:r>
        <w:rPr/>
        <w:t>study</w:t>
      </w:r>
      <w:r>
        <w:rPr>
          <w:spacing w:val="-13"/>
        </w:rPr>
        <w:t> </w:t>
      </w:r>
      <w:r>
        <w:rPr/>
        <w:t>revealed</w:t>
      </w:r>
      <w:r>
        <w:rPr>
          <w:spacing w:val="-9"/>
        </w:rPr>
        <w:t> </w:t>
      </w:r>
      <w:r>
        <w:rPr/>
        <w:t>that</w:t>
      </w:r>
      <w:r>
        <w:rPr>
          <w:spacing w:val="-8"/>
        </w:rPr>
        <w:t> </w:t>
      </w:r>
      <w:r>
        <w:rPr/>
        <w:t>water</w:t>
      </w:r>
      <w:r>
        <w:rPr>
          <w:spacing w:val="-9"/>
        </w:rPr>
        <w:t> </w:t>
      </w:r>
      <w:r>
        <w:rPr/>
        <w:t>fetching</w:t>
      </w:r>
      <w:r>
        <w:rPr>
          <w:spacing w:val="-11"/>
        </w:rPr>
        <w:t> </w:t>
      </w:r>
      <w:r>
        <w:rPr/>
        <w:t>from</w:t>
      </w:r>
      <w:r>
        <w:rPr>
          <w:spacing w:val="-8"/>
        </w:rPr>
        <w:t> </w:t>
      </w:r>
      <w:r>
        <w:rPr/>
        <w:t>nearby</w:t>
      </w:r>
      <w:r>
        <w:rPr>
          <w:spacing w:val="-14"/>
        </w:rPr>
        <w:t> </w:t>
      </w:r>
      <w:r>
        <w:rPr/>
        <w:t>neighbourhoods,</w:t>
      </w:r>
      <w:r>
        <w:rPr>
          <w:spacing w:val="-8"/>
        </w:rPr>
        <w:t> </w:t>
      </w:r>
      <w:r>
        <w:rPr/>
        <w:t>conserving water, water recycling, home-based water treatment strategies, the use of surface water and sachet water were the strategies used by households in coping with inadequate domestic water supply in the study.</w:t>
      </w:r>
    </w:p>
    <w:p>
      <w:pPr>
        <w:pStyle w:val="BodyText"/>
        <w:spacing w:before="1"/>
      </w:pPr>
    </w:p>
    <w:p>
      <w:pPr>
        <w:pStyle w:val="BodyText"/>
        <w:spacing w:line="480" w:lineRule="auto"/>
        <w:ind w:left="267" w:right="727"/>
        <w:jc w:val="both"/>
      </w:pPr>
      <w:r>
        <w:rPr/>
        <w:t>The research by Achore </w:t>
      </w:r>
      <w:r>
        <w:rPr>
          <w:i/>
        </w:rPr>
        <w:t>et al. </w:t>
      </w:r>
      <w:r>
        <w:rPr/>
        <w:t>(2020) provide a qualitative evidence on coping with water insecurity at the household level using meta-ethnographic approach. The authors found that key coping strategies employed by households include: water storage, construction of alternative water source, water sharing, buying from private vendor, water harvesting, fetching</w:t>
      </w:r>
      <w:r>
        <w:rPr>
          <w:spacing w:val="-6"/>
        </w:rPr>
        <w:t> </w:t>
      </w:r>
      <w:r>
        <w:rPr/>
        <w:t>water</w:t>
      </w:r>
      <w:r>
        <w:rPr>
          <w:spacing w:val="-6"/>
        </w:rPr>
        <w:t> </w:t>
      </w:r>
      <w:r>
        <w:rPr/>
        <w:t>from</w:t>
      </w:r>
      <w:r>
        <w:rPr>
          <w:spacing w:val="-5"/>
        </w:rPr>
        <w:t> </w:t>
      </w:r>
      <w:r>
        <w:rPr/>
        <w:t>distance</w:t>
      </w:r>
      <w:r>
        <w:rPr>
          <w:spacing w:val="-6"/>
        </w:rPr>
        <w:t> </w:t>
      </w:r>
      <w:r>
        <w:rPr/>
        <w:t>source</w:t>
      </w:r>
      <w:r>
        <w:rPr>
          <w:spacing w:val="-3"/>
        </w:rPr>
        <w:t> </w:t>
      </w:r>
      <w:r>
        <w:rPr/>
        <w:t>and</w:t>
      </w:r>
      <w:r>
        <w:rPr>
          <w:spacing w:val="-5"/>
        </w:rPr>
        <w:t> </w:t>
      </w:r>
      <w:r>
        <w:rPr/>
        <w:t>water</w:t>
      </w:r>
      <w:r>
        <w:rPr>
          <w:spacing w:val="-6"/>
        </w:rPr>
        <w:t> </w:t>
      </w:r>
      <w:r>
        <w:rPr/>
        <w:t>treatment.</w:t>
      </w:r>
      <w:r>
        <w:rPr>
          <w:spacing w:val="-4"/>
        </w:rPr>
        <w:t> </w:t>
      </w:r>
      <w:r>
        <w:rPr/>
        <w:t>The</w:t>
      </w:r>
      <w:r>
        <w:rPr>
          <w:spacing w:val="-6"/>
        </w:rPr>
        <w:t> </w:t>
      </w:r>
      <w:r>
        <w:rPr/>
        <w:t>study</w:t>
      </w:r>
      <w:r>
        <w:rPr>
          <w:spacing w:val="-9"/>
        </w:rPr>
        <w:t> </w:t>
      </w:r>
      <w:r>
        <w:rPr/>
        <w:t>noted</w:t>
      </w:r>
      <w:r>
        <w:rPr>
          <w:spacing w:val="-5"/>
        </w:rPr>
        <w:t> </w:t>
      </w:r>
      <w:r>
        <w:rPr/>
        <w:t>that</w:t>
      </w:r>
      <w:r>
        <w:rPr>
          <w:spacing w:val="-4"/>
        </w:rPr>
        <w:t> </w:t>
      </w:r>
      <w:r>
        <w:rPr/>
        <w:t>some</w:t>
      </w:r>
      <w:r>
        <w:rPr>
          <w:spacing w:val="-5"/>
        </w:rPr>
        <w:t> </w:t>
      </w:r>
      <w:r>
        <w:rPr/>
        <w:t>of</w:t>
      </w:r>
      <w:r>
        <w:rPr>
          <w:spacing w:val="-6"/>
        </w:rPr>
        <w:t> </w:t>
      </w:r>
      <w:r>
        <w:rPr/>
        <w:t>these coping strategies are not without health and economic implications in terms of water contamination and loss of household savings. Venkataramanan </w:t>
      </w:r>
      <w:r>
        <w:rPr>
          <w:i/>
        </w:rPr>
        <w:t>et al. </w:t>
      </w:r>
      <w:r>
        <w:rPr/>
        <w:t>(2020), conducted a systematic review of 170 articles which documented water coping strategies and found that diversifying water source and water storage were the first and second most salient coping strategies used to improve physical accessibility to water. In terms of water quality, water treatment using various techniques was the most common strategy while for reliability of water supply,</w:t>
      </w:r>
      <w:r>
        <w:rPr>
          <w:spacing w:val="3"/>
        </w:rPr>
        <w:t> </w:t>
      </w:r>
      <w:r>
        <w:rPr/>
        <w:t>changing</w:t>
      </w:r>
      <w:r>
        <w:rPr>
          <w:spacing w:val="2"/>
        </w:rPr>
        <w:t> </w:t>
      </w:r>
      <w:r>
        <w:rPr/>
        <w:t>of</w:t>
      </w:r>
      <w:r>
        <w:rPr>
          <w:spacing w:val="2"/>
        </w:rPr>
        <w:t> </w:t>
      </w:r>
      <w:r>
        <w:rPr/>
        <w:t>daily</w:t>
      </w:r>
      <w:r>
        <w:rPr>
          <w:spacing w:val="-2"/>
        </w:rPr>
        <w:t> </w:t>
      </w:r>
      <w:r>
        <w:rPr/>
        <w:t>routine</w:t>
      </w:r>
      <w:r>
        <w:rPr>
          <w:spacing w:val="3"/>
        </w:rPr>
        <w:t> </w:t>
      </w:r>
      <w:r>
        <w:rPr/>
        <w:t>or</w:t>
      </w:r>
      <w:r>
        <w:rPr>
          <w:spacing w:val="2"/>
        </w:rPr>
        <w:t> </w:t>
      </w:r>
      <w:r>
        <w:rPr/>
        <w:t>relocation</w:t>
      </w:r>
      <w:r>
        <w:rPr>
          <w:spacing w:val="3"/>
        </w:rPr>
        <w:t> </w:t>
      </w:r>
      <w:r>
        <w:rPr/>
        <w:t>to</w:t>
      </w:r>
      <w:r>
        <w:rPr>
          <w:spacing w:val="5"/>
        </w:rPr>
        <w:t> </w:t>
      </w:r>
      <w:r>
        <w:rPr/>
        <w:t>areas</w:t>
      </w:r>
      <w:r>
        <w:rPr>
          <w:spacing w:val="3"/>
        </w:rPr>
        <w:t> </w:t>
      </w:r>
      <w:r>
        <w:rPr/>
        <w:t>with</w:t>
      </w:r>
      <w:r>
        <w:rPr>
          <w:spacing w:val="4"/>
        </w:rPr>
        <w:t> </w:t>
      </w:r>
      <w:r>
        <w:rPr/>
        <w:t>water</w:t>
      </w:r>
      <w:r>
        <w:rPr>
          <w:spacing w:val="3"/>
        </w:rPr>
        <w:t> </w:t>
      </w:r>
      <w:r>
        <w:rPr/>
        <w:t>was</w:t>
      </w:r>
      <w:r>
        <w:rPr>
          <w:spacing w:val="3"/>
        </w:rPr>
        <w:t> </w:t>
      </w:r>
      <w:r>
        <w:rPr/>
        <w:t>most</w:t>
      </w:r>
      <w:r>
        <w:rPr>
          <w:spacing w:val="5"/>
        </w:rPr>
        <w:t> </w:t>
      </w:r>
      <w:r>
        <w:rPr>
          <w:spacing w:val="-2"/>
        </w:rPr>
        <w:t>common</w:t>
      </w:r>
    </w:p>
    <w:p>
      <w:pPr>
        <w:spacing w:after="0" w:line="480" w:lineRule="auto"/>
        <w:jc w:val="both"/>
        <w:sectPr>
          <w:pgSz w:w="12240" w:h="15840"/>
          <w:pgMar w:header="0" w:footer="1068" w:top="1340" w:bottom="1260" w:left="1720" w:right="680"/>
        </w:sectPr>
      </w:pPr>
    </w:p>
    <w:p>
      <w:pPr>
        <w:pStyle w:val="BodyText"/>
        <w:spacing w:line="480" w:lineRule="auto" w:before="63"/>
        <w:ind w:left="267" w:right="730"/>
        <w:jc w:val="both"/>
      </w:pPr>
      <w:r>
        <w:rPr/>
        <w:t>in</w:t>
      </w:r>
      <w:r>
        <w:rPr>
          <w:spacing w:val="-15"/>
        </w:rPr>
        <w:t> </w:t>
      </w:r>
      <w:r>
        <w:rPr/>
        <w:t>the</w:t>
      </w:r>
      <w:r>
        <w:rPr>
          <w:spacing w:val="-15"/>
        </w:rPr>
        <w:t> </w:t>
      </w:r>
      <w:r>
        <w:rPr/>
        <w:t>review.</w:t>
      </w:r>
      <w:r>
        <w:rPr>
          <w:spacing w:val="-14"/>
        </w:rPr>
        <w:t> </w:t>
      </w:r>
      <w:r>
        <w:rPr/>
        <w:t>In</w:t>
      </w:r>
      <w:r>
        <w:rPr>
          <w:spacing w:val="-14"/>
        </w:rPr>
        <w:t> </w:t>
      </w:r>
      <w:r>
        <w:rPr/>
        <w:t>conclusion,</w:t>
      </w:r>
      <w:r>
        <w:rPr>
          <w:spacing w:val="-15"/>
        </w:rPr>
        <w:t> </w:t>
      </w:r>
      <w:r>
        <w:rPr/>
        <w:t>the</w:t>
      </w:r>
      <w:r>
        <w:rPr>
          <w:spacing w:val="-15"/>
        </w:rPr>
        <w:t> </w:t>
      </w:r>
      <w:r>
        <w:rPr/>
        <w:t>summary</w:t>
      </w:r>
      <w:r>
        <w:rPr>
          <w:spacing w:val="-15"/>
        </w:rPr>
        <w:t> </w:t>
      </w:r>
      <w:r>
        <w:rPr/>
        <w:t>of</w:t>
      </w:r>
      <w:r>
        <w:rPr>
          <w:spacing w:val="-15"/>
        </w:rPr>
        <w:t> </w:t>
      </w:r>
      <w:r>
        <w:rPr/>
        <w:t>findings</w:t>
      </w:r>
      <w:r>
        <w:rPr>
          <w:spacing w:val="-15"/>
        </w:rPr>
        <w:t> </w:t>
      </w:r>
      <w:r>
        <w:rPr/>
        <w:t>in</w:t>
      </w:r>
      <w:r>
        <w:rPr>
          <w:spacing w:val="-15"/>
        </w:rPr>
        <w:t> </w:t>
      </w:r>
      <w:r>
        <w:rPr/>
        <w:t>the</w:t>
      </w:r>
      <w:r>
        <w:rPr>
          <w:spacing w:val="-14"/>
        </w:rPr>
        <w:t> </w:t>
      </w:r>
      <w:r>
        <w:rPr/>
        <w:t>empirical</w:t>
      </w:r>
      <w:r>
        <w:rPr>
          <w:spacing w:val="-15"/>
        </w:rPr>
        <w:t> </w:t>
      </w:r>
      <w:r>
        <w:rPr/>
        <w:t>studies</w:t>
      </w:r>
      <w:r>
        <w:rPr>
          <w:spacing w:val="-15"/>
        </w:rPr>
        <w:t> </w:t>
      </w:r>
      <w:r>
        <w:rPr/>
        <w:t>for</w:t>
      </w:r>
      <w:r>
        <w:rPr>
          <w:spacing w:val="-15"/>
        </w:rPr>
        <w:t> </w:t>
      </w:r>
      <w:r>
        <w:rPr/>
        <w:t>which</w:t>
      </w:r>
      <w:r>
        <w:rPr>
          <w:spacing w:val="-13"/>
        </w:rPr>
        <w:t> </w:t>
      </w:r>
      <w:r>
        <w:rPr/>
        <w:t>water coping strategies were identified in the extant literature showed that household coping measures are highly localized as there is no clear consensus among the studies regarding water coping strategies employed by households in adapting to unreliable and intermittent public water supply.</w:t>
      </w:r>
    </w:p>
    <w:p>
      <w:pPr>
        <w:spacing w:after="0" w:line="480" w:lineRule="auto"/>
        <w:jc w:val="both"/>
        <w:sectPr>
          <w:pgSz w:w="12240" w:h="15840"/>
          <w:pgMar w:header="0" w:footer="1068" w:top="1340" w:bottom="1260" w:left="1720" w:right="680"/>
        </w:sectPr>
      </w:pPr>
    </w:p>
    <w:p>
      <w:pPr>
        <w:spacing w:before="70"/>
        <w:ind w:left="9" w:right="470" w:firstLine="0"/>
        <w:jc w:val="center"/>
        <w:rPr>
          <w:b/>
          <w:sz w:val="24"/>
        </w:rPr>
      </w:pPr>
      <w:r>
        <w:rPr>
          <w:b/>
          <w:sz w:val="24"/>
        </w:rPr>
        <w:t>CHAPTER</w:t>
      </w:r>
      <w:r>
        <w:rPr>
          <w:b/>
          <w:spacing w:val="-4"/>
          <w:sz w:val="24"/>
        </w:rPr>
        <w:t> </w:t>
      </w:r>
      <w:r>
        <w:rPr>
          <w:b/>
          <w:spacing w:val="-2"/>
          <w:sz w:val="24"/>
        </w:rPr>
        <w:t>THREE</w:t>
      </w:r>
    </w:p>
    <w:p>
      <w:pPr>
        <w:pStyle w:val="BodyText"/>
        <w:spacing w:before="22"/>
        <w:rPr>
          <w:b/>
        </w:rPr>
      </w:pPr>
    </w:p>
    <w:p>
      <w:pPr>
        <w:pStyle w:val="ListParagraph"/>
        <w:numPr>
          <w:ilvl w:val="1"/>
          <w:numId w:val="9"/>
        </w:numPr>
        <w:tabs>
          <w:tab w:pos="2999" w:val="left" w:leader="none"/>
        </w:tabs>
        <w:spacing w:line="240" w:lineRule="auto" w:before="0" w:after="0"/>
        <w:ind w:left="2999" w:right="0" w:hanging="2732"/>
        <w:jc w:val="left"/>
        <w:rPr>
          <w:b/>
          <w:sz w:val="24"/>
        </w:rPr>
      </w:pPr>
      <w:r>
        <w:rPr>
          <w:b/>
          <w:sz w:val="24"/>
        </w:rPr>
        <w:t>RESEARCH</w:t>
      </w:r>
      <w:r>
        <w:rPr>
          <w:b/>
          <w:spacing w:val="-1"/>
          <w:sz w:val="24"/>
        </w:rPr>
        <w:t> </w:t>
      </w:r>
      <w:r>
        <w:rPr>
          <w:b/>
          <w:spacing w:val="-2"/>
          <w:sz w:val="24"/>
        </w:rPr>
        <w:t>METHODOLOGY</w:t>
      </w:r>
    </w:p>
    <w:p>
      <w:pPr>
        <w:pStyle w:val="BodyText"/>
        <w:spacing w:before="22"/>
        <w:rPr>
          <w:b/>
        </w:rPr>
      </w:pPr>
    </w:p>
    <w:p>
      <w:pPr>
        <w:pStyle w:val="ListParagraph"/>
        <w:numPr>
          <w:ilvl w:val="1"/>
          <w:numId w:val="9"/>
        </w:numPr>
        <w:tabs>
          <w:tab w:pos="807" w:val="left" w:leader="none"/>
        </w:tabs>
        <w:spacing w:line="240" w:lineRule="auto" w:before="0" w:after="0"/>
        <w:ind w:left="807" w:right="0" w:hanging="540"/>
        <w:jc w:val="left"/>
        <w:rPr>
          <w:b/>
          <w:sz w:val="24"/>
        </w:rPr>
      </w:pPr>
      <w:r>
        <w:rPr>
          <w:b/>
          <w:sz w:val="24"/>
        </w:rPr>
        <w:t>Research</w:t>
      </w:r>
      <w:r>
        <w:rPr>
          <w:b/>
          <w:spacing w:val="-3"/>
          <w:sz w:val="24"/>
        </w:rPr>
        <w:t> </w:t>
      </w:r>
      <w:r>
        <w:rPr>
          <w:b/>
          <w:spacing w:val="-2"/>
          <w:sz w:val="24"/>
        </w:rPr>
        <w:t>Design</w:t>
      </w:r>
    </w:p>
    <w:p>
      <w:pPr>
        <w:pStyle w:val="BodyText"/>
        <w:spacing w:before="14"/>
        <w:rPr>
          <w:b/>
        </w:rPr>
      </w:pPr>
    </w:p>
    <w:p>
      <w:pPr>
        <w:pStyle w:val="BodyText"/>
        <w:spacing w:line="480" w:lineRule="auto"/>
        <w:ind w:left="267" w:right="724"/>
        <w:jc w:val="both"/>
      </w:pPr>
      <w:r>
        <w:rPr/>
        <w:t>This research is deeply rooted in “positivism” as a research philosophy. As aptly stated by Remenyi </w:t>
      </w:r>
      <w:r>
        <w:rPr>
          <w:i/>
        </w:rPr>
        <w:t>et al. </w:t>
      </w:r>
      <w:r>
        <w:rPr/>
        <w:t>(1998) positivism involves “working with an observable social reality and that the end product of such research can be likened to generalizations similar to those produced by the physical and natural scientists”. The research design adopted for this research was therefore the survey research approach. The choice of this research design is premised on the nature</w:t>
      </w:r>
      <w:r>
        <w:rPr>
          <w:spacing w:val="-1"/>
        </w:rPr>
        <w:t> </w:t>
      </w:r>
      <w:r>
        <w:rPr/>
        <w:t>of</w:t>
      </w:r>
      <w:r>
        <w:rPr>
          <w:spacing w:val="-1"/>
        </w:rPr>
        <w:t> </w:t>
      </w:r>
      <w:r>
        <w:rPr/>
        <w:t>the</w:t>
      </w:r>
      <w:r>
        <w:rPr>
          <w:spacing w:val="-1"/>
        </w:rPr>
        <w:t> </w:t>
      </w:r>
      <w:r>
        <w:rPr/>
        <w:t>main research objectives: (1)</w:t>
      </w:r>
      <w:r>
        <w:rPr>
          <w:spacing w:val="-2"/>
        </w:rPr>
        <w:t> </w:t>
      </w:r>
      <w:r>
        <w:rPr/>
        <w:t>to assess household’s sources of water supply across different neighbourhoods in the study area, (2) to examine the level of water poverty at the neighbourhood scale using water poverty index and (3) to assess households’ adaptation to water poverty in the study area. The nature of these research objectives</w:t>
      </w:r>
      <w:r>
        <w:rPr>
          <w:spacing w:val="-3"/>
        </w:rPr>
        <w:t> </w:t>
      </w:r>
      <w:r>
        <w:rPr/>
        <w:t>necessitates</w:t>
      </w:r>
      <w:r>
        <w:rPr>
          <w:spacing w:val="-3"/>
        </w:rPr>
        <w:t> </w:t>
      </w:r>
      <w:r>
        <w:rPr/>
        <w:t>the</w:t>
      </w:r>
      <w:r>
        <w:rPr>
          <w:spacing w:val="-3"/>
        </w:rPr>
        <w:t> </w:t>
      </w:r>
      <w:r>
        <w:rPr/>
        <w:t>collection</w:t>
      </w:r>
      <w:r>
        <w:rPr>
          <w:spacing w:val="-3"/>
        </w:rPr>
        <w:t> </w:t>
      </w:r>
      <w:r>
        <w:rPr/>
        <w:t>of</w:t>
      </w:r>
      <w:r>
        <w:rPr>
          <w:spacing w:val="-4"/>
        </w:rPr>
        <w:t> </w:t>
      </w:r>
      <w:r>
        <w:rPr/>
        <w:t>specific</w:t>
      </w:r>
      <w:r>
        <w:rPr>
          <w:spacing w:val="-4"/>
        </w:rPr>
        <w:t> </w:t>
      </w:r>
      <w:r>
        <w:rPr/>
        <w:t>quantitative</w:t>
      </w:r>
      <w:r>
        <w:rPr>
          <w:spacing w:val="-3"/>
        </w:rPr>
        <w:t> </w:t>
      </w:r>
      <w:r>
        <w:rPr/>
        <w:t>data</w:t>
      </w:r>
      <w:r>
        <w:rPr>
          <w:spacing w:val="-3"/>
        </w:rPr>
        <w:t> </w:t>
      </w:r>
      <w:r>
        <w:rPr/>
        <w:t>from</w:t>
      </w:r>
      <w:r>
        <w:rPr>
          <w:spacing w:val="-3"/>
        </w:rPr>
        <w:t> </w:t>
      </w:r>
      <w:r>
        <w:rPr/>
        <w:t>a</w:t>
      </w:r>
      <w:r>
        <w:rPr>
          <w:spacing w:val="-4"/>
        </w:rPr>
        <w:t> </w:t>
      </w:r>
      <w:r>
        <w:rPr/>
        <w:t>sizeable</w:t>
      </w:r>
      <w:r>
        <w:rPr>
          <w:spacing w:val="-3"/>
        </w:rPr>
        <w:t> </w:t>
      </w:r>
      <w:r>
        <w:rPr/>
        <w:t>proportion of households across a wide geographical boundary (Easterby-Smith </w:t>
      </w:r>
      <w:r>
        <w:rPr>
          <w:i/>
        </w:rPr>
        <w:t>et al.</w:t>
      </w:r>
      <w:r>
        <w:rPr/>
        <w:t>, 2008; Saunders </w:t>
      </w:r>
      <w:r>
        <w:rPr>
          <w:i/>
        </w:rPr>
        <w:t>et al.</w:t>
      </w:r>
      <w:r>
        <w:rPr/>
        <w:t>, 2012).</w:t>
      </w:r>
    </w:p>
    <w:p>
      <w:pPr>
        <w:pStyle w:val="BodyText"/>
        <w:spacing w:before="2"/>
      </w:pPr>
    </w:p>
    <w:p>
      <w:pPr>
        <w:pStyle w:val="BodyText"/>
        <w:spacing w:line="480" w:lineRule="auto"/>
        <w:ind w:left="267" w:right="724"/>
        <w:jc w:val="both"/>
      </w:pPr>
      <w:r>
        <w:rPr/>
        <w:t>The</w:t>
      </w:r>
      <w:r>
        <w:rPr>
          <w:spacing w:val="-15"/>
        </w:rPr>
        <w:t> </w:t>
      </w:r>
      <w:r>
        <w:rPr/>
        <w:t>survey</w:t>
      </w:r>
      <w:r>
        <w:rPr>
          <w:spacing w:val="-15"/>
        </w:rPr>
        <w:t> </w:t>
      </w:r>
      <w:r>
        <w:rPr/>
        <w:t>design</w:t>
      </w:r>
      <w:r>
        <w:rPr>
          <w:spacing w:val="-15"/>
        </w:rPr>
        <w:t> </w:t>
      </w:r>
      <w:r>
        <w:rPr/>
        <w:t>allowed</w:t>
      </w:r>
      <w:r>
        <w:rPr>
          <w:spacing w:val="-15"/>
        </w:rPr>
        <w:t> </w:t>
      </w:r>
      <w:r>
        <w:rPr/>
        <w:t>the</w:t>
      </w:r>
      <w:r>
        <w:rPr>
          <w:spacing w:val="-15"/>
        </w:rPr>
        <w:t> </w:t>
      </w:r>
      <w:r>
        <w:rPr/>
        <w:t>use</w:t>
      </w:r>
      <w:r>
        <w:rPr>
          <w:spacing w:val="-15"/>
        </w:rPr>
        <w:t> </w:t>
      </w:r>
      <w:r>
        <w:rPr/>
        <w:t>of</w:t>
      </w:r>
      <w:r>
        <w:rPr>
          <w:spacing w:val="-15"/>
        </w:rPr>
        <w:t> </w:t>
      </w:r>
      <w:r>
        <w:rPr/>
        <w:t>questionnaire</w:t>
      </w:r>
      <w:r>
        <w:rPr>
          <w:spacing w:val="-15"/>
        </w:rPr>
        <w:t> </w:t>
      </w:r>
      <w:r>
        <w:rPr/>
        <w:t>for</w:t>
      </w:r>
      <w:r>
        <w:rPr>
          <w:spacing w:val="-15"/>
        </w:rPr>
        <w:t> </w:t>
      </w:r>
      <w:r>
        <w:rPr/>
        <w:t>collection</w:t>
      </w:r>
      <w:r>
        <w:rPr>
          <w:spacing w:val="-15"/>
        </w:rPr>
        <w:t> </w:t>
      </w:r>
      <w:r>
        <w:rPr/>
        <w:t>of</w:t>
      </w:r>
      <w:r>
        <w:rPr>
          <w:spacing w:val="-15"/>
        </w:rPr>
        <w:t> </w:t>
      </w:r>
      <w:r>
        <w:rPr/>
        <w:t>standardized</w:t>
      </w:r>
      <w:r>
        <w:rPr>
          <w:spacing w:val="-15"/>
        </w:rPr>
        <w:t> </w:t>
      </w:r>
      <w:r>
        <w:rPr/>
        <w:t>quantitative data</w:t>
      </w:r>
      <w:r>
        <w:rPr>
          <w:spacing w:val="-3"/>
        </w:rPr>
        <w:t> </w:t>
      </w:r>
      <w:r>
        <w:rPr/>
        <w:t>that</w:t>
      </w:r>
      <w:r>
        <w:rPr>
          <w:spacing w:val="-2"/>
        </w:rPr>
        <w:t> </w:t>
      </w:r>
      <w:r>
        <w:rPr/>
        <w:t>pertain</w:t>
      </w:r>
      <w:r>
        <w:rPr>
          <w:spacing w:val="-2"/>
        </w:rPr>
        <w:t> </w:t>
      </w:r>
      <w:r>
        <w:rPr/>
        <w:t>but</w:t>
      </w:r>
      <w:r>
        <w:rPr>
          <w:spacing w:val="-2"/>
        </w:rPr>
        <w:t> </w:t>
      </w:r>
      <w:r>
        <w:rPr/>
        <w:t>not</w:t>
      </w:r>
      <w:r>
        <w:rPr>
          <w:spacing w:val="-2"/>
        </w:rPr>
        <w:t> </w:t>
      </w:r>
      <w:r>
        <w:rPr/>
        <w:t>limited</w:t>
      </w:r>
      <w:r>
        <w:rPr>
          <w:spacing w:val="-1"/>
        </w:rPr>
        <w:t> </w:t>
      </w:r>
      <w:r>
        <w:rPr/>
        <w:t>to:</w:t>
      </w:r>
      <w:r>
        <w:rPr>
          <w:spacing w:val="-2"/>
        </w:rPr>
        <w:t> </w:t>
      </w:r>
      <w:r>
        <w:rPr/>
        <w:t>water</w:t>
      </w:r>
      <w:r>
        <w:rPr>
          <w:spacing w:val="-4"/>
        </w:rPr>
        <w:t> </w:t>
      </w:r>
      <w:r>
        <w:rPr/>
        <w:t>resource</w:t>
      </w:r>
      <w:r>
        <w:rPr>
          <w:spacing w:val="-1"/>
        </w:rPr>
        <w:t> </w:t>
      </w:r>
      <w:r>
        <w:rPr/>
        <w:t>availability</w:t>
      </w:r>
      <w:r>
        <w:rPr>
          <w:spacing w:val="-7"/>
        </w:rPr>
        <w:t> </w:t>
      </w:r>
      <w:r>
        <w:rPr/>
        <w:t>(sufficiency</w:t>
      </w:r>
      <w:r>
        <w:rPr>
          <w:spacing w:val="-5"/>
        </w:rPr>
        <w:t> </w:t>
      </w:r>
      <w:r>
        <w:rPr/>
        <w:t>of</w:t>
      </w:r>
      <w:r>
        <w:rPr>
          <w:spacing w:val="-2"/>
        </w:rPr>
        <w:t> </w:t>
      </w:r>
      <w:r>
        <w:rPr/>
        <w:t>water</w:t>
      </w:r>
      <w:r>
        <w:rPr>
          <w:spacing w:val="-4"/>
        </w:rPr>
        <w:t> </w:t>
      </w:r>
      <w:r>
        <w:rPr/>
        <w:t>quantity and</w:t>
      </w:r>
      <w:r>
        <w:rPr>
          <w:spacing w:val="-3"/>
        </w:rPr>
        <w:t> </w:t>
      </w:r>
      <w:r>
        <w:rPr/>
        <w:t>reliability</w:t>
      </w:r>
      <w:r>
        <w:rPr>
          <w:spacing w:val="-8"/>
        </w:rPr>
        <w:t> </w:t>
      </w:r>
      <w:r>
        <w:rPr/>
        <w:t>of</w:t>
      </w:r>
      <w:r>
        <w:rPr>
          <w:spacing w:val="-2"/>
        </w:rPr>
        <w:t> </w:t>
      </w:r>
      <w:r>
        <w:rPr/>
        <w:t>water</w:t>
      </w:r>
      <w:r>
        <w:rPr>
          <w:spacing w:val="-5"/>
        </w:rPr>
        <w:t> </w:t>
      </w:r>
      <w:r>
        <w:rPr/>
        <w:t>supply),</w:t>
      </w:r>
      <w:r>
        <w:rPr>
          <w:spacing w:val="-3"/>
        </w:rPr>
        <w:t> </w:t>
      </w:r>
      <w:r>
        <w:rPr/>
        <w:t>access</w:t>
      </w:r>
      <w:r>
        <w:rPr>
          <w:spacing w:val="-3"/>
        </w:rPr>
        <w:t> </w:t>
      </w:r>
      <w:r>
        <w:rPr/>
        <w:t>(population</w:t>
      </w:r>
      <w:r>
        <w:rPr>
          <w:spacing w:val="-3"/>
        </w:rPr>
        <w:t> </w:t>
      </w:r>
      <w:r>
        <w:rPr/>
        <w:t>with</w:t>
      </w:r>
      <w:r>
        <w:rPr>
          <w:spacing w:val="-3"/>
        </w:rPr>
        <w:t> </w:t>
      </w:r>
      <w:r>
        <w:rPr/>
        <w:t>access</w:t>
      </w:r>
      <w:r>
        <w:rPr>
          <w:spacing w:val="-3"/>
        </w:rPr>
        <w:t> </w:t>
      </w:r>
      <w:r>
        <w:rPr/>
        <w:t>to</w:t>
      </w:r>
      <w:r>
        <w:rPr>
          <w:spacing w:val="-3"/>
        </w:rPr>
        <w:t> </w:t>
      </w:r>
      <w:r>
        <w:rPr/>
        <w:t>safe</w:t>
      </w:r>
      <w:r>
        <w:rPr>
          <w:spacing w:val="-4"/>
        </w:rPr>
        <w:t> </w:t>
      </w:r>
      <w:r>
        <w:rPr/>
        <w:t>water),</w:t>
      </w:r>
      <w:r>
        <w:rPr>
          <w:spacing w:val="-3"/>
        </w:rPr>
        <w:t> </w:t>
      </w:r>
      <w:r>
        <w:rPr/>
        <w:t>use</w:t>
      </w:r>
      <w:r>
        <w:rPr>
          <w:spacing w:val="-2"/>
        </w:rPr>
        <w:t> </w:t>
      </w:r>
      <w:r>
        <w:rPr/>
        <w:t>(domestic water</w:t>
      </w:r>
      <w:r>
        <w:rPr>
          <w:spacing w:val="-9"/>
        </w:rPr>
        <w:t> </w:t>
      </w:r>
      <w:r>
        <w:rPr/>
        <w:t>consumption</w:t>
      </w:r>
      <w:r>
        <w:rPr>
          <w:spacing w:val="-11"/>
        </w:rPr>
        <w:t> </w:t>
      </w:r>
      <w:r>
        <w:rPr/>
        <w:t>per</w:t>
      </w:r>
      <w:r>
        <w:rPr>
          <w:spacing w:val="-11"/>
        </w:rPr>
        <w:t> </w:t>
      </w:r>
      <w:r>
        <w:rPr/>
        <w:t>capita),</w:t>
      </w:r>
      <w:r>
        <w:rPr>
          <w:spacing w:val="-11"/>
        </w:rPr>
        <w:t> </w:t>
      </w:r>
      <w:r>
        <w:rPr/>
        <w:t>capacity</w:t>
      </w:r>
      <w:r>
        <w:rPr>
          <w:spacing w:val="-12"/>
        </w:rPr>
        <w:t> </w:t>
      </w:r>
      <w:r>
        <w:rPr/>
        <w:t>(unemployment</w:t>
      </w:r>
      <w:r>
        <w:rPr>
          <w:spacing w:val="-11"/>
        </w:rPr>
        <w:t> </w:t>
      </w:r>
      <w:r>
        <w:rPr/>
        <w:t>and</w:t>
      </w:r>
      <w:r>
        <w:rPr>
          <w:spacing w:val="-11"/>
        </w:rPr>
        <w:t> </w:t>
      </w:r>
      <w:r>
        <w:rPr/>
        <w:t>illiteracy</w:t>
      </w:r>
      <w:r>
        <w:rPr>
          <w:spacing w:val="-12"/>
        </w:rPr>
        <w:t> </w:t>
      </w:r>
      <w:r>
        <w:rPr/>
        <w:t>rate)</w:t>
      </w:r>
      <w:r>
        <w:rPr>
          <w:spacing w:val="-10"/>
        </w:rPr>
        <w:t> </w:t>
      </w:r>
      <w:r>
        <w:rPr/>
        <w:t>and</w:t>
      </w:r>
      <w:r>
        <w:rPr>
          <w:spacing w:val="-11"/>
        </w:rPr>
        <w:t> </w:t>
      </w:r>
      <w:r>
        <w:rPr/>
        <w:t>environment (water quality assessment) to be analyzed using descriptive statistics and inferential approach. Such quantitative data was deemed the most appropriate in understanding the magnitude</w:t>
      </w:r>
      <w:r>
        <w:rPr>
          <w:spacing w:val="-4"/>
        </w:rPr>
        <w:t> </w:t>
      </w:r>
      <w:r>
        <w:rPr/>
        <w:t>and</w:t>
      </w:r>
      <w:r>
        <w:rPr>
          <w:spacing w:val="-2"/>
        </w:rPr>
        <w:t> </w:t>
      </w:r>
      <w:r>
        <w:rPr/>
        <w:t>complexity</w:t>
      </w:r>
      <w:r>
        <w:rPr>
          <w:spacing w:val="-5"/>
        </w:rPr>
        <w:t> </w:t>
      </w:r>
      <w:r>
        <w:rPr/>
        <w:t>of</w:t>
      </w:r>
      <w:r>
        <w:rPr>
          <w:spacing w:val="-4"/>
        </w:rPr>
        <w:t> </w:t>
      </w:r>
      <w:r>
        <w:rPr/>
        <w:t>real-world</w:t>
      </w:r>
      <w:r>
        <w:rPr>
          <w:spacing w:val="-3"/>
        </w:rPr>
        <w:t> </w:t>
      </w:r>
      <w:r>
        <w:rPr/>
        <w:t>problems</w:t>
      </w:r>
      <w:r>
        <w:rPr>
          <w:spacing w:val="-2"/>
        </w:rPr>
        <w:t> </w:t>
      </w:r>
      <w:r>
        <w:rPr/>
        <w:t>(Bertrand</w:t>
      </w:r>
      <w:r>
        <w:rPr>
          <w:spacing w:val="-3"/>
        </w:rPr>
        <w:t> </w:t>
      </w:r>
      <w:r>
        <w:rPr/>
        <w:t>and</w:t>
      </w:r>
      <w:r>
        <w:rPr>
          <w:spacing w:val="-3"/>
        </w:rPr>
        <w:t> </w:t>
      </w:r>
      <w:r>
        <w:rPr/>
        <w:t>Fransoo,</w:t>
      </w:r>
      <w:r>
        <w:rPr>
          <w:spacing w:val="-3"/>
        </w:rPr>
        <w:t> </w:t>
      </w:r>
      <w:r>
        <w:rPr/>
        <w:t>2002)</w:t>
      </w:r>
      <w:r>
        <w:rPr>
          <w:spacing w:val="-4"/>
        </w:rPr>
        <w:t> </w:t>
      </w:r>
      <w:r>
        <w:rPr/>
        <w:t>such</w:t>
      </w:r>
      <w:r>
        <w:rPr>
          <w:spacing w:val="-3"/>
        </w:rPr>
        <w:t> </w:t>
      </w:r>
      <w:r>
        <w:rPr/>
        <w:t>as</w:t>
      </w:r>
      <w:r>
        <w:rPr>
          <w:spacing w:val="-3"/>
        </w:rPr>
        <w:t> </w:t>
      </w:r>
      <w:r>
        <w:rPr/>
        <w:t>the multi-dimensional</w:t>
      </w:r>
      <w:r>
        <w:rPr>
          <w:spacing w:val="-9"/>
        </w:rPr>
        <w:t> </w:t>
      </w:r>
      <w:r>
        <w:rPr/>
        <w:t>water</w:t>
      </w:r>
      <w:r>
        <w:rPr>
          <w:spacing w:val="-7"/>
        </w:rPr>
        <w:t> </w:t>
      </w:r>
      <w:r>
        <w:rPr/>
        <w:t>scarcity</w:t>
      </w:r>
      <w:r>
        <w:rPr>
          <w:spacing w:val="-12"/>
        </w:rPr>
        <w:t> </w:t>
      </w:r>
      <w:r>
        <w:rPr/>
        <w:t>problem.</w:t>
      </w:r>
      <w:r>
        <w:rPr>
          <w:spacing w:val="49"/>
        </w:rPr>
        <w:t> </w:t>
      </w:r>
      <w:r>
        <w:rPr/>
        <w:t>The</w:t>
      </w:r>
      <w:r>
        <w:rPr>
          <w:spacing w:val="-7"/>
        </w:rPr>
        <w:t> </w:t>
      </w:r>
      <w:r>
        <w:rPr/>
        <w:t>research</w:t>
      </w:r>
      <w:r>
        <w:rPr>
          <w:spacing w:val="-7"/>
        </w:rPr>
        <w:t> </w:t>
      </w:r>
      <w:r>
        <w:rPr/>
        <w:t>process</w:t>
      </w:r>
      <w:r>
        <w:rPr>
          <w:spacing w:val="-6"/>
        </w:rPr>
        <w:t> </w:t>
      </w:r>
      <w:r>
        <w:rPr/>
        <w:t>employed</w:t>
      </w:r>
      <w:r>
        <w:rPr>
          <w:spacing w:val="-5"/>
        </w:rPr>
        <w:t> </w:t>
      </w:r>
      <w:r>
        <w:rPr/>
        <w:t>in</w:t>
      </w:r>
      <w:r>
        <w:rPr>
          <w:spacing w:val="-6"/>
        </w:rPr>
        <w:t> </w:t>
      </w:r>
      <w:r>
        <w:rPr/>
        <w:t>addressing</w:t>
      </w:r>
      <w:r>
        <w:rPr>
          <w:spacing w:val="-9"/>
        </w:rPr>
        <w:t> </w:t>
      </w:r>
      <w:r>
        <w:rPr>
          <w:spacing w:val="-5"/>
        </w:rPr>
        <w:t>the</w:t>
      </w:r>
    </w:p>
    <w:p>
      <w:pPr>
        <w:spacing w:after="0" w:line="480" w:lineRule="auto"/>
        <w:jc w:val="both"/>
        <w:sectPr>
          <w:pgSz w:w="12240" w:h="15840"/>
          <w:pgMar w:header="0" w:footer="1068" w:top="1340" w:bottom="1260" w:left="1720" w:right="680"/>
        </w:sectPr>
      </w:pPr>
    </w:p>
    <w:p>
      <w:pPr>
        <w:pStyle w:val="BodyText"/>
        <w:spacing w:line="480" w:lineRule="auto" w:before="63"/>
        <w:ind w:left="267" w:right="722"/>
        <w:jc w:val="both"/>
      </w:pPr>
      <w:r>
        <w:rPr/>
        <mc:AlternateContent>
          <mc:Choice Requires="wps">
            <w:drawing>
              <wp:anchor distT="0" distB="0" distL="0" distR="0" allowOverlap="1" layoutInCell="1" locked="0" behindDoc="1" simplePos="0" relativeHeight="487605760">
                <wp:simplePos x="0" y="0"/>
                <wp:positionH relativeFrom="page">
                  <wp:posOffset>1812035</wp:posOffset>
                </wp:positionH>
                <wp:positionV relativeFrom="paragraph">
                  <wp:posOffset>2858516</wp:posOffset>
                </wp:positionV>
                <wp:extent cx="4514215" cy="486664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514215" cy="4866640"/>
                          <a:chExt cx="4514215" cy="4866640"/>
                        </a:xfrm>
                      </wpg:grpSpPr>
                      <pic:pic>
                        <pic:nvPicPr>
                          <pic:cNvPr id="76" name="Image 76" descr="Diagram  Description automatically generated"/>
                          <pic:cNvPicPr/>
                        </pic:nvPicPr>
                        <pic:blipFill>
                          <a:blip r:embed="rId26" cstate="print"/>
                          <a:stretch>
                            <a:fillRect/>
                          </a:stretch>
                        </pic:blipFill>
                        <pic:spPr>
                          <a:xfrm>
                            <a:off x="9144" y="94380"/>
                            <a:ext cx="4431878" cy="4762607"/>
                          </a:xfrm>
                          <a:prstGeom prst="rect">
                            <a:avLst/>
                          </a:prstGeom>
                        </pic:spPr>
                      </pic:pic>
                      <wps:wsp>
                        <wps:cNvPr id="77" name="Graphic 77"/>
                        <wps:cNvSpPr/>
                        <wps:spPr>
                          <a:xfrm>
                            <a:off x="4572" y="4572"/>
                            <a:ext cx="4505325" cy="4857115"/>
                          </a:xfrm>
                          <a:custGeom>
                            <a:avLst/>
                            <a:gdLst/>
                            <a:ahLst/>
                            <a:cxnLst/>
                            <a:rect l="l" t="t" r="r" b="b"/>
                            <a:pathLst>
                              <a:path w="4505325" h="4857115">
                                <a:moveTo>
                                  <a:pt x="0" y="4856988"/>
                                </a:moveTo>
                                <a:lnTo>
                                  <a:pt x="4504944" y="4856988"/>
                                </a:lnTo>
                                <a:lnTo>
                                  <a:pt x="4504944" y="0"/>
                                </a:lnTo>
                                <a:lnTo>
                                  <a:pt x="0" y="0"/>
                                </a:lnTo>
                                <a:lnTo>
                                  <a:pt x="0" y="48569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679993pt;margin-top:225.080002pt;width:355.45pt;height:383.2pt;mso-position-horizontal-relative:page;mso-position-vertical-relative:paragraph;z-index:-15710720;mso-wrap-distance-left:0;mso-wrap-distance-right:0" id="docshapegroup74" coordorigin="2854,4502" coordsize="7109,7664">
                <v:shape style="position:absolute;left:2868;top:4650;width:6980;height:7501" type="#_x0000_t75" id="docshape75" alt="Diagram  Description automatically generated" stroked="false">
                  <v:imagedata r:id="rId26" o:title=""/>
                </v:shape>
                <v:rect style="position:absolute;left:2860;top:4508;width:7095;height:7649" id="docshape76" filled="false" stroked="true" strokeweight=".72pt" strokecolor="#000000">
                  <v:stroke dashstyle="solid"/>
                </v:rect>
                <w10:wrap type="topAndBottom"/>
              </v:group>
            </w:pict>
          </mc:Fallback>
        </mc:AlternateContent>
      </w:r>
      <w:r>
        <w:rPr/>
        <w:t>research objectives in this study is presented in Figure 3.1. Firstly, a research problem was identified and then</w:t>
      </w:r>
      <w:r>
        <w:rPr>
          <w:spacing w:val="-1"/>
        </w:rPr>
        <w:t> </w:t>
      </w:r>
      <w:r>
        <w:rPr/>
        <w:t>a</w:t>
      </w:r>
      <w:r>
        <w:rPr>
          <w:spacing w:val="-1"/>
        </w:rPr>
        <w:t> </w:t>
      </w:r>
      <w:r>
        <w:rPr/>
        <w:t>review</w:t>
      </w:r>
      <w:r>
        <w:rPr>
          <w:spacing w:val="-1"/>
        </w:rPr>
        <w:t> </w:t>
      </w:r>
      <w:r>
        <w:rPr/>
        <w:t>of</w:t>
      </w:r>
      <w:r>
        <w:rPr>
          <w:spacing w:val="-1"/>
        </w:rPr>
        <w:t> </w:t>
      </w:r>
      <w:r>
        <w:rPr/>
        <w:t>literature</w:t>
      </w:r>
      <w:r>
        <w:rPr>
          <w:spacing w:val="-1"/>
        </w:rPr>
        <w:t> </w:t>
      </w:r>
      <w:r>
        <w:rPr/>
        <w:t>in relation to the</w:t>
      </w:r>
      <w:r>
        <w:rPr>
          <w:spacing w:val="-1"/>
        </w:rPr>
        <w:t> </w:t>
      </w:r>
      <w:r>
        <w:rPr/>
        <w:t>research problem was carried out, the</w:t>
      </w:r>
      <w:r>
        <w:rPr>
          <w:spacing w:val="-5"/>
        </w:rPr>
        <w:t> </w:t>
      </w:r>
      <w:r>
        <w:rPr/>
        <w:t>literature</w:t>
      </w:r>
      <w:r>
        <w:rPr>
          <w:spacing w:val="-4"/>
        </w:rPr>
        <w:t> </w:t>
      </w:r>
      <w:r>
        <w:rPr/>
        <w:t>reviewed</w:t>
      </w:r>
      <w:r>
        <w:rPr>
          <w:spacing w:val="-3"/>
        </w:rPr>
        <w:t> </w:t>
      </w:r>
      <w:r>
        <w:rPr/>
        <w:t>then</w:t>
      </w:r>
      <w:r>
        <w:rPr>
          <w:spacing w:val="-5"/>
        </w:rPr>
        <w:t> </w:t>
      </w:r>
      <w:r>
        <w:rPr/>
        <w:t>enhanced</w:t>
      </w:r>
      <w:r>
        <w:rPr>
          <w:spacing w:val="-3"/>
        </w:rPr>
        <w:t> </w:t>
      </w:r>
      <w:r>
        <w:rPr/>
        <w:t>the</w:t>
      </w:r>
      <w:r>
        <w:rPr>
          <w:spacing w:val="-5"/>
        </w:rPr>
        <w:t> </w:t>
      </w:r>
      <w:r>
        <w:rPr/>
        <w:t>knowledge</w:t>
      </w:r>
      <w:r>
        <w:rPr>
          <w:spacing w:val="-4"/>
        </w:rPr>
        <w:t> </w:t>
      </w:r>
      <w:r>
        <w:rPr/>
        <w:t>on</w:t>
      </w:r>
      <w:r>
        <w:rPr>
          <w:spacing w:val="-5"/>
        </w:rPr>
        <w:t> </w:t>
      </w:r>
      <w:r>
        <w:rPr/>
        <w:t>the</w:t>
      </w:r>
      <w:r>
        <w:rPr>
          <w:spacing w:val="-3"/>
        </w:rPr>
        <w:t> </w:t>
      </w:r>
      <w:r>
        <w:rPr/>
        <w:t>methodology</w:t>
      </w:r>
      <w:r>
        <w:rPr>
          <w:spacing w:val="-7"/>
        </w:rPr>
        <w:t> </w:t>
      </w:r>
      <w:r>
        <w:rPr/>
        <w:t>as</w:t>
      </w:r>
      <w:r>
        <w:rPr>
          <w:spacing w:val="-5"/>
        </w:rPr>
        <w:t> </w:t>
      </w:r>
      <w:r>
        <w:rPr/>
        <w:t>well</w:t>
      </w:r>
      <w:r>
        <w:rPr>
          <w:spacing w:val="-4"/>
        </w:rPr>
        <w:t> </w:t>
      </w:r>
      <w:r>
        <w:rPr/>
        <w:t>as</w:t>
      </w:r>
      <w:r>
        <w:rPr>
          <w:spacing w:val="-5"/>
        </w:rPr>
        <w:t> </w:t>
      </w:r>
      <w:r>
        <w:rPr/>
        <w:t>types</w:t>
      </w:r>
      <w:r>
        <w:rPr>
          <w:spacing w:val="-5"/>
        </w:rPr>
        <w:t> </w:t>
      </w:r>
      <w:r>
        <w:rPr/>
        <w:t>of data needed to carry out the research to achieve the objectives. The research design shows the</w:t>
      </w:r>
      <w:r>
        <w:rPr>
          <w:spacing w:val="-13"/>
        </w:rPr>
        <w:t> </w:t>
      </w:r>
      <w:r>
        <w:rPr/>
        <w:t>need</w:t>
      </w:r>
      <w:r>
        <w:rPr>
          <w:spacing w:val="-9"/>
        </w:rPr>
        <w:t> </w:t>
      </w:r>
      <w:r>
        <w:rPr/>
        <w:t>for</w:t>
      </w:r>
      <w:r>
        <w:rPr>
          <w:spacing w:val="-10"/>
        </w:rPr>
        <w:t> </w:t>
      </w:r>
      <w:r>
        <w:rPr/>
        <w:t>the</w:t>
      </w:r>
      <w:r>
        <w:rPr>
          <w:spacing w:val="-12"/>
        </w:rPr>
        <w:t> </w:t>
      </w:r>
      <w:r>
        <w:rPr/>
        <w:t>construction</w:t>
      </w:r>
      <w:r>
        <w:rPr>
          <w:spacing w:val="-11"/>
        </w:rPr>
        <w:t> </w:t>
      </w:r>
      <w:r>
        <w:rPr/>
        <w:t>of</w:t>
      </w:r>
      <w:r>
        <w:rPr>
          <w:spacing w:val="-12"/>
        </w:rPr>
        <w:t> </w:t>
      </w:r>
      <w:r>
        <w:rPr/>
        <w:t>a</w:t>
      </w:r>
      <w:r>
        <w:rPr>
          <w:spacing w:val="-10"/>
        </w:rPr>
        <w:t> </w:t>
      </w:r>
      <w:r>
        <w:rPr/>
        <w:t>water</w:t>
      </w:r>
      <w:r>
        <w:rPr>
          <w:spacing w:val="-12"/>
        </w:rPr>
        <w:t> </w:t>
      </w:r>
      <w:r>
        <w:rPr/>
        <w:t>poverty</w:t>
      </w:r>
      <w:r>
        <w:rPr>
          <w:spacing w:val="-15"/>
        </w:rPr>
        <w:t> </w:t>
      </w:r>
      <w:r>
        <w:rPr/>
        <w:t>index</w:t>
      </w:r>
      <w:r>
        <w:rPr>
          <w:spacing w:val="-9"/>
        </w:rPr>
        <w:t> </w:t>
      </w:r>
      <w:r>
        <w:rPr/>
        <w:t>to</w:t>
      </w:r>
      <w:r>
        <w:rPr>
          <w:spacing w:val="-11"/>
        </w:rPr>
        <w:t> </w:t>
      </w:r>
      <w:r>
        <w:rPr/>
        <w:t>help</w:t>
      </w:r>
      <w:r>
        <w:rPr>
          <w:spacing w:val="-11"/>
        </w:rPr>
        <w:t> </w:t>
      </w:r>
      <w:r>
        <w:rPr/>
        <w:t>achieve</w:t>
      </w:r>
      <w:r>
        <w:rPr>
          <w:spacing w:val="-12"/>
        </w:rPr>
        <w:t> </w:t>
      </w:r>
      <w:r>
        <w:rPr/>
        <w:t>objectives</w:t>
      </w:r>
      <w:r>
        <w:rPr>
          <w:spacing w:val="-5"/>
        </w:rPr>
        <w:t> </w:t>
      </w:r>
      <w:r>
        <w:rPr/>
        <w:t>three</w:t>
      </w:r>
      <w:r>
        <w:rPr>
          <w:spacing w:val="-12"/>
        </w:rPr>
        <w:t> </w:t>
      </w:r>
      <w:r>
        <w:rPr/>
        <w:t>(3)</w:t>
      </w:r>
      <w:r>
        <w:rPr>
          <w:spacing w:val="-10"/>
        </w:rPr>
        <w:t> </w:t>
      </w:r>
      <w:r>
        <w:rPr/>
        <w:t>and four</w:t>
      </w:r>
      <w:r>
        <w:rPr>
          <w:spacing w:val="-15"/>
        </w:rPr>
        <w:t> </w:t>
      </w:r>
      <w:r>
        <w:rPr/>
        <w:t>(4)</w:t>
      </w:r>
      <w:r>
        <w:rPr>
          <w:spacing w:val="-15"/>
        </w:rPr>
        <w:t> </w:t>
      </w:r>
      <w:r>
        <w:rPr/>
        <w:t>this</w:t>
      </w:r>
      <w:r>
        <w:rPr>
          <w:spacing w:val="-15"/>
        </w:rPr>
        <w:t> </w:t>
      </w:r>
      <w:r>
        <w:rPr/>
        <w:t>then</w:t>
      </w:r>
      <w:r>
        <w:rPr>
          <w:spacing w:val="-15"/>
        </w:rPr>
        <w:t> </w:t>
      </w:r>
      <w:r>
        <w:rPr/>
        <w:t>enlightened</w:t>
      </w:r>
      <w:r>
        <w:rPr>
          <w:spacing w:val="-14"/>
        </w:rPr>
        <w:t> </w:t>
      </w:r>
      <w:r>
        <w:rPr/>
        <w:t>us</w:t>
      </w:r>
      <w:r>
        <w:rPr>
          <w:spacing w:val="-14"/>
        </w:rPr>
        <w:t> </w:t>
      </w:r>
      <w:r>
        <w:rPr/>
        <w:t>more</w:t>
      </w:r>
      <w:r>
        <w:rPr>
          <w:spacing w:val="-15"/>
        </w:rPr>
        <w:t> </w:t>
      </w:r>
      <w:r>
        <w:rPr/>
        <w:t>on</w:t>
      </w:r>
      <w:r>
        <w:rPr>
          <w:spacing w:val="-14"/>
        </w:rPr>
        <w:t> </w:t>
      </w:r>
      <w:r>
        <w:rPr/>
        <w:t>the</w:t>
      </w:r>
      <w:r>
        <w:rPr>
          <w:spacing w:val="-15"/>
        </w:rPr>
        <w:t> </w:t>
      </w:r>
      <w:r>
        <w:rPr/>
        <w:t>research</w:t>
      </w:r>
      <w:r>
        <w:rPr>
          <w:spacing w:val="-14"/>
        </w:rPr>
        <w:t> </w:t>
      </w:r>
      <w:r>
        <w:rPr/>
        <w:t>problem.</w:t>
      </w:r>
      <w:r>
        <w:rPr>
          <w:spacing w:val="-14"/>
        </w:rPr>
        <w:t> </w:t>
      </w:r>
      <w:r>
        <w:rPr/>
        <w:t>Also,</w:t>
      </w:r>
      <w:r>
        <w:rPr>
          <w:spacing w:val="-14"/>
        </w:rPr>
        <w:t> </w:t>
      </w:r>
      <w:r>
        <w:rPr/>
        <w:t>the</w:t>
      </w:r>
      <w:r>
        <w:rPr>
          <w:spacing w:val="-15"/>
        </w:rPr>
        <w:t> </w:t>
      </w:r>
      <w:r>
        <w:rPr/>
        <w:t>result</w:t>
      </w:r>
      <w:r>
        <w:rPr>
          <w:spacing w:val="-14"/>
        </w:rPr>
        <w:t> </w:t>
      </w:r>
      <w:r>
        <w:rPr/>
        <w:t>from</w:t>
      </w:r>
      <w:r>
        <w:rPr>
          <w:spacing w:val="-13"/>
        </w:rPr>
        <w:t> </w:t>
      </w:r>
      <w:r>
        <w:rPr/>
        <w:t>the</w:t>
      </w:r>
      <w:r>
        <w:rPr>
          <w:spacing w:val="-15"/>
        </w:rPr>
        <w:t> </w:t>
      </w:r>
      <w:r>
        <w:rPr/>
        <w:t>study was analyzed, the analysis has enabled us draw necessary conclusion and also recommend vital policies in addressing the research problem.</w:t>
      </w:r>
    </w:p>
    <w:p>
      <w:pPr>
        <w:pStyle w:val="Heading1"/>
        <w:spacing w:line="274" w:lineRule="exact" w:before="1"/>
        <w:ind w:left="10" w:right="470"/>
        <w:jc w:val="center"/>
      </w:pPr>
      <w:r>
        <w:rPr/>
        <w:t>Figure</w:t>
      </w:r>
      <w:r>
        <w:rPr>
          <w:spacing w:val="-3"/>
        </w:rPr>
        <w:t> </w:t>
      </w:r>
      <w:r>
        <w:rPr/>
        <w:t>3.1:</w:t>
      </w:r>
      <w:r>
        <w:rPr>
          <w:spacing w:val="-1"/>
        </w:rPr>
        <w:t> </w:t>
      </w:r>
      <w:r>
        <w:rPr/>
        <w:t>The</w:t>
      </w:r>
      <w:r>
        <w:rPr>
          <w:spacing w:val="-2"/>
        </w:rPr>
        <w:t> </w:t>
      </w:r>
      <w:r>
        <w:rPr/>
        <w:t>Research</w:t>
      </w:r>
      <w:r>
        <w:rPr>
          <w:spacing w:val="-1"/>
        </w:rPr>
        <w:t> </w:t>
      </w:r>
      <w:r>
        <w:rPr/>
        <w:t>Design Employed</w:t>
      </w:r>
      <w:r>
        <w:rPr>
          <w:spacing w:val="-1"/>
        </w:rPr>
        <w:t> </w:t>
      </w:r>
      <w:r>
        <w:rPr/>
        <w:t>for</w:t>
      </w:r>
      <w:r>
        <w:rPr>
          <w:spacing w:val="-2"/>
        </w:rPr>
        <w:t> </w:t>
      </w:r>
      <w:r>
        <w:rPr/>
        <w:t>the </w:t>
      </w:r>
      <w:r>
        <w:rPr>
          <w:spacing w:val="-2"/>
        </w:rPr>
        <w:t>Study</w:t>
      </w:r>
    </w:p>
    <w:p>
      <w:pPr>
        <w:pStyle w:val="BodyText"/>
        <w:spacing w:line="274" w:lineRule="exact"/>
        <w:ind w:right="464"/>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340" w:bottom="1260" w:left="1720" w:right="680"/>
        </w:sectPr>
      </w:pPr>
    </w:p>
    <w:p>
      <w:pPr>
        <w:pStyle w:val="Heading1"/>
        <w:numPr>
          <w:ilvl w:val="1"/>
          <w:numId w:val="9"/>
        </w:numPr>
        <w:tabs>
          <w:tab w:pos="746" w:val="left" w:leader="none"/>
        </w:tabs>
        <w:spacing w:line="240" w:lineRule="auto" w:before="70" w:after="0"/>
        <w:ind w:left="746" w:right="0" w:hanging="479"/>
        <w:jc w:val="left"/>
      </w:pPr>
      <w:r>
        <w:rPr/>
        <w:t>Population</w:t>
      </w:r>
      <w:r>
        <w:rPr>
          <w:spacing w:val="-3"/>
        </w:rPr>
        <w:t> </w:t>
      </w:r>
      <w:r>
        <w:rPr/>
        <w:t>of the</w:t>
      </w:r>
      <w:r>
        <w:rPr>
          <w:spacing w:val="-1"/>
        </w:rPr>
        <w:t> </w:t>
      </w:r>
      <w:r>
        <w:rPr>
          <w:spacing w:val="-2"/>
        </w:rPr>
        <w:t>Study</w:t>
      </w:r>
    </w:p>
    <w:p>
      <w:pPr>
        <w:pStyle w:val="BodyText"/>
        <w:spacing w:before="15"/>
        <w:rPr>
          <w:b/>
        </w:rPr>
      </w:pPr>
    </w:p>
    <w:p>
      <w:pPr>
        <w:pStyle w:val="BodyText"/>
        <w:spacing w:line="480" w:lineRule="auto"/>
        <w:ind w:left="267" w:right="727"/>
        <w:jc w:val="both"/>
      </w:pPr>
      <w:r>
        <w:rPr/>
        <w:t>The population of the study which represents the basis of analysis in this research was the 22,591 urban households residing in the 8 neighbourhoods of Minna. In the absence of household and neighbourhoods survey in the 2006 National Population Commission, recourse</w:t>
      </w:r>
      <w:r>
        <w:rPr>
          <w:spacing w:val="-7"/>
        </w:rPr>
        <w:t> </w:t>
      </w:r>
      <w:r>
        <w:rPr/>
        <w:t>was</w:t>
      </w:r>
      <w:r>
        <w:rPr>
          <w:spacing w:val="-6"/>
        </w:rPr>
        <w:t> </w:t>
      </w:r>
      <w:r>
        <w:rPr/>
        <w:t>made</w:t>
      </w:r>
      <w:r>
        <w:rPr>
          <w:spacing w:val="-7"/>
        </w:rPr>
        <w:t> </w:t>
      </w:r>
      <w:r>
        <w:rPr/>
        <w:t>to</w:t>
      </w:r>
      <w:r>
        <w:rPr>
          <w:spacing w:val="-5"/>
        </w:rPr>
        <w:t> </w:t>
      </w:r>
      <w:r>
        <w:rPr/>
        <w:t>the</w:t>
      </w:r>
      <w:r>
        <w:rPr>
          <w:spacing w:val="-4"/>
        </w:rPr>
        <w:t> </w:t>
      </w:r>
      <w:r>
        <w:rPr/>
        <w:t>projection</w:t>
      </w:r>
      <w:r>
        <w:rPr>
          <w:spacing w:val="-6"/>
        </w:rPr>
        <w:t> </w:t>
      </w:r>
      <w:r>
        <w:rPr/>
        <w:t>of</w:t>
      </w:r>
      <w:r>
        <w:rPr>
          <w:spacing w:val="-7"/>
        </w:rPr>
        <w:t> </w:t>
      </w:r>
      <w:r>
        <w:rPr/>
        <w:t>unpublished</w:t>
      </w:r>
      <w:r>
        <w:rPr>
          <w:spacing w:val="-3"/>
        </w:rPr>
        <w:t> </w:t>
      </w:r>
      <w:r>
        <w:rPr/>
        <w:t>neighbourhoods</w:t>
      </w:r>
      <w:r>
        <w:rPr>
          <w:spacing w:val="-5"/>
        </w:rPr>
        <w:t> </w:t>
      </w:r>
      <w:r>
        <w:rPr/>
        <w:t>population</w:t>
      </w:r>
      <w:r>
        <w:rPr>
          <w:spacing w:val="-6"/>
        </w:rPr>
        <w:t> </w:t>
      </w:r>
      <w:r>
        <w:rPr/>
        <w:t>estimates</w:t>
      </w:r>
      <w:r>
        <w:rPr>
          <w:spacing w:val="-6"/>
        </w:rPr>
        <w:t> </w:t>
      </w:r>
      <w:r>
        <w:rPr/>
        <w:t>of 2010 based on a 2.60% annual growth rate and an average household size of 8 in all urban centres in Niger state (Niger State Bureau of Statistics, 2014). A breakdown of the 22,591 households by neighbourhoods is shown in Table 3.1 below.</w:t>
      </w:r>
    </w:p>
    <w:p>
      <w:pPr>
        <w:pStyle w:val="BodyText"/>
        <w:spacing w:before="5"/>
      </w:pPr>
    </w:p>
    <w:p>
      <w:pPr>
        <w:pStyle w:val="Heading1"/>
        <w:spacing w:before="1"/>
        <w:jc w:val="both"/>
      </w:pPr>
      <w:r>
        <w:rPr/>
        <w:t>Table</w:t>
      </w:r>
      <w:r>
        <w:rPr>
          <w:spacing w:val="-4"/>
        </w:rPr>
        <w:t> </w:t>
      </w:r>
      <w:r>
        <w:rPr/>
        <w:t>3.1:</w:t>
      </w:r>
      <w:r>
        <w:rPr>
          <w:spacing w:val="-3"/>
        </w:rPr>
        <w:t> </w:t>
      </w:r>
      <w:r>
        <w:rPr/>
        <w:t>Neighbourhood</w:t>
      </w:r>
      <w:r>
        <w:rPr>
          <w:spacing w:val="-1"/>
        </w:rPr>
        <w:t> </w:t>
      </w:r>
      <w:r>
        <w:rPr/>
        <w:t>Population</w:t>
      </w:r>
      <w:r>
        <w:rPr>
          <w:spacing w:val="-2"/>
        </w:rPr>
        <w:t> </w:t>
      </w:r>
      <w:r>
        <w:rPr/>
        <w:t>and</w:t>
      </w:r>
      <w:r>
        <w:rPr>
          <w:spacing w:val="-2"/>
        </w:rPr>
        <w:t> </w:t>
      </w:r>
      <w:r>
        <w:rPr/>
        <w:t>Number</w:t>
      </w:r>
      <w:r>
        <w:rPr>
          <w:spacing w:val="-2"/>
        </w:rPr>
        <w:t> </w:t>
      </w:r>
      <w:r>
        <w:rPr/>
        <w:t>of</w:t>
      </w:r>
      <w:r>
        <w:rPr>
          <w:spacing w:val="-1"/>
        </w:rPr>
        <w:t> </w:t>
      </w:r>
      <w:r>
        <w:rPr/>
        <w:t>Households</w:t>
      </w:r>
      <w:r>
        <w:rPr>
          <w:spacing w:val="-2"/>
        </w:rPr>
        <w:t> </w:t>
      </w:r>
      <w:r>
        <w:rPr/>
        <w:t>in </w:t>
      </w:r>
      <w:r>
        <w:rPr>
          <w:spacing w:val="-2"/>
        </w:rPr>
        <w:t>Minna</w:t>
      </w:r>
    </w:p>
    <w:p>
      <w:pPr>
        <w:pStyle w:val="BodyText"/>
        <w:spacing w:before="10"/>
        <w:rPr>
          <w:b/>
          <w:sz w:val="14"/>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2275"/>
        <w:gridCol w:w="1845"/>
        <w:gridCol w:w="1694"/>
        <w:gridCol w:w="2185"/>
      </w:tblGrid>
      <w:tr>
        <w:trPr>
          <w:trHeight w:val="536" w:hRule="atLeast"/>
        </w:trPr>
        <w:tc>
          <w:tcPr>
            <w:tcW w:w="663" w:type="dxa"/>
            <w:tcBorders>
              <w:top w:val="single" w:sz="8" w:space="0" w:color="000000"/>
              <w:bottom w:val="single" w:sz="8" w:space="0" w:color="000000"/>
            </w:tcBorders>
          </w:tcPr>
          <w:p>
            <w:pPr>
              <w:pStyle w:val="TableParagraph"/>
              <w:spacing w:line="265" w:lineRule="exact"/>
              <w:ind w:left="122"/>
              <w:rPr>
                <w:rFonts w:ascii="Calibri"/>
                <w:b/>
                <w:sz w:val="22"/>
              </w:rPr>
            </w:pPr>
            <w:r>
              <w:rPr>
                <w:rFonts w:ascii="Calibri"/>
                <w:b/>
                <w:spacing w:val="-5"/>
                <w:sz w:val="22"/>
              </w:rPr>
              <w:t>S/N</w:t>
            </w:r>
          </w:p>
        </w:tc>
        <w:tc>
          <w:tcPr>
            <w:tcW w:w="2275" w:type="dxa"/>
            <w:tcBorders>
              <w:top w:val="single" w:sz="8" w:space="0" w:color="000000"/>
              <w:bottom w:val="single" w:sz="8" w:space="0" w:color="000000"/>
            </w:tcBorders>
          </w:tcPr>
          <w:p>
            <w:pPr>
              <w:pStyle w:val="TableParagraph"/>
              <w:spacing w:line="265" w:lineRule="exact"/>
              <w:ind w:left="196"/>
              <w:rPr>
                <w:rFonts w:ascii="Calibri"/>
                <w:b/>
                <w:sz w:val="22"/>
              </w:rPr>
            </w:pPr>
            <w:r>
              <w:rPr>
                <w:rFonts w:ascii="Calibri"/>
                <w:b/>
                <w:spacing w:val="-2"/>
                <w:sz w:val="22"/>
              </w:rPr>
              <w:t>Neighbourhoods</w:t>
            </w:r>
          </w:p>
        </w:tc>
        <w:tc>
          <w:tcPr>
            <w:tcW w:w="1845" w:type="dxa"/>
            <w:tcBorders>
              <w:top w:val="single" w:sz="8" w:space="0" w:color="000000"/>
              <w:bottom w:val="single" w:sz="8" w:space="0" w:color="000000"/>
            </w:tcBorders>
          </w:tcPr>
          <w:p>
            <w:pPr>
              <w:pStyle w:val="TableParagraph"/>
              <w:spacing w:line="265" w:lineRule="exact"/>
              <w:ind w:left="59"/>
              <w:jc w:val="center"/>
              <w:rPr>
                <w:rFonts w:ascii="Calibri"/>
                <w:b/>
                <w:sz w:val="22"/>
              </w:rPr>
            </w:pPr>
            <w:r>
              <w:rPr>
                <w:rFonts w:ascii="Calibri"/>
                <w:b/>
                <w:spacing w:val="-2"/>
                <w:sz w:val="22"/>
              </w:rPr>
              <w:t>Population</w:t>
            </w:r>
          </w:p>
          <w:p>
            <w:pPr>
              <w:pStyle w:val="TableParagraph"/>
              <w:spacing w:line="251" w:lineRule="exact"/>
              <w:ind w:left="59"/>
              <w:jc w:val="center"/>
              <w:rPr>
                <w:rFonts w:ascii="Calibri"/>
                <w:b/>
                <w:sz w:val="22"/>
              </w:rPr>
            </w:pPr>
            <w:r>
              <w:rPr>
                <w:rFonts w:ascii="Calibri"/>
                <w:b/>
                <w:spacing w:val="-2"/>
                <w:sz w:val="22"/>
              </w:rPr>
              <w:t>(2010)</w:t>
            </w:r>
            <w:r>
              <w:rPr>
                <w:rFonts w:ascii="Calibri"/>
                <w:b/>
                <w:spacing w:val="-2"/>
                <w:sz w:val="22"/>
                <w:vertAlign w:val="superscript"/>
              </w:rPr>
              <w:t>1</w:t>
            </w:r>
          </w:p>
        </w:tc>
        <w:tc>
          <w:tcPr>
            <w:tcW w:w="1694" w:type="dxa"/>
            <w:tcBorders>
              <w:top w:val="single" w:sz="8" w:space="0" w:color="000000"/>
              <w:bottom w:val="single" w:sz="8" w:space="0" w:color="000000"/>
            </w:tcBorders>
          </w:tcPr>
          <w:p>
            <w:pPr>
              <w:pStyle w:val="TableParagraph"/>
              <w:spacing w:line="265" w:lineRule="exact"/>
              <w:ind w:left="94" w:right="2"/>
              <w:jc w:val="center"/>
              <w:rPr>
                <w:rFonts w:ascii="Calibri"/>
                <w:b/>
                <w:sz w:val="22"/>
              </w:rPr>
            </w:pPr>
            <w:r>
              <w:rPr>
                <w:rFonts w:ascii="Calibri"/>
                <w:b/>
                <w:spacing w:val="-2"/>
                <w:sz w:val="22"/>
              </w:rPr>
              <w:t>Population</w:t>
            </w:r>
          </w:p>
          <w:p>
            <w:pPr>
              <w:pStyle w:val="TableParagraph"/>
              <w:spacing w:line="251" w:lineRule="exact"/>
              <w:ind w:left="94" w:right="1"/>
              <w:jc w:val="center"/>
              <w:rPr>
                <w:rFonts w:ascii="Calibri"/>
                <w:b/>
                <w:sz w:val="22"/>
              </w:rPr>
            </w:pPr>
            <w:r>
              <w:rPr>
                <w:rFonts w:ascii="Calibri"/>
                <w:b/>
                <w:spacing w:val="-2"/>
                <w:sz w:val="22"/>
              </w:rPr>
              <w:t>(2020)</w:t>
            </w:r>
          </w:p>
        </w:tc>
        <w:tc>
          <w:tcPr>
            <w:tcW w:w="2185" w:type="dxa"/>
            <w:tcBorders>
              <w:top w:val="single" w:sz="8" w:space="0" w:color="000000"/>
              <w:bottom w:val="single" w:sz="8" w:space="0" w:color="000000"/>
            </w:tcBorders>
          </w:tcPr>
          <w:p>
            <w:pPr>
              <w:pStyle w:val="TableParagraph"/>
              <w:spacing w:line="265" w:lineRule="exact"/>
              <w:ind w:left="102" w:right="2"/>
              <w:jc w:val="center"/>
              <w:rPr>
                <w:rFonts w:ascii="Calibri"/>
                <w:b/>
                <w:sz w:val="22"/>
              </w:rPr>
            </w:pPr>
            <w:r>
              <w:rPr>
                <w:rFonts w:ascii="Calibri"/>
                <w:b/>
                <w:sz w:val="22"/>
              </w:rPr>
              <w:t>No.</w:t>
            </w:r>
            <w:r>
              <w:rPr>
                <w:rFonts w:ascii="Calibri"/>
                <w:b/>
                <w:spacing w:val="-1"/>
                <w:sz w:val="22"/>
              </w:rPr>
              <w:t> </w:t>
            </w:r>
            <w:r>
              <w:rPr>
                <w:rFonts w:ascii="Calibri"/>
                <w:b/>
                <w:sz w:val="22"/>
              </w:rPr>
              <w:t>of </w:t>
            </w:r>
            <w:r>
              <w:rPr>
                <w:rFonts w:ascii="Calibri"/>
                <w:b/>
                <w:spacing w:val="-2"/>
                <w:sz w:val="22"/>
              </w:rPr>
              <w:t>Households</w:t>
            </w:r>
          </w:p>
        </w:tc>
      </w:tr>
      <w:tr>
        <w:trPr>
          <w:trHeight w:val="285" w:hRule="atLeast"/>
        </w:trPr>
        <w:tc>
          <w:tcPr>
            <w:tcW w:w="663" w:type="dxa"/>
            <w:tcBorders>
              <w:top w:val="single" w:sz="8" w:space="0" w:color="000000"/>
            </w:tcBorders>
          </w:tcPr>
          <w:p>
            <w:pPr>
              <w:pStyle w:val="TableParagraph"/>
              <w:spacing w:line="265" w:lineRule="exact"/>
              <w:ind w:left="122"/>
              <w:rPr>
                <w:rFonts w:ascii="Calibri"/>
                <w:b/>
                <w:sz w:val="22"/>
              </w:rPr>
            </w:pPr>
            <w:r>
              <w:rPr>
                <w:rFonts w:ascii="Calibri"/>
                <w:b/>
                <w:spacing w:val="-10"/>
                <w:sz w:val="22"/>
              </w:rPr>
              <w:t>1</w:t>
            </w:r>
          </w:p>
        </w:tc>
        <w:tc>
          <w:tcPr>
            <w:tcW w:w="2275" w:type="dxa"/>
            <w:tcBorders>
              <w:top w:val="single" w:sz="8" w:space="0" w:color="000000"/>
            </w:tcBorders>
          </w:tcPr>
          <w:p>
            <w:pPr>
              <w:pStyle w:val="TableParagraph"/>
              <w:spacing w:line="265" w:lineRule="exact"/>
              <w:ind w:left="196"/>
              <w:rPr>
                <w:rFonts w:ascii="Calibri"/>
                <w:sz w:val="22"/>
              </w:rPr>
            </w:pPr>
            <w:r>
              <w:rPr>
                <w:rFonts w:ascii="Calibri"/>
                <w:sz w:val="22"/>
              </w:rPr>
              <w:t>Dutsen</w:t>
            </w:r>
            <w:r>
              <w:rPr>
                <w:rFonts w:ascii="Calibri"/>
                <w:spacing w:val="-4"/>
                <w:sz w:val="22"/>
              </w:rPr>
              <w:t> Kura</w:t>
            </w:r>
          </w:p>
        </w:tc>
        <w:tc>
          <w:tcPr>
            <w:tcW w:w="1845" w:type="dxa"/>
            <w:tcBorders>
              <w:top w:val="single" w:sz="8" w:space="0" w:color="000000"/>
            </w:tcBorders>
          </w:tcPr>
          <w:p>
            <w:pPr>
              <w:pStyle w:val="TableParagraph"/>
              <w:spacing w:line="265" w:lineRule="exact"/>
              <w:ind w:left="59"/>
              <w:jc w:val="center"/>
              <w:rPr>
                <w:rFonts w:ascii="Calibri"/>
                <w:sz w:val="22"/>
              </w:rPr>
            </w:pPr>
            <w:r>
              <w:rPr>
                <w:rFonts w:ascii="Calibri"/>
                <w:spacing w:val="-2"/>
                <w:sz w:val="22"/>
              </w:rPr>
              <w:t>25,418</w:t>
            </w:r>
          </w:p>
        </w:tc>
        <w:tc>
          <w:tcPr>
            <w:tcW w:w="1694" w:type="dxa"/>
            <w:tcBorders>
              <w:top w:val="single" w:sz="8" w:space="0" w:color="000000"/>
            </w:tcBorders>
          </w:tcPr>
          <w:p>
            <w:pPr>
              <w:pStyle w:val="TableParagraph"/>
              <w:spacing w:line="265" w:lineRule="exact"/>
              <w:ind w:left="94" w:right="2"/>
              <w:jc w:val="center"/>
              <w:rPr>
                <w:rFonts w:ascii="Calibri"/>
                <w:sz w:val="22"/>
              </w:rPr>
            </w:pPr>
            <w:r>
              <w:rPr>
                <w:rFonts w:ascii="Calibri"/>
                <w:spacing w:val="-2"/>
                <w:sz w:val="22"/>
              </w:rPr>
              <w:t>32,856</w:t>
            </w:r>
          </w:p>
        </w:tc>
        <w:tc>
          <w:tcPr>
            <w:tcW w:w="2185" w:type="dxa"/>
            <w:tcBorders>
              <w:top w:val="single" w:sz="8" w:space="0" w:color="000000"/>
            </w:tcBorders>
          </w:tcPr>
          <w:p>
            <w:pPr>
              <w:pStyle w:val="TableParagraph"/>
              <w:spacing w:line="265" w:lineRule="exact"/>
              <w:ind w:left="102"/>
              <w:jc w:val="center"/>
              <w:rPr>
                <w:rFonts w:ascii="Calibri"/>
                <w:sz w:val="22"/>
              </w:rPr>
            </w:pPr>
            <w:r>
              <w:rPr>
                <w:rFonts w:ascii="Calibri"/>
                <w:spacing w:val="-2"/>
                <w:sz w:val="22"/>
              </w:rPr>
              <w:t>4,107</w:t>
            </w:r>
          </w:p>
        </w:tc>
      </w:tr>
      <w:tr>
        <w:trPr>
          <w:trHeight w:val="268" w:hRule="atLeast"/>
        </w:trPr>
        <w:tc>
          <w:tcPr>
            <w:tcW w:w="663" w:type="dxa"/>
          </w:tcPr>
          <w:p>
            <w:pPr>
              <w:pStyle w:val="TableParagraph"/>
              <w:spacing w:line="249" w:lineRule="exact"/>
              <w:ind w:left="122"/>
              <w:rPr>
                <w:rFonts w:ascii="Calibri"/>
                <w:b/>
                <w:sz w:val="22"/>
              </w:rPr>
            </w:pPr>
            <w:r>
              <w:rPr>
                <w:rFonts w:ascii="Calibri"/>
                <w:b/>
                <w:spacing w:val="-10"/>
                <w:sz w:val="22"/>
              </w:rPr>
              <w:t>2</w:t>
            </w:r>
          </w:p>
        </w:tc>
        <w:tc>
          <w:tcPr>
            <w:tcW w:w="2275" w:type="dxa"/>
          </w:tcPr>
          <w:p>
            <w:pPr>
              <w:pStyle w:val="TableParagraph"/>
              <w:spacing w:line="249" w:lineRule="exact"/>
              <w:ind w:left="196"/>
              <w:rPr>
                <w:rFonts w:ascii="Calibri"/>
                <w:sz w:val="22"/>
              </w:rPr>
            </w:pPr>
            <w:r>
              <w:rPr>
                <w:rFonts w:ascii="Calibri"/>
                <w:spacing w:val="-2"/>
                <w:sz w:val="22"/>
              </w:rPr>
              <w:t>F-Layout</w:t>
            </w:r>
          </w:p>
        </w:tc>
        <w:tc>
          <w:tcPr>
            <w:tcW w:w="1845" w:type="dxa"/>
          </w:tcPr>
          <w:p>
            <w:pPr>
              <w:pStyle w:val="TableParagraph"/>
              <w:spacing w:line="249" w:lineRule="exact"/>
              <w:ind w:left="59"/>
              <w:jc w:val="center"/>
              <w:rPr>
                <w:rFonts w:ascii="Calibri"/>
                <w:sz w:val="22"/>
              </w:rPr>
            </w:pPr>
            <w:r>
              <w:rPr>
                <w:rFonts w:ascii="Calibri"/>
                <w:spacing w:val="-2"/>
                <w:sz w:val="22"/>
              </w:rPr>
              <w:t>5,454</w:t>
            </w:r>
          </w:p>
        </w:tc>
        <w:tc>
          <w:tcPr>
            <w:tcW w:w="1694" w:type="dxa"/>
          </w:tcPr>
          <w:p>
            <w:pPr>
              <w:pStyle w:val="TableParagraph"/>
              <w:spacing w:line="249" w:lineRule="exact"/>
              <w:ind w:left="94" w:right="2"/>
              <w:jc w:val="center"/>
              <w:rPr>
                <w:rFonts w:ascii="Calibri"/>
                <w:sz w:val="22"/>
              </w:rPr>
            </w:pPr>
            <w:r>
              <w:rPr>
                <w:rFonts w:ascii="Calibri"/>
                <w:spacing w:val="-2"/>
                <w:sz w:val="22"/>
              </w:rPr>
              <w:t>7,050</w:t>
            </w:r>
          </w:p>
        </w:tc>
        <w:tc>
          <w:tcPr>
            <w:tcW w:w="2185" w:type="dxa"/>
          </w:tcPr>
          <w:p>
            <w:pPr>
              <w:pStyle w:val="TableParagraph"/>
              <w:spacing w:line="249" w:lineRule="exact"/>
              <w:ind w:left="102"/>
              <w:jc w:val="center"/>
              <w:rPr>
                <w:rFonts w:ascii="Calibri"/>
                <w:sz w:val="22"/>
              </w:rPr>
            </w:pPr>
            <w:r>
              <w:rPr>
                <w:rFonts w:ascii="Calibri"/>
                <w:spacing w:val="-5"/>
                <w:sz w:val="22"/>
              </w:rPr>
              <w:t>881</w:t>
            </w:r>
          </w:p>
        </w:tc>
      </w:tr>
      <w:tr>
        <w:trPr>
          <w:trHeight w:val="268" w:hRule="atLeast"/>
        </w:trPr>
        <w:tc>
          <w:tcPr>
            <w:tcW w:w="663" w:type="dxa"/>
          </w:tcPr>
          <w:p>
            <w:pPr>
              <w:pStyle w:val="TableParagraph"/>
              <w:spacing w:line="249" w:lineRule="exact"/>
              <w:ind w:left="122"/>
              <w:rPr>
                <w:rFonts w:ascii="Calibri"/>
                <w:b/>
                <w:sz w:val="22"/>
              </w:rPr>
            </w:pPr>
            <w:r>
              <w:rPr>
                <w:rFonts w:ascii="Calibri"/>
                <w:b/>
                <w:spacing w:val="-10"/>
                <w:sz w:val="22"/>
              </w:rPr>
              <w:t>3</w:t>
            </w:r>
          </w:p>
        </w:tc>
        <w:tc>
          <w:tcPr>
            <w:tcW w:w="2275" w:type="dxa"/>
          </w:tcPr>
          <w:p>
            <w:pPr>
              <w:pStyle w:val="TableParagraph"/>
              <w:spacing w:line="249" w:lineRule="exact"/>
              <w:ind w:left="196"/>
              <w:rPr>
                <w:rFonts w:ascii="Calibri"/>
                <w:sz w:val="22"/>
              </w:rPr>
            </w:pPr>
            <w:r>
              <w:rPr>
                <w:rFonts w:ascii="Calibri"/>
                <w:spacing w:val="-2"/>
                <w:sz w:val="22"/>
              </w:rPr>
              <w:t>Kpakungu</w:t>
            </w:r>
          </w:p>
        </w:tc>
        <w:tc>
          <w:tcPr>
            <w:tcW w:w="1845" w:type="dxa"/>
          </w:tcPr>
          <w:p>
            <w:pPr>
              <w:pStyle w:val="TableParagraph"/>
              <w:spacing w:line="249" w:lineRule="exact"/>
              <w:ind w:left="59"/>
              <w:jc w:val="center"/>
              <w:rPr>
                <w:rFonts w:ascii="Calibri"/>
                <w:sz w:val="22"/>
              </w:rPr>
            </w:pPr>
            <w:r>
              <w:rPr>
                <w:rFonts w:ascii="Calibri"/>
                <w:spacing w:val="-2"/>
                <w:sz w:val="22"/>
              </w:rPr>
              <w:t>19,724</w:t>
            </w:r>
          </w:p>
        </w:tc>
        <w:tc>
          <w:tcPr>
            <w:tcW w:w="1694" w:type="dxa"/>
          </w:tcPr>
          <w:p>
            <w:pPr>
              <w:pStyle w:val="TableParagraph"/>
              <w:spacing w:line="249" w:lineRule="exact"/>
              <w:ind w:left="94" w:right="2"/>
              <w:jc w:val="center"/>
              <w:rPr>
                <w:rFonts w:ascii="Calibri"/>
                <w:sz w:val="22"/>
              </w:rPr>
            </w:pPr>
            <w:r>
              <w:rPr>
                <w:rFonts w:ascii="Calibri"/>
                <w:spacing w:val="-2"/>
                <w:sz w:val="22"/>
              </w:rPr>
              <w:t>25,496</w:t>
            </w:r>
          </w:p>
        </w:tc>
        <w:tc>
          <w:tcPr>
            <w:tcW w:w="2185" w:type="dxa"/>
          </w:tcPr>
          <w:p>
            <w:pPr>
              <w:pStyle w:val="TableParagraph"/>
              <w:spacing w:line="249" w:lineRule="exact"/>
              <w:ind w:left="102"/>
              <w:jc w:val="center"/>
              <w:rPr>
                <w:rFonts w:ascii="Calibri"/>
                <w:sz w:val="22"/>
              </w:rPr>
            </w:pPr>
            <w:r>
              <w:rPr>
                <w:rFonts w:ascii="Calibri"/>
                <w:spacing w:val="-2"/>
                <w:sz w:val="22"/>
              </w:rPr>
              <w:t>3,187</w:t>
            </w:r>
          </w:p>
        </w:tc>
      </w:tr>
      <w:tr>
        <w:trPr>
          <w:trHeight w:val="268" w:hRule="atLeast"/>
        </w:trPr>
        <w:tc>
          <w:tcPr>
            <w:tcW w:w="663" w:type="dxa"/>
          </w:tcPr>
          <w:p>
            <w:pPr>
              <w:pStyle w:val="TableParagraph"/>
              <w:spacing w:line="249" w:lineRule="exact"/>
              <w:ind w:left="122"/>
              <w:rPr>
                <w:rFonts w:ascii="Calibri"/>
                <w:b/>
                <w:sz w:val="22"/>
              </w:rPr>
            </w:pPr>
            <w:r>
              <w:rPr>
                <w:rFonts w:ascii="Calibri"/>
                <w:b/>
                <w:spacing w:val="-10"/>
                <w:sz w:val="22"/>
              </w:rPr>
              <w:t>4</w:t>
            </w:r>
          </w:p>
        </w:tc>
        <w:tc>
          <w:tcPr>
            <w:tcW w:w="2275" w:type="dxa"/>
          </w:tcPr>
          <w:p>
            <w:pPr>
              <w:pStyle w:val="TableParagraph"/>
              <w:spacing w:line="249" w:lineRule="exact"/>
              <w:ind w:left="196"/>
              <w:rPr>
                <w:rFonts w:ascii="Calibri"/>
                <w:sz w:val="22"/>
              </w:rPr>
            </w:pPr>
            <w:r>
              <w:rPr>
                <w:rFonts w:ascii="Calibri"/>
                <w:spacing w:val="-2"/>
                <w:sz w:val="22"/>
              </w:rPr>
              <w:t>Maitumbi</w:t>
            </w:r>
          </w:p>
        </w:tc>
        <w:tc>
          <w:tcPr>
            <w:tcW w:w="1845" w:type="dxa"/>
          </w:tcPr>
          <w:p>
            <w:pPr>
              <w:pStyle w:val="TableParagraph"/>
              <w:spacing w:line="249" w:lineRule="exact"/>
              <w:ind w:left="59"/>
              <w:jc w:val="center"/>
              <w:rPr>
                <w:rFonts w:ascii="Calibri"/>
                <w:sz w:val="22"/>
              </w:rPr>
            </w:pPr>
            <w:r>
              <w:rPr>
                <w:rFonts w:ascii="Calibri"/>
                <w:spacing w:val="-2"/>
                <w:sz w:val="22"/>
              </w:rPr>
              <w:t>15,712</w:t>
            </w:r>
          </w:p>
        </w:tc>
        <w:tc>
          <w:tcPr>
            <w:tcW w:w="1694" w:type="dxa"/>
          </w:tcPr>
          <w:p>
            <w:pPr>
              <w:pStyle w:val="TableParagraph"/>
              <w:spacing w:line="249" w:lineRule="exact"/>
              <w:ind w:left="94" w:right="3"/>
              <w:jc w:val="center"/>
              <w:rPr>
                <w:rFonts w:ascii="Calibri"/>
                <w:sz w:val="22"/>
              </w:rPr>
            </w:pPr>
            <w:r>
              <w:rPr>
                <w:rFonts w:ascii="Calibri"/>
                <w:spacing w:val="-2"/>
                <w:sz w:val="22"/>
              </w:rPr>
              <w:t>20,310</w:t>
            </w:r>
          </w:p>
        </w:tc>
        <w:tc>
          <w:tcPr>
            <w:tcW w:w="2185" w:type="dxa"/>
          </w:tcPr>
          <w:p>
            <w:pPr>
              <w:pStyle w:val="TableParagraph"/>
              <w:spacing w:line="249" w:lineRule="exact"/>
              <w:ind w:left="102"/>
              <w:jc w:val="center"/>
              <w:rPr>
                <w:rFonts w:ascii="Calibri"/>
                <w:sz w:val="22"/>
              </w:rPr>
            </w:pPr>
            <w:r>
              <w:rPr>
                <w:rFonts w:ascii="Calibri"/>
                <w:spacing w:val="-2"/>
                <w:sz w:val="22"/>
              </w:rPr>
              <w:t>2,539</w:t>
            </w:r>
          </w:p>
        </w:tc>
      </w:tr>
      <w:tr>
        <w:trPr>
          <w:trHeight w:val="269" w:hRule="atLeast"/>
        </w:trPr>
        <w:tc>
          <w:tcPr>
            <w:tcW w:w="663" w:type="dxa"/>
          </w:tcPr>
          <w:p>
            <w:pPr>
              <w:pStyle w:val="TableParagraph"/>
              <w:spacing w:line="249" w:lineRule="exact"/>
              <w:ind w:left="122"/>
              <w:rPr>
                <w:rFonts w:ascii="Calibri"/>
                <w:b/>
                <w:sz w:val="22"/>
              </w:rPr>
            </w:pPr>
            <w:r>
              <w:rPr>
                <w:rFonts w:ascii="Calibri"/>
                <w:b/>
                <w:spacing w:val="-10"/>
                <w:sz w:val="22"/>
              </w:rPr>
              <w:t>5</w:t>
            </w:r>
          </w:p>
        </w:tc>
        <w:tc>
          <w:tcPr>
            <w:tcW w:w="2275" w:type="dxa"/>
          </w:tcPr>
          <w:p>
            <w:pPr>
              <w:pStyle w:val="TableParagraph"/>
              <w:spacing w:line="249" w:lineRule="exact"/>
              <w:ind w:left="196"/>
              <w:rPr>
                <w:rFonts w:ascii="Calibri"/>
                <w:sz w:val="22"/>
              </w:rPr>
            </w:pPr>
            <w:r>
              <w:rPr>
                <w:rFonts w:ascii="Calibri"/>
                <w:sz w:val="22"/>
              </w:rPr>
              <w:t>Minna</w:t>
            </w:r>
            <w:r>
              <w:rPr>
                <w:rFonts w:ascii="Calibri"/>
                <w:spacing w:val="-6"/>
                <w:sz w:val="22"/>
              </w:rPr>
              <w:t> </w:t>
            </w:r>
            <w:r>
              <w:rPr>
                <w:rFonts w:ascii="Calibri"/>
                <w:spacing w:val="-2"/>
                <w:sz w:val="22"/>
              </w:rPr>
              <w:t>Central</w:t>
            </w:r>
          </w:p>
        </w:tc>
        <w:tc>
          <w:tcPr>
            <w:tcW w:w="1845" w:type="dxa"/>
          </w:tcPr>
          <w:p>
            <w:pPr>
              <w:pStyle w:val="TableParagraph"/>
              <w:spacing w:line="249" w:lineRule="exact"/>
              <w:ind w:left="59"/>
              <w:jc w:val="center"/>
              <w:rPr>
                <w:rFonts w:ascii="Calibri"/>
                <w:sz w:val="22"/>
              </w:rPr>
            </w:pPr>
            <w:r>
              <w:rPr>
                <w:rFonts w:ascii="Calibri"/>
                <w:spacing w:val="-2"/>
                <w:sz w:val="22"/>
              </w:rPr>
              <w:t>29,710</w:t>
            </w:r>
          </w:p>
        </w:tc>
        <w:tc>
          <w:tcPr>
            <w:tcW w:w="1694" w:type="dxa"/>
          </w:tcPr>
          <w:p>
            <w:pPr>
              <w:pStyle w:val="TableParagraph"/>
              <w:spacing w:line="249" w:lineRule="exact"/>
              <w:ind w:left="94" w:right="2"/>
              <w:jc w:val="center"/>
              <w:rPr>
                <w:rFonts w:ascii="Calibri"/>
                <w:sz w:val="22"/>
              </w:rPr>
            </w:pPr>
            <w:r>
              <w:rPr>
                <w:rFonts w:ascii="Calibri"/>
                <w:spacing w:val="-2"/>
                <w:sz w:val="22"/>
              </w:rPr>
              <w:t>38,404</w:t>
            </w:r>
          </w:p>
        </w:tc>
        <w:tc>
          <w:tcPr>
            <w:tcW w:w="2185" w:type="dxa"/>
          </w:tcPr>
          <w:p>
            <w:pPr>
              <w:pStyle w:val="TableParagraph"/>
              <w:spacing w:line="249" w:lineRule="exact"/>
              <w:ind w:left="102"/>
              <w:jc w:val="center"/>
              <w:rPr>
                <w:rFonts w:ascii="Calibri"/>
                <w:sz w:val="22"/>
              </w:rPr>
            </w:pPr>
            <w:r>
              <w:rPr>
                <w:rFonts w:ascii="Calibri"/>
                <w:spacing w:val="-2"/>
                <w:sz w:val="22"/>
              </w:rPr>
              <w:t>4,800</w:t>
            </w:r>
          </w:p>
        </w:tc>
      </w:tr>
      <w:tr>
        <w:trPr>
          <w:trHeight w:val="268" w:hRule="atLeast"/>
        </w:trPr>
        <w:tc>
          <w:tcPr>
            <w:tcW w:w="663" w:type="dxa"/>
          </w:tcPr>
          <w:p>
            <w:pPr>
              <w:pStyle w:val="TableParagraph"/>
              <w:spacing w:line="249" w:lineRule="exact"/>
              <w:ind w:left="122"/>
              <w:rPr>
                <w:rFonts w:ascii="Calibri"/>
                <w:b/>
                <w:sz w:val="22"/>
              </w:rPr>
            </w:pPr>
            <w:r>
              <w:rPr>
                <w:rFonts w:ascii="Calibri"/>
                <w:b/>
                <w:spacing w:val="-10"/>
                <w:sz w:val="22"/>
              </w:rPr>
              <w:t>6</w:t>
            </w:r>
          </w:p>
        </w:tc>
        <w:tc>
          <w:tcPr>
            <w:tcW w:w="2275" w:type="dxa"/>
          </w:tcPr>
          <w:p>
            <w:pPr>
              <w:pStyle w:val="TableParagraph"/>
              <w:spacing w:line="249" w:lineRule="exact"/>
              <w:ind w:left="196"/>
              <w:rPr>
                <w:rFonts w:ascii="Calibri"/>
                <w:sz w:val="22"/>
              </w:rPr>
            </w:pPr>
            <w:r>
              <w:rPr>
                <w:rFonts w:ascii="Calibri"/>
                <w:sz w:val="22"/>
              </w:rPr>
              <w:t>Sahuka</w:t>
            </w:r>
            <w:r>
              <w:rPr>
                <w:rFonts w:ascii="Calibri"/>
                <w:spacing w:val="-3"/>
                <w:sz w:val="22"/>
              </w:rPr>
              <w:t> </w:t>
            </w:r>
            <w:r>
              <w:rPr>
                <w:rFonts w:ascii="Calibri"/>
                <w:spacing w:val="-2"/>
                <w:sz w:val="22"/>
              </w:rPr>
              <w:t>Kahuta</w:t>
            </w:r>
          </w:p>
        </w:tc>
        <w:tc>
          <w:tcPr>
            <w:tcW w:w="1845" w:type="dxa"/>
          </w:tcPr>
          <w:p>
            <w:pPr>
              <w:pStyle w:val="TableParagraph"/>
              <w:spacing w:line="249" w:lineRule="exact"/>
              <w:ind w:left="59"/>
              <w:jc w:val="center"/>
              <w:rPr>
                <w:rFonts w:ascii="Calibri"/>
                <w:sz w:val="22"/>
              </w:rPr>
            </w:pPr>
            <w:r>
              <w:rPr>
                <w:rFonts w:ascii="Calibri"/>
                <w:spacing w:val="-2"/>
                <w:sz w:val="22"/>
              </w:rPr>
              <w:t>8,049</w:t>
            </w:r>
          </w:p>
        </w:tc>
        <w:tc>
          <w:tcPr>
            <w:tcW w:w="1694" w:type="dxa"/>
          </w:tcPr>
          <w:p>
            <w:pPr>
              <w:pStyle w:val="TableParagraph"/>
              <w:spacing w:line="249" w:lineRule="exact"/>
              <w:ind w:left="94" w:right="2"/>
              <w:jc w:val="center"/>
              <w:rPr>
                <w:rFonts w:ascii="Calibri"/>
                <w:sz w:val="22"/>
              </w:rPr>
            </w:pPr>
            <w:r>
              <w:rPr>
                <w:rFonts w:ascii="Calibri"/>
                <w:spacing w:val="-2"/>
                <w:sz w:val="22"/>
              </w:rPr>
              <w:t>10,404</w:t>
            </w:r>
          </w:p>
        </w:tc>
        <w:tc>
          <w:tcPr>
            <w:tcW w:w="2185" w:type="dxa"/>
          </w:tcPr>
          <w:p>
            <w:pPr>
              <w:pStyle w:val="TableParagraph"/>
              <w:spacing w:line="249" w:lineRule="exact"/>
              <w:ind w:left="102"/>
              <w:jc w:val="center"/>
              <w:rPr>
                <w:rFonts w:ascii="Calibri"/>
                <w:sz w:val="22"/>
              </w:rPr>
            </w:pPr>
            <w:r>
              <w:rPr>
                <w:rFonts w:ascii="Calibri"/>
                <w:spacing w:val="-2"/>
                <w:sz w:val="22"/>
              </w:rPr>
              <w:t>1,301</w:t>
            </w:r>
          </w:p>
        </w:tc>
      </w:tr>
      <w:tr>
        <w:trPr>
          <w:trHeight w:val="268" w:hRule="atLeast"/>
        </w:trPr>
        <w:tc>
          <w:tcPr>
            <w:tcW w:w="663" w:type="dxa"/>
          </w:tcPr>
          <w:p>
            <w:pPr>
              <w:pStyle w:val="TableParagraph"/>
              <w:spacing w:line="249" w:lineRule="exact"/>
              <w:ind w:left="122"/>
              <w:rPr>
                <w:rFonts w:ascii="Calibri"/>
                <w:b/>
                <w:sz w:val="22"/>
              </w:rPr>
            </w:pPr>
            <w:r>
              <w:rPr>
                <w:rFonts w:ascii="Calibri"/>
                <w:b/>
                <w:spacing w:val="-10"/>
                <w:sz w:val="22"/>
              </w:rPr>
              <w:t>7</w:t>
            </w:r>
          </w:p>
        </w:tc>
        <w:tc>
          <w:tcPr>
            <w:tcW w:w="2275" w:type="dxa"/>
          </w:tcPr>
          <w:p>
            <w:pPr>
              <w:pStyle w:val="TableParagraph"/>
              <w:spacing w:line="249" w:lineRule="exact"/>
              <w:ind w:left="196"/>
              <w:rPr>
                <w:rFonts w:ascii="Calibri"/>
                <w:sz w:val="22"/>
              </w:rPr>
            </w:pPr>
            <w:r>
              <w:rPr>
                <w:rFonts w:ascii="Calibri"/>
                <w:sz w:val="22"/>
              </w:rPr>
              <w:t>Tudun</w:t>
            </w:r>
            <w:r>
              <w:rPr>
                <w:rFonts w:ascii="Calibri"/>
                <w:spacing w:val="-5"/>
                <w:sz w:val="22"/>
              </w:rPr>
              <w:t> </w:t>
            </w:r>
            <w:r>
              <w:rPr>
                <w:rFonts w:ascii="Calibri"/>
                <w:spacing w:val="-2"/>
                <w:sz w:val="22"/>
              </w:rPr>
              <w:t>Fulani</w:t>
            </w:r>
          </w:p>
        </w:tc>
        <w:tc>
          <w:tcPr>
            <w:tcW w:w="1845" w:type="dxa"/>
          </w:tcPr>
          <w:p>
            <w:pPr>
              <w:pStyle w:val="TableParagraph"/>
              <w:spacing w:line="249" w:lineRule="exact"/>
              <w:ind w:left="59"/>
              <w:jc w:val="center"/>
              <w:rPr>
                <w:rFonts w:ascii="Calibri"/>
                <w:sz w:val="22"/>
              </w:rPr>
            </w:pPr>
            <w:r>
              <w:rPr>
                <w:rFonts w:ascii="Calibri"/>
                <w:spacing w:val="-2"/>
                <w:sz w:val="22"/>
              </w:rPr>
              <w:t>11,819</w:t>
            </w:r>
          </w:p>
        </w:tc>
        <w:tc>
          <w:tcPr>
            <w:tcW w:w="1694" w:type="dxa"/>
          </w:tcPr>
          <w:p>
            <w:pPr>
              <w:pStyle w:val="TableParagraph"/>
              <w:spacing w:line="249" w:lineRule="exact"/>
              <w:ind w:left="94" w:right="2"/>
              <w:jc w:val="center"/>
              <w:rPr>
                <w:rFonts w:ascii="Calibri"/>
                <w:sz w:val="22"/>
              </w:rPr>
            </w:pPr>
            <w:r>
              <w:rPr>
                <w:rFonts w:ascii="Calibri"/>
                <w:spacing w:val="-2"/>
                <w:sz w:val="22"/>
              </w:rPr>
              <w:t>15,278</w:t>
            </w:r>
          </w:p>
        </w:tc>
        <w:tc>
          <w:tcPr>
            <w:tcW w:w="2185" w:type="dxa"/>
          </w:tcPr>
          <w:p>
            <w:pPr>
              <w:pStyle w:val="TableParagraph"/>
              <w:spacing w:line="249" w:lineRule="exact"/>
              <w:ind w:left="102"/>
              <w:jc w:val="center"/>
              <w:rPr>
                <w:rFonts w:ascii="Calibri"/>
                <w:sz w:val="22"/>
              </w:rPr>
            </w:pPr>
            <w:r>
              <w:rPr>
                <w:rFonts w:ascii="Calibri"/>
                <w:spacing w:val="-2"/>
                <w:sz w:val="22"/>
              </w:rPr>
              <w:t>1,910</w:t>
            </w:r>
          </w:p>
        </w:tc>
      </w:tr>
      <w:tr>
        <w:trPr>
          <w:trHeight w:val="251" w:hRule="atLeast"/>
        </w:trPr>
        <w:tc>
          <w:tcPr>
            <w:tcW w:w="663" w:type="dxa"/>
            <w:tcBorders>
              <w:bottom w:val="single" w:sz="4" w:space="0" w:color="000000"/>
            </w:tcBorders>
          </w:tcPr>
          <w:p>
            <w:pPr>
              <w:pStyle w:val="TableParagraph"/>
              <w:spacing w:line="232" w:lineRule="exact"/>
              <w:ind w:left="122"/>
              <w:rPr>
                <w:rFonts w:ascii="Calibri"/>
                <w:b/>
                <w:sz w:val="22"/>
              </w:rPr>
            </w:pPr>
            <w:r>
              <w:rPr>
                <w:rFonts w:ascii="Calibri"/>
                <w:b/>
                <w:spacing w:val="-10"/>
                <w:sz w:val="22"/>
              </w:rPr>
              <w:t>8</w:t>
            </w:r>
          </w:p>
        </w:tc>
        <w:tc>
          <w:tcPr>
            <w:tcW w:w="2275" w:type="dxa"/>
            <w:tcBorders>
              <w:bottom w:val="single" w:sz="4" w:space="0" w:color="000000"/>
            </w:tcBorders>
          </w:tcPr>
          <w:p>
            <w:pPr>
              <w:pStyle w:val="TableParagraph"/>
              <w:spacing w:line="232" w:lineRule="exact"/>
              <w:ind w:left="196"/>
              <w:rPr>
                <w:rFonts w:ascii="Calibri"/>
                <w:sz w:val="22"/>
              </w:rPr>
            </w:pPr>
            <w:r>
              <w:rPr>
                <w:rFonts w:ascii="Calibri"/>
                <w:sz w:val="22"/>
              </w:rPr>
              <w:t>Tudunwada</w:t>
            </w:r>
            <w:r>
              <w:rPr>
                <w:rFonts w:ascii="Calibri"/>
                <w:spacing w:val="-5"/>
                <w:sz w:val="22"/>
              </w:rPr>
              <w:t> </w:t>
            </w:r>
            <w:r>
              <w:rPr>
                <w:rFonts w:ascii="Calibri"/>
                <w:spacing w:val="-2"/>
                <w:sz w:val="22"/>
              </w:rPr>
              <w:t>South</w:t>
            </w:r>
          </w:p>
        </w:tc>
        <w:tc>
          <w:tcPr>
            <w:tcW w:w="1845" w:type="dxa"/>
            <w:tcBorders>
              <w:bottom w:val="single" w:sz="4" w:space="0" w:color="000000"/>
            </w:tcBorders>
          </w:tcPr>
          <w:p>
            <w:pPr>
              <w:pStyle w:val="TableParagraph"/>
              <w:spacing w:line="232" w:lineRule="exact"/>
              <w:ind w:left="59"/>
              <w:jc w:val="center"/>
              <w:rPr>
                <w:rFonts w:ascii="Calibri"/>
                <w:sz w:val="22"/>
              </w:rPr>
            </w:pPr>
            <w:r>
              <w:rPr>
                <w:rFonts w:ascii="Calibri"/>
                <w:spacing w:val="-2"/>
                <w:sz w:val="22"/>
              </w:rPr>
              <w:t>23,926</w:t>
            </w:r>
          </w:p>
        </w:tc>
        <w:tc>
          <w:tcPr>
            <w:tcW w:w="1694" w:type="dxa"/>
            <w:tcBorders>
              <w:bottom w:val="single" w:sz="4" w:space="0" w:color="000000"/>
            </w:tcBorders>
          </w:tcPr>
          <w:p>
            <w:pPr>
              <w:pStyle w:val="TableParagraph"/>
              <w:spacing w:line="232" w:lineRule="exact"/>
              <w:ind w:left="94" w:right="2"/>
              <w:jc w:val="center"/>
              <w:rPr>
                <w:rFonts w:ascii="Calibri"/>
                <w:sz w:val="22"/>
              </w:rPr>
            </w:pPr>
            <w:r>
              <w:rPr>
                <w:rFonts w:ascii="Calibri"/>
                <w:spacing w:val="-2"/>
                <w:sz w:val="22"/>
              </w:rPr>
              <w:t>30,927</w:t>
            </w:r>
          </w:p>
        </w:tc>
        <w:tc>
          <w:tcPr>
            <w:tcW w:w="2185" w:type="dxa"/>
            <w:tcBorders>
              <w:bottom w:val="single" w:sz="4" w:space="0" w:color="000000"/>
            </w:tcBorders>
          </w:tcPr>
          <w:p>
            <w:pPr>
              <w:pStyle w:val="TableParagraph"/>
              <w:spacing w:line="232" w:lineRule="exact"/>
              <w:ind w:left="102"/>
              <w:jc w:val="center"/>
              <w:rPr>
                <w:rFonts w:ascii="Calibri"/>
                <w:sz w:val="22"/>
              </w:rPr>
            </w:pPr>
            <w:r>
              <w:rPr>
                <w:rFonts w:ascii="Calibri"/>
                <w:spacing w:val="-2"/>
                <w:sz w:val="22"/>
              </w:rPr>
              <w:t>3,866</w:t>
            </w:r>
          </w:p>
        </w:tc>
      </w:tr>
      <w:tr>
        <w:trPr>
          <w:trHeight w:val="268" w:hRule="atLeast"/>
        </w:trPr>
        <w:tc>
          <w:tcPr>
            <w:tcW w:w="663" w:type="dxa"/>
            <w:tcBorders>
              <w:top w:val="single" w:sz="4" w:space="0" w:color="000000"/>
              <w:bottom w:val="single" w:sz="8" w:space="0" w:color="000000"/>
            </w:tcBorders>
          </w:tcPr>
          <w:p>
            <w:pPr>
              <w:pStyle w:val="TableParagraph"/>
              <w:rPr>
                <w:sz w:val="18"/>
              </w:rPr>
            </w:pPr>
          </w:p>
        </w:tc>
        <w:tc>
          <w:tcPr>
            <w:tcW w:w="2275" w:type="dxa"/>
            <w:tcBorders>
              <w:top w:val="single" w:sz="4" w:space="0" w:color="000000"/>
              <w:bottom w:val="single" w:sz="8" w:space="0" w:color="000000"/>
            </w:tcBorders>
          </w:tcPr>
          <w:p>
            <w:pPr>
              <w:pStyle w:val="TableParagraph"/>
              <w:spacing w:line="248" w:lineRule="exact"/>
              <w:ind w:left="196"/>
              <w:rPr>
                <w:rFonts w:ascii="Calibri"/>
                <w:b/>
                <w:sz w:val="22"/>
              </w:rPr>
            </w:pPr>
            <w:r>
              <w:rPr>
                <w:rFonts w:ascii="Calibri"/>
                <w:b/>
                <w:spacing w:val="-2"/>
                <w:sz w:val="22"/>
              </w:rPr>
              <w:t>Total</w:t>
            </w:r>
          </w:p>
        </w:tc>
        <w:tc>
          <w:tcPr>
            <w:tcW w:w="1845" w:type="dxa"/>
            <w:tcBorders>
              <w:top w:val="single" w:sz="4" w:space="0" w:color="000000"/>
              <w:bottom w:val="single" w:sz="8" w:space="0" w:color="000000"/>
            </w:tcBorders>
          </w:tcPr>
          <w:p>
            <w:pPr>
              <w:pStyle w:val="TableParagraph"/>
              <w:spacing w:line="248" w:lineRule="exact"/>
              <w:ind w:left="59" w:right="3"/>
              <w:jc w:val="center"/>
              <w:rPr>
                <w:rFonts w:ascii="Calibri"/>
                <w:b/>
                <w:sz w:val="22"/>
              </w:rPr>
            </w:pPr>
            <w:r>
              <w:rPr>
                <w:rFonts w:ascii="Calibri"/>
                <w:b/>
                <w:spacing w:val="-2"/>
                <w:sz w:val="22"/>
              </w:rPr>
              <w:t>139,812</w:t>
            </w:r>
          </w:p>
        </w:tc>
        <w:tc>
          <w:tcPr>
            <w:tcW w:w="1694" w:type="dxa"/>
            <w:tcBorders>
              <w:top w:val="single" w:sz="4" w:space="0" w:color="000000"/>
              <w:bottom w:val="single" w:sz="8" w:space="0" w:color="000000"/>
            </w:tcBorders>
          </w:tcPr>
          <w:p>
            <w:pPr>
              <w:pStyle w:val="TableParagraph"/>
              <w:spacing w:line="248" w:lineRule="exact"/>
              <w:ind w:left="94"/>
              <w:jc w:val="center"/>
              <w:rPr>
                <w:rFonts w:ascii="Calibri"/>
                <w:b/>
                <w:sz w:val="22"/>
              </w:rPr>
            </w:pPr>
            <w:r>
              <w:rPr>
                <w:rFonts w:ascii="Calibri"/>
                <w:b/>
                <w:spacing w:val="-2"/>
                <w:sz w:val="22"/>
              </w:rPr>
              <w:t>180,725</w:t>
            </w:r>
          </w:p>
        </w:tc>
        <w:tc>
          <w:tcPr>
            <w:tcW w:w="2185" w:type="dxa"/>
            <w:tcBorders>
              <w:top w:val="single" w:sz="4" w:space="0" w:color="000000"/>
              <w:bottom w:val="single" w:sz="8" w:space="0" w:color="000000"/>
            </w:tcBorders>
          </w:tcPr>
          <w:p>
            <w:pPr>
              <w:pStyle w:val="TableParagraph"/>
              <w:spacing w:line="248" w:lineRule="exact"/>
              <w:ind w:left="102" w:right="2"/>
              <w:jc w:val="center"/>
              <w:rPr>
                <w:rFonts w:ascii="Calibri"/>
                <w:b/>
                <w:sz w:val="22"/>
              </w:rPr>
            </w:pPr>
            <w:r>
              <w:rPr>
                <w:rFonts w:ascii="Calibri"/>
                <w:b/>
                <w:spacing w:val="-2"/>
                <w:sz w:val="22"/>
              </w:rPr>
              <w:t>22,591</w:t>
            </w:r>
          </w:p>
        </w:tc>
      </w:tr>
    </w:tbl>
    <w:p>
      <w:pPr>
        <w:pStyle w:val="BodyText"/>
        <w:ind w:left="267"/>
        <w:jc w:val="both"/>
      </w:pPr>
      <w:r>
        <w:rPr/>
        <w:t>Source:</w:t>
      </w:r>
      <w:r>
        <w:rPr>
          <w:spacing w:val="-2"/>
        </w:rPr>
        <w:t> </w:t>
      </w:r>
      <w:r>
        <w:rPr/>
        <w:t>Sanusi</w:t>
      </w:r>
      <w:r>
        <w:rPr>
          <w:spacing w:val="-1"/>
        </w:rPr>
        <w:t> </w:t>
      </w:r>
      <w:r>
        <w:rPr/>
        <w:t>(2010)</w:t>
      </w:r>
      <w:r>
        <w:rPr>
          <w:spacing w:val="-2"/>
        </w:rPr>
        <w:t> </w:t>
      </w:r>
      <w:r>
        <w:rPr/>
        <w:t>Population</w:t>
      </w:r>
      <w:r>
        <w:rPr>
          <w:spacing w:val="-1"/>
        </w:rPr>
        <w:t> </w:t>
      </w:r>
      <w:r>
        <w:rPr>
          <w:spacing w:val="-2"/>
        </w:rPr>
        <w:t>Estimate.</w:t>
      </w:r>
    </w:p>
    <w:p>
      <w:pPr>
        <w:pStyle w:val="BodyText"/>
        <w:spacing w:line="480" w:lineRule="auto" w:before="273"/>
        <w:ind w:left="267" w:right="731"/>
        <w:jc w:val="both"/>
      </w:pPr>
      <w:r>
        <w:rPr/>
        <w:t>In</w:t>
      </w:r>
      <w:r>
        <w:rPr>
          <w:spacing w:val="-15"/>
        </w:rPr>
        <w:t> </w:t>
      </w:r>
      <w:r>
        <w:rPr/>
        <w:t>addition</w:t>
      </w:r>
      <w:r>
        <w:rPr>
          <w:spacing w:val="-15"/>
        </w:rPr>
        <w:t> </w:t>
      </w:r>
      <w:r>
        <w:rPr/>
        <w:t>to</w:t>
      </w:r>
      <w:r>
        <w:rPr>
          <w:spacing w:val="-15"/>
        </w:rPr>
        <w:t> </w:t>
      </w:r>
      <w:r>
        <w:rPr/>
        <w:t>this</w:t>
      </w:r>
      <w:r>
        <w:rPr>
          <w:spacing w:val="-15"/>
        </w:rPr>
        <w:t> </w:t>
      </w:r>
      <w:r>
        <w:rPr/>
        <w:t>is</w:t>
      </w:r>
      <w:r>
        <w:rPr>
          <w:spacing w:val="-15"/>
        </w:rPr>
        <w:t> </w:t>
      </w:r>
      <w:r>
        <w:rPr/>
        <w:t>the</w:t>
      </w:r>
      <w:r>
        <w:rPr>
          <w:spacing w:val="-15"/>
        </w:rPr>
        <w:t> </w:t>
      </w:r>
      <w:r>
        <w:rPr/>
        <w:t>State</w:t>
      </w:r>
      <w:r>
        <w:rPr>
          <w:spacing w:val="-15"/>
        </w:rPr>
        <w:t> </w:t>
      </w:r>
      <w:r>
        <w:rPr/>
        <w:t>Water</w:t>
      </w:r>
      <w:r>
        <w:rPr>
          <w:spacing w:val="-15"/>
        </w:rPr>
        <w:t> </w:t>
      </w:r>
      <w:r>
        <w:rPr/>
        <w:t>Agency</w:t>
      </w:r>
      <w:r>
        <w:rPr>
          <w:spacing w:val="-15"/>
        </w:rPr>
        <w:t> </w:t>
      </w:r>
      <w:r>
        <w:rPr/>
        <w:t>(SWA),</w:t>
      </w:r>
      <w:r>
        <w:rPr>
          <w:spacing w:val="-15"/>
        </w:rPr>
        <w:t> </w:t>
      </w:r>
      <w:r>
        <w:rPr/>
        <w:t>known</w:t>
      </w:r>
      <w:r>
        <w:rPr>
          <w:spacing w:val="-15"/>
        </w:rPr>
        <w:t> </w:t>
      </w:r>
      <w:r>
        <w:rPr/>
        <w:t>as</w:t>
      </w:r>
      <w:r>
        <w:rPr>
          <w:spacing w:val="-15"/>
        </w:rPr>
        <w:t> </w:t>
      </w:r>
      <w:r>
        <w:rPr/>
        <w:t>Niger</w:t>
      </w:r>
      <w:r>
        <w:rPr>
          <w:spacing w:val="-15"/>
        </w:rPr>
        <w:t> </w:t>
      </w:r>
      <w:r>
        <w:rPr/>
        <w:t>State</w:t>
      </w:r>
      <w:r>
        <w:rPr>
          <w:spacing w:val="-15"/>
        </w:rPr>
        <w:t> </w:t>
      </w:r>
      <w:r>
        <w:rPr/>
        <w:t>Water</w:t>
      </w:r>
      <w:r>
        <w:rPr>
          <w:spacing w:val="-15"/>
        </w:rPr>
        <w:t> </w:t>
      </w:r>
      <w:r>
        <w:rPr/>
        <w:t>and</w:t>
      </w:r>
      <w:r>
        <w:rPr>
          <w:spacing w:val="-15"/>
        </w:rPr>
        <w:t> </w:t>
      </w:r>
      <w:r>
        <w:rPr/>
        <w:t>Sewage Corporation (NSWSC). The state water agency aside being charged with the responsibility of</w:t>
      </w:r>
      <w:r>
        <w:rPr>
          <w:spacing w:val="-15"/>
        </w:rPr>
        <w:t> </w:t>
      </w:r>
      <w:r>
        <w:rPr/>
        <w:t>providing</w:t>
      </w:r>
      <w:r>
        <w:rPr>
          <w:spacing w:val="-15"/>
        </w:rPr>
        <w:t> </w:t>
      </w:r>
      <w:r>
        <w:rPr/>
        <w:t>portable</w:t>
      </w:r>
      <w:r>
        <w:rPr>
          <w:spacing w:val="-15"/>
        </w:rPr>
        <w:t> </w:t>
      </w:r>
      <w:r>
        <w:rPr/>
        <w:t>and</w:t>
      </w:r>
      <w:r>
        <w:rPr>
          <w:spacing w:val="-15"/>
        </w:rPr>
        <w:t> </w:t>
      </w:r>
      <w:r>
        <w:rPr/>
        <w:t>reliable</w:t>
      </w:r>
      <w:r>
        <w:rPr>
          <w:spacing w:val="-14"/>
        </w:rPr>
        <w:t> </w:t>
      </w:r>
      <w:r>
        <w:rPr/>
        <w:t>water</w:t>
      </w:r>
      <w:r>
        <w:rPr>
          <w:spacing w:val="-14"/>
        </w:rPr>
        <w:t> </w:t>
      </w:r>
      <w:r>
        <w:rPr/>
        <w:t>supply</w:t>
      </w:r>
      <w:r>
        <w:rPr>
          <w:spacing w:val="-15"/>
        </w:rPr>
        <w:t> </w:t>
      </w:r>
      <w:r>
        <w:rPr/>
        <w:t>to</w:t>
      </w:r>
      <w:r>
        <w:rPr>
          <w:spacing w:val="-12"/>
        </w:rPr>
        <w:t> </w:t>
      </w:r>
      <w:r>
        <w:rPr/>
        <w:t>the</w:t>
      </w:r>
      <w:r>
        <w:rPr>
          <w:spacing w:val="-15"/>
        </w:rPr>
        <w:t> </w:t>
      </w:r>
      <w:r>
        <w:rPr/>
        <w:t>households,</w:t>
      </w:r>
      <w:r>
        <w:rPr>
          <w:spacing w:val="-14"/>
        </w:rPr>
        <w:t> </w:t>
      </w:r>
      <w:r>
        <w:rPr/>
        <w:t>they</w:t>
      </w:r>
      <w:r>
        <w:rPr>
          <w:spacing w:val="-15"/>
        </w:rPr>
        <w:t> </w:t>
      </w:r>
      <w:r>
        <w:rPr/>
        <w:t>keep</w:t>
      </w:r>
      <w:r>
        <w:rPr>
          <w:spacing w:val="-12"/>
        </w:rPr>
        <w:t> </w:t>
      </w:r>
      <w:r>
        <w:rPr/>
        <w:t>a</w:t>
      </w:r>
      <w:r>
        <w:rPr>
          <w:spacing w:val="-15"/>
        </w:rPr>
        <w:t> </w:t>
      </w:r>
      <w:r>
        <w:rPr/>
        <w:t>comprehensive record of all the water points in the study area. In all, the total population for this present study is the 22,591 urban households in Minna, and the State Water Agency (Niger State Water and Sewage Corporation)</w:t>
      </w:r>
    </w:p>
    <w:p>
      <w:pPr>
        <w:spacing w:after="0" w:line="480" w:lineRule="auto"/>
        <w:jc w:val="both"/>
        <w:sectPr>
          <w:pgSz w:w="12240" w:h="15840"/>
          <w:pgMar w:header="0" w:footer="1068" w:top="1340" w:bottom="1260" w:left="1720" w:right="680"/>
        </w:sectPr>
      </w:pPr>
    </w:p>
    <w:p>
      <w:pPr>
        <w:pStyle w:val="Heading1"/>
        <w:numPr>
          <w:ilvl w:val="2"/>
          <w:numId w:val="9"/>
        </w:numPr>
        <w:tabs>
          <w:tab w:pos="986" w:val="left" w:leader="none"/>
        </w:tabs>
        <w:spacing w:line="240" w:lineRule="auto" w:before="70" w:after="0"/>
        <w:ind w:left="986" w:right="0" w:hanging="719"/>
        <w:jc w:val="both"/>
      </w:pPr>
      <w:r>
        <w:rPr/>
        <w:t>Sample</w:t>
      </w:r>
      <w:r>
        <w:rPr>
          <w:spacing w:val="-4"/>
        </w:rPr>
        <w:t> list</w:t>
      </w:r>
    </w:p>
    <w:p>
      <w:pPr>
        <w:pStyle w:val="BodyText"/>
        <w:spacing w:before="15"/>
        <w:rPr>
          <w:b/>
        </w:rPr>
      </w:pPr>
    </w:p>
    <w:p>
      <w:pPr>
        <w:pStyle w:val="BodyText"/>
        <w:spacing w:line="480" w:lineRule="auto"/>
        <w:ind w:left="267" w:right="727"/>
        <w:jc w:val="both"/>
      </w:pPr>
      <w:r>
        <w:rPr/>
        <w:t>The sample list for this study was in two (2) segments. The first sample list was all the households residing in 8 neighbourhoods of Minna which was obtained from a household survey.</w:t>
      </w:r>
      <w:r>
        <w:rPr>
          <w:spacing w:val="-6"/>
        </w:rPr>
        <w:t> </w:t>
      </w:r>
      <w:r>
        <w:rPr/>
        <w:t>The</w:t>
      </w:r>
      <w:r>
        <w:rPr>
          <w:spacing w:val="-6"/>
        </w:rPr>
        <w:t> </w:t>
      </w:r>
      <w:r>
        <w:rPr/>
        <w:t>second</w:t>
      </w:r>
      <w:r>
        <w:rPr>
          <w:spacing w:val="-6"/>
        </w:rPr>
        <w:t> </w:t>
      </w:r>
      <w:r>
        <w:rPr/>
        <w:t>list</w:t>
      </w:r>
      <w:r>
        <w:rPr>
          <w:spacing w:val="-4"/>
        </w:rPr>
        <w:t> </w:t>
      </w:r>
      <w:r>
        <w:rPr/>
        <w:t>was</w:t>
      </w:r>
      <w:r>
        <w:rPr>
          <w:spacing w:val="-6"/>
        </w:rPr>
        <w:t> </w:t>
      </w:r>
      <w:r>
        <w:rPr/>
        <w:t>a</w:t>
      </w:r>
      <w:r>
        <w:rPr>
          <w:spacing w:val="-6"/>
        </w:rPr>
        <w:t> </w:t>
      </w:r>
      <w:r>
        <w:rPr/>
        <w:t>detailed</w:t>
      </w:r>
      <w:r>
        <w:rPr>
          <w:spacing w:val="-6"/>
        </w:rPr>
        <w:t> </w:t>
      </w:r>
      <w:r>
        <w:rPr/>
        <w:t>record</w:t>
      </w:r>
      <w:r>
        <w:rPr>
          <w:spacing w:val="-6"/>
        </w:rPr>
        <w:t> </w:t>
      </w:r>
      <w:r>
        <w:rPr/>
        <w:t>of</w:t>
      </w:r>
      <w:r>
        <w:rPr>
          <w:spacing w:val="-6"/>
        </w:rPr>
        <w:t> </w:t>
      </w:r>
      <w:r>
        <w:rPr/>
        <w:t>the</w:t>
      </w:r>
      <w:r>
        <w:rPr>
          <w:spacing w:val="-6"/>
        </w:rPr>
        <w:t> </w:t>
      </w:r>
      <w:r>
        <w:rPr/>
        <w:t>location/coverage</w:t>
      </w:r>
      <w:r>
        <w:rPr>
          <w:spacing w:val="-6"/>
        </w:rPr>
        <w:t> </w:t>
      </w:r>
      <w:r>
        <w:rPr/>
        <w:t>of</w:t>
      </w:r>
      <w:r>
        <w:rPr>
          <w:spacing w:val="-5"/>
        </w:rPr>
        <w:t> </w:t>
      </w:r>
      <w:r>
        <w:rPr/>
        <w:t>water</w:t>
      </w:r>
      <w:r>
        <w:rPr>
          <w:spacing w:val="-6"/>
        </w:rPr>
        <w:t> </w:t>
      </w:r>
      <w:r>
        <w:rPr/>
        <w:t>supply</w:t>
      </w:r>
      <w:r>
        <w:rPr>
          <w:spacing w:val="-10"/>
        </w:rPr>
        <w:t> </w:t>
      </w:r>
      <w:r>
        <w:rPr/>
        <w:t>points and this was extracted from the Niger State Water and Sewage Corporation (NSWSC) and complemented by physical and reconnaissance survey.</w:t>
      </w:r>
    </w:p>
    <w:p>
      <w:pPr>
        <w:pStyle w:val="Heading1"/>
        <w:numPr>
          <w:ilvl w:val="2"/>
          <w:numId w:val="9"/>
        </w:numPr>
        <w:tabs>
          <w:tab w:pos="986" w:val="left" w:leader="none"/>
        </w:tabs>
        <w:spacing w:line="240" w:lineRule="auto" w:before="7" w:after="0"/>
        <w:ind w:left="986" w:right="0" w:hanging="719"/>
        <w:jc w:val="both"/>
      </w:pPr>
      <w:r>
        <w:rPr/>
        <w:t>Sample</w:t>
      </w:r>
      <w:r>
        <w:rPr>
          <w:spacing w:val="-4"/>
        </w:rPr>
        <w:t> </w:t>
      </w:r>
      <w:r>
        <w:rPr>
          <w:spacing w:val="-2"/>
        </w:rPr>
        <w:t>element</w:t>
      </w:r>
    </w:p>
    <w:p>
      <w:pPr>
        <w:pStyle w:val="BodyText"/>
        <w:spacing w:before="15"/>
        <w:rPr>
          <w:b/>
        </w:rPr>
      </w:pPr>
    </w:p>
    <w:p>
      <w:pPr>
        <w:pStyle w:val="BodyText"/>
        <w:spacing w:line="480" w:lineRule="auto"/>
        <w:ind w:left="267" w:right="729"/>
        <w:jc w:val="both"/>
      </w:pPr>
      <w:r>
        <w:rPr/>
        <w:t>Apart</w:t>
      </w:r>
      <w:r>
        <w:rPr>
          <w:spacing w:val="-12"/>
        </w:rPr>
        <w:t> </w:t>
      </w:r>
      <w:r>
        <w:rPr/>
        <w:t>from</w:t>
      </w:r>
      <w:r>
        <w:rPr>
          <w:spacing w:val="-12"/>
        </w:rPr>
        <w:t> </w:t>
      </w:r>
      <w:r>
        <w:rPr/>
        <w:t>the</w:t>
      </w:r>
      <w:r>
        <w:rPr>
          <w:spacing w:val="-13"/>
        </w:rPr>
        <w:t> </w:t>
      </w:r>
      <w:r>
        <w:rPr/>
        <w:t>inventory</w:t>
      </w:r>
      <w:r>
        <w:rPr>
          <w:spacing w:val="-12"/>
        </w:rPr>
        <w:t> </w:t>
      </w:r>
      <w:r>
        <w:rPr/>
        <w:t>of</w:t>
      </w:r>
      <w:r>
        <w:rPr>
          <w:spacing w:val="-13"/>
        </w:rPr>
        <w:t> </w:t>
      </w:r>
      <w:r>
        <w:rPr/>
        <w:t>the</w:t>
      </w:r>
      <w:r>
        <w:rPr>
          <w:spacing w:val="-13"/>
        </w:rPr>
        <w:t> </w:t>
      </w:r>
      <w:r>
        <w:rPr/>
        <w:t>water</w:t>
      </w:r>
      <w:r>
        <w:rPr>
          <w:spacing w:val="-13"/>
        </w:rPr>
        <w:t> </w:t>
      </w:r>
      <w:r>
        <w:rPr/>
        <w:t>points,</w:t>
      </w:r>
      <w:r>
        <w:rPr>
          <w:spacing w:val="-11"/>
        </w:rPr>
        <w:t> </w:t>
      </w:r>
      <w:r>
        <w:rPr/>
        <w:t>the</w:t>
      </w:r>
      <w:r>
        <w:rPr>
          <w:spacing w:val="-10"/>
        </w:rPr>
        <w:t> </w:t>
      </w:r>
      <w:r>
        <w:rPr/>
        <w:t>households</w:t>
      </w:r>
      <w:r>
        <w:rPr>
          <w:spacing w:val="-12"/>
        </w:rPr>
        <w:t> </w:t>
      </w:r>
      <w:r>
        <w:rPr/>
        <w:t>represent</w:t>
      </w:r>
      <w:r>
        <w:rPr>
          <w:spacing w:val="-12"/>
        </w:rPr>
        <w:t> </w:t>
      </w:r>
      <w:r>
        <w:rPr/>
        <w:t>the</w:t>
      </w:r>
      <w:r>
        <w:rPr>
          <w:spacing w:val="-10"/>
        </w:rPr>
        <w:t> </w:t>
      </w:r>
      <w:r>
        <w:rPr/>
        <w:t>sampling</w:t>
      </w:r>
      <w:r>
        <w:rPr>
          <w:spacing w:val="-14"/>
        </w:rPr>
        <w:t> </w:t>
      </w:r>
      <w:r>
        <w:rPr/>
        <w:t>elements for the assessment of water stress in this research. It was from these diverse elements that pertinent</w:t>
      </w:r>
      <w:r>
        <w:rPr>
          <w:spacing w:val="-3"/>
        </w:rPr>
        <w:t> </w:t>
      </w:r>
      <w:r>
        <w:rPr/>
        <w:t>data</w:t>
      </w:r>
      <w:r>
        <w:rPr>
          <w:spacing w:val="-4"/>
        </w:rPr>
        <w:t> </w:t>
      </w:r>
      <w:r>
        <w:rPr/>
        <w:t>and</w:t>
      </w:r>
      <w:r>
        <w:rPr>
          <w:spacing w:val="-3"/>
        </w:rPr>
        <w:t> </w:t>
      </w:r>
      <w:r>
        <w:rPr/>
        <w:t>information</w:t>
      </w:r>
      <w:r>
        <w:rPr>
          <w:spacing w:val="-3"/>
        </w:rPr>
        <w:t> </w:t>
      </w:r>
      <w:r>
        <w:rPr/>
        <w:t>relating</w:t>
      </w:r>
      <w:r>
        <w:rPr>
          <w:spacing w:val="-5"/>
        </w:rPr>
        <w:t> </w:t>
      </w:r>
      <w:r>
        <w:rPr/>
        <w:t>to</w:t>
      </w:r>
      <w:r>
        <w:rPr>
          <w:spacing w:val="-3"/>
        </w:rPr>
        <w:t> </w:t>
      </w:r>
      <w:r>
        <w:rPr/>
        <w:t>water</w:t>
      </w:r>
      <w:r>
        <w:rPr>
          <w:spacing w:val="-5"/>
        </w:rPr>
        <w:t> </w:t>
      </w:r>
      <w:r>
        <w:rPr/>
        <w:t>stress</w:t>
      </w:r>
      <w:r>
        <w:rPr>
          <w:spacing w:val="-3"/>
        </w:rPr>
        <w:t> </w:t>
      </w:r>
      <w:r>
        <w:rPr/>
        <w:t>and</w:t>
      </w:r>
      <w:r>
        <w:rPr>
          <w:spacing w:val="-3"/>
        </w:rPr>
        <w:t> </w:t>
      </w:r>
      <w:r>
        <w:rPr/>
        <w:t>poverty</w:t>
      </w:r>
      <w:r>
        <w:rPr>
          <w:spacing w:val="-5"/>
        </w:rPr>
        <w:t> </w:t>
      </w:r>
      <w:r>
        <w:rPr/>
        <w:t>were</w:t>
      </w:r>
      <w:r>
        <w:rPr>
          <w:spacing w:val="-5"/>
        </w:rPr>
        <w:t> </w:t>
      </w:r>
      <w:r>
        <w:rPr/>
        <w:t>drawn</w:t>
      </w:r>
      <w:r>
        <w:rPr>
          <w:spacing w:val="-3"/>
        </w:rPr>
        <w:t> </w:t>
      </w:r>
      <w:r>
        <w:rPr/>
        <w:t>and</w:t>
      </w:r>
      <w:r>
        <w:rPr>
          <w:spacing w:val="-3"/>
        </w:rPr>
        <w:t> </w:t>
      </w:r>
      <w:r>
        <w:rPr/>
        <w:t>analyzed for meaningful generalization of inferences from the empirical data.</w:t>
      </w:r>
    </w:p>
    <w:p>
      <w:pPr>
        <w:pStyle w:val="Heading1"/>
        <w:numPr>
          <w:ilvl w:val="2"/>
          <w:numId w:val="9"/>
        </w:numPr>
        <w:tabs>
          <w:tab w:pos="986" w:val="left" w:leader="none"/>
        </w:tabs>
        <w:spacing w:line="240" w:lineRule="auto" w:before="8" w:after="0"/>
        <w:ind w:left="986" w:right="0" w:hanging="719"/>
        <w:jc w:val="both"/>
      </w:pPr>
      <w:r>
        <w:rPr/>
        <w:t>Sampling</w:t>
      </w:r>
      <w:r>
        <w:rPr>
          <w:spacing w:val="-4"/>
        </w:rPr>
        <w:t> unit</w:t>
      </w:r>
    </w:p>
    <w:p>
      <w:pPr>
        <w:pStyle w:val="BodyText"/>
        <w:spacing w:before="14"/>
        <w:rPr>
          <w:b/>
        </w:rPr>
      </w:pPr>
    </w:p>
    <w:p>
      <w:pPr>
        <w:pStyle w:val="BodyText"/>
        <w:spacing w:line="480" w:lineRule="auto"/>
        <w:ind w:left="267" w:right="726"/>
        <w:jc w:val="both"/>
      </w:pPr>
      <w:r>
        <w:rPr/>
        <w:t>The</w:t>
      </w:r>
      <w:r>
        <w:rPr>
          <w:spacing w:val="-15"/>
        </w:rPr>
        <w:t> </w:t>
      </w:r>
      <w:r>
        <w:rPr/>
        <w:t>sampling</w:t>
      </w:r>
      <w:r>
        <w:rPr>
          <w:spacing w:val="-15"/>
        </w:rPr>
        <w:t> </w:t>
      </w:r>
      <w:r>
        <w:rPr/>
        <w:t>unit</w:t>
      </w:r>
      <w:r>
        <w:rPr>
          <w:spacing w:val="-15"/>
        </w:rPr>
        <w:t> </w:t>
      </w:r>
      <w:r>
        <w:rPr/>
        <w:t>where</w:t>
      </w:r>
      <w:r>
        <w:rPr>
          <w:spacing w:val="-15"/>
        </w:rPr>
        <w:t> </w:t>
      </w:r>
      <w:r>
        <w:rPr/>
        <w:t>the</w:t>
      </w:r>
      <w:r>
        <w:rPr>
          <w:spacing w:val="-15"/>
        </w:rPr>
        <w:t> </w:t>
      </w:r>
      <w:r>
        <w:rPr/>
        <w:t>study</w:t>
      </w:r>
      <w:r>
        <w:rPr>
          <w:spacing w:val="-15"/>
        </w:rPr>
        <w:t> </w:t>
      </w:r>
      <w:r>
        <w:rPr/>
        <w:t>took</w:t>
      </w:r>
      <w:r>
        <w:rPr>
          <w:spacing w:val="-15"/>
        </w:rPr>
        <w:t> </w:t>
      </w:r>
      <w:r>
        <w:rPr/>
        <w:t>place</w:t>
      </w:r>
      <w:r>
        <w:rPr>
          <w:spacing w:val="-15"/>
        </w:rPr>
        <w:t> </w:t>
      </w:r>
      <w:r>
        <w:rPr/>
        <w:t>was</w:t>
      </w:r>
      <w:r>
        <w:rPr>
          <w:spacing w:val="-15"/>
        </w:rPr>
        <w:t> </w:t>
      </w:r>
      <w:r>
        <w:rPr/>
        <w:t>the</w:t>
      </w:r>
      <w:r>
        <w:rPr>
          <w:spacing w:val="-15"/>
        </w:rPr>
        <w:t> </w:t>
      </w:r>
      <w:r>
        <w:rPr/>
        <w:t>eight</w:t>
      </w:r>
      <w:r>
        <w:rPr>
          <w:spacing w:val="-15"/>
        </w:rPr>
        <w:t> </w:t>
      </w:r>
      <w:r>
        <w:rPr/>
        <w:t>(8)</w:t>
      </w:r>
      <w:r>
        <w:rPr>
          <w:spacing w:val="-15"/>
        </w:rPr>
        <w:t> </w:t>
      </w:r>
      <w:r>
        <w:rPr/>
        <w:t>neighbourhood</w:t>
      </w:r>
      <w:r>
        <w:rPr>
          <w:spacing w:val="-15"/>
        </w:rPr>
        <w:t> </w:t>
      </w:r>
      <w:r>
        <w:rPr/>
        <w:t>areas</w:t>
      </w:r>
      <w:r>
        <w:rPr>
          <w:spacing w:val="-15"/>
        </w:rPr>
        <w:t> </w:t>
      </w:r>
      <w:r>
        <w:rPr/>
        <w:t>in</w:t>
      </w:r>
      <w:r>
        <w:rPr>
          <w:spacing w:val="-15"/>
        </w:rPr>
        <w:t> </w:t>
      </w:r>
      <w:r>
        <w:rPr/>
        <w:t>Minna (Table 3.1).</w:t>
      </w:r>
    </w:p>
    <w:p>
      <w:pPr>
        <w:pStyle w:val="BodyText"/>
        <w:spacing w:before="8"/>
      </w:pPr>
    </w:p>
    <w:p>
      <w:pPr>
        <w:pStyle w:val="Heading1"/>
        <w:numPr>
          <w:ilvl w:val="1"/>
          <w:numId w:val="9"/>
        </w:numPr>
        <w:tabs>
          <w:tab w:pos="746" w:val="left" w:leader="none"/>
        </w:tabs>
        <w:spacing w:line="240" w:lineRule="auto" w:before="0" w:after="0"/>
        <w:ind w:left="746" w:right="0" w:hanging="479"/>
        <w:jc w:val="left"/>
      </w:pPr>
      <w:r>
        <w:rPr/>
        <w:t>Data</w:t>
      </w:r>
      <w:r>
        <w:rPr>
          <w:spacing w:val="-2"/>
        </w:rPr>
        <w:t> </w:t>
      </w:r>
      <w:r>
        <w:rPr/>
        <w:t>Types</w:t>
      </w:r>
      <w:r>
        <w:rPr>
          <w:spacing w:val="-1"/>
        </w:rPr>
        <w:t> </w:t>
      </w:r>
      <w:r>
        <w:rPr/>
        <w:t>and</w:t>
      </w:r>
      <w:r>
        <w:rPr>
          <w:spacing w:val="1"/>
        </w:rPr>
        <w:t> </w:t>
      </w:r>
      <w:r>
        <w:rPr>
          <w:spacing w:val="-2"/>
        </w:rPr>
        <w:t>Sources</w:t>
      </w:r>
    </w:p>
    <w:p>
      <w:pPr>
        <w:pStyle w:val="BodyText"/>
        <w:spacing w:before="14"/>
        <w:rPr>
          <w:b/>
        </w:rPr>
      </w:pPr>
    </w:p>
    <w:p>
      <w:pPr>
        <w:pStyle w:val="BodyText"/>
        <w:spacing w:line="480" w:lineRule="auto"/>
        <w:ind w:left="267" w:right="724"/>
        <w:jc w:val="both"/>
      </w:pPr>
      <w:r>
        <w:rPr/>
        <w:t>The data for this research was largely based on primary data, though augmented with secondary</w:t>
      </w:r>
      <w:r>
        <w:rPr>
          <w:spacing w:val="-9"/>
        </w:rPr>
        <w:t> </w:t>
      </w:r>
      <w:r>
        <w:rPr/>
        <w:t>data.</w:t>
      </w:r>
      <w:r>
        <w:rPr>
          <w:spacing w:val="-4"/>
        </w:rPr>
        <w:t> </w:t>
      </w:r>
      <w:r>
        <w:rPr/>
        <w:t>The</w:t>
      </w:r>
      <w:r>
        <w:rPr>
          <w:spacing w:val="-3"/>
        </w:rPr>
        <w:t> </w:t>
      </w:r>
      <w:r>
        <w:rPr/>
        <w:t>primary</w:t>
      </w:r>
      <w:r>
        <w:rPr>
          <w:spacing w:val="-9"/>
        </w:rPr>
        <w:t> </w:t>
      </w:r>
      <w:r>
        <w:rPr/>
        <w:t>data</w:t>
      </w:r>
      <w:r>
        <w:rPr>
          <w:spacing w:val="-1"/>
        </w:rPr>
        <w:t> </w:t>
      </w:r>
      <w:r>
        <w:rPr/>
        <w:t>was</w:t>
      </w:r>
      <w:r>
        <w:rPr>
          <w:spacing w:val="-4"/>
        </w:rPr>
        <w:t> </w:t>
      </w:r>
      <w:r>
        <w:rPr/>
        <w:t>drawn</w:t>
      </w:r>
      <w:r>
        <w:rPr>
          <w:spacing w:val="-4"/>
        </w:rPr>
        <w:t> </w:t>
      </w:r>
      <w:r>
        <w:rPr/>
        <w:t>by</w:t>
      </w:r>
      <w:r>
        <w:rPr>
          <w:spacing w:val="-9"/>
        </w:rPr>
        <w:t> </w:t>
      </w:r>
      <w:r>
        <w:rPr/>
        <w:t>conducting</w:t>
      </w:r>
      <w:r>
        <w:rPr>
          <w:spacing w:val="-6"/>
        </w:rPr>
        <w:t> </w:t>
      </w:r>
      <w:r>
        <w:rPr/>
        <w:t>a</w:t>
      </w:r>
      <w:r>
        <w:rPr>
          <w:spacing w:val="-3"/>
        </w:rPr>
        <w:t> </w:t>
      </w:r>
      <w:r>
        <w:rPr/>
        <w:t>questionnaire-based</w:t>
      </w:r>
      <w:r>
        <w:rPr>
          <w:spacing w:val="-4"/>
        </w:rPr>
        <w:t> </w:t>
      </w:r>
      <w:r>
        <w:rPr/>
        <w:t>survey</w:t>
      </w:r>
      <w:r>
        <w:rPr>
          <w:spacing w:val="-9"/>
        </w:rPr>
        <w:t> </w:t>
      </w:r>
      <w:r>
        <w:rPr/>
        <w:t>on the households living in the eight (8) neighbourhoods comprising the study area.</w:t>
      </w:r>
      <w:r>
        <w:rPr>
          <w:spacing w:val="40"/>
        </w:rPr>
        <w:t> </w:t>
      </w:r>
      <w:r>
        <w:rPr/>
        <w:t>Primary data such as the nature and source of households’ water supply was elicited from the households. Information</w:t>
      </w:r>
      <w:r>
        <w:rPr>
          <w:spacing w:val="-1"/>
        </w:rPr>
        <w:t> </w:t>
      </w:r>
      <w:r>
        <w:rPr/>
        <w:t>on Resource,</w:t>
      </w:r>
      <w:r>
        <w:rPr>
          <w:spacing w:val="-1"/>
        </w:rPr>
        <w:t> </w:t>
      </w:r>
      <w:r>
        <w:rPr/>
        <w:t>Use,</w:t>
      </w:r>
      <w:r>
        <w:rPr>
          <w:spacing w:val="-1"/>
        </w:rPr>
        <w:t> </w:t>
      </w:r>
      <w:r>
        <w:rPr/>
        <w:t>Capacity, Environment and</w:t>
      </w:r>
      <w:r>
        <w:rPr>
          <w:spacing w:val="-1"/>
        </w:rPr>
        <w:t> </w:t>
      </w:r>
      <w:r>
        <w:rPr/>
        <w:t>Access components for assessing water poverty was also captured from the households. In addition, the coping strategies which were employed by the households in conserving water availability, improving water quality and enhancing the flow rate was also obtained.</w:t>
      </w:r>
    </w:p>
    <w:p>
      <w:pPr>
        <w:spacing w:after="0" w:line="480" w:lineRule="auto"/>
        <w:jc w:val="both"/>
        <w:sectPr>
          <w:pgSz w:w="12240" w:h="15840"/>
          <w:pgMar w:header="0" w:footer="1068" w:top="1340" w:bottom="1260" w:left="1720" w:right="680"/>
        </w:sectPr>
      </w:pPr>
    </w:p>
    <w:p>
      <w:pPr>
        <w:pStyle w:val="BodyText"/>
        <w:spacing w:line="480" w:lineRule="auto" w:before="63"/>
        <w:ind w:left="267" w:right="727"/>
        <w:jc w:val="both"/>
      </w:pPr>
      <w:r>
        <w:rPr/>
        <w:t>The</w:t>
      </w:r>
      <w:r>
        <w:rPr>
          <w:spacing w:val="-2"/>
        </w:rPr>
        <w:t> </w:t>
      </w:r>
      <w:r>
        <w:rPr/>
        <w:t>secondary</w:t>
      </w:r>
      <w:r>
        <w:rPr>
          <w:spacing w:val="-8"/>
        </w:rPr>
        <w:t> </w:t>
      </w:r>
      <w:r>
        <w:rPr/>
        <w:t>data</w:t>
      </w:r>
      <w:r>
        <w:rPr>
          <w:spacing w:val="-1"/>
        </w:rPr>
        <w:t> </w:t>
      </w:r>
      <w:r>
        <w:rPr/>
        <w:t>on all the</w:t>
      </w:r>
      <w:r>
        <w:rPr>
          <w:spacing w:val="-1"/>
        </w:rPr>
        <w:t> </w:t>
      </w:r>
      <w:r>
        <w:rPr/>
        <w:t>area</w:t>
      </w:r>
      <w:r>
        <w:rPr>
          <w:spacing w:val="-1"/>
        </w:rPr>
        <w:t> </w:t>
      </w:r>
      <w:r>
        <w:rPr/>
        <w:t>of</w:t>
      </w:r>
      <w:r>
        <w:rPr>
          <w:spacing w:val="-1"/>
        </w:rPr>
        <w:t> </w:t>
      </w:r>
      <w:r>
        <w:rPr/>
        <w:t>coverage</w:t>
      </w:r>
      <w:r>
        <w:rPr>
          <w:spacing w:val="-1"/>
        </w:rPr>
        <w:t> </w:t>
      </w:r>
      <w:r>
        <w:rPr/>
        <w:t>and the</w:t>
      </w:r>
      <w:r>
        <w:rPr>
          <w:spacing w:val="-1"/>
        </w:rPr>
        <w:t> </w:t>
      </w:r>
      <w:r>
        <w:rPr/>
        <w:t>location of</w:t>
      </w:r>
      <w:r>
        <w:rPr>
          <w:spacing w:val="-1"/>
        </w:rPr>
        <w:t> </w:t>
      </w:r>
      <w:r>
        <w:rPr/>
        <w:t>the</w:t>
      </w:r>
      <w:r>
        <w:rPr>
          <w:spacing w:val="-1"/>
        </w:rPr>
        <w:t> </w:t>
      </w:r>
      <w:r>
        <w:rPr/>
        <w:t>public</w:t>
      </w:r>
      <w:r>
        <w:rPr>
          <w:spacing w:val="-1"/>
        </w:rPr>
        <w:t> </w:t>
      </w:r>
      <w:r>
        <w:rPr/>
        <w:t>water</w:t>
      </w:r>
      <w:r>
        <w:rPr>
          <w:spacing w:val="-2"/>
        </w:rPr>
        <w:t> </w:t>
      </w:r>
      <w:r>
        <w:rPr/>
        <w:t>points in the study area was obtained from the State Water Agency for geo-referencing in the GIS </w:t>
      </w:r>
      <w:r>
        <w:rPr>
          <w:spacing w:val="-2"/>
        </w:rPr>
        <w:t>environment.</w:t>
      </w:r>
      <w:r>
        <w:rPr>
          <w:spacing w:val="-3"/>
        </w:rPr>
        <w:t> </w:t>
      </w:r>
      <w:r>
        <w:rPr>
          <w:spacing w:val="-2"/>
        </w:rPr>
        <w:t>Such</w:t>
      </w:r>
      <w:r>
        <w:rPr>
          <w:spacing w:val="-4"/>
        </w:rPr>
        <w:t> </w:t>
      </w:r>
      <w:r>
        <w:rPr>
          <w:spacing w:val="-2"/>
        </w:rPr>
        <w:t>information</w:t>
      </w:r>
      <w:r>
        <w:rPr>
          <w:spacing w:val="-3"/>
        </w:rPr>
        <w:t> </w:t>
      </w:r>
      <w:r>
        <w:rPr>
          <w:spacing w:val="-2"/>
        </w:rPr>
        <w:t>was</w:t>
      </w:r>
      <w:r>
        <w:rPr>
          <w:spacing w:val="-4"/>
        </w:rPr>
        <w:t> </w:t>
      </w:r>
      <w:r>
        <w:rPr>
          <w:spacing w:val="-2"/>
        </w:rPr>
        <w:t>also</w:t>
      </w:r>
      <w:r>
        <w:rPr>
          <w:spacing w:val="-3"/>
        </w:rPr>
        <w:t> </w:t>
      </w:r>
      <w:r>
        <w:rPr>
          <w:spacing w:val="-2"/>
        </w:rPr>
        <w:t>complemented</w:t>
      </w:r>
      <w:r>
        <w:rPr>
          <w:spacing w:val="-4"/>
        </w:rPr>
        <w:t> </w:t>
      </w:r>
      <w:r>
        <w:rPr>
          <w:spacing w:val="-2"/>
        </w:rPr>
        <w:t>with</w:t>
      </w:r>
      <w:r>
        <w:rPr>
          <w:spacing w:val="-3"/>
        </w:rPr>
        <w:t> </w:t>
      </w:r>
      <w:r>
        <w:rPr>
          <w:spacing w:val="-2"/>
        </w:rPr>
        <w:t>physical</w:t>
      </w:r>
      <w:r>
        <w:rPr>
          <w:spacing w:val="-3"/>
        </w:rPr>
        <w:t> </w:t>
      </w:r>
      <w:r>
        <w:rPr>
          <w:spacing w:val="-2"/>
        </w:rPr>
        <w:t>survey</w:t>
      </w:r>
      <w:r>
        <w:rPr>
          <w:spacing w:val="-6"/>
        </w:rPr>
        <w:t> </w:t>
      </w:r>
      <w:r>
        <w:rPr>
          <w:spacing w:val="-2"/>
        </w:rPr>
        <w:t>and</w:t>
      </w:r>
      <w:r>
        <w:rPr>
          <w:spacing w:val="-4"/>
        </w:rPr>
        <w:t> </w:t>
      </w:r>
      <w:r>
        <w:rPr>
          <w:spacing w:val="-2"/>
        </w:rPr>
        <w:t>observation </w:t>
      </w:r>
      <w:r>
        <w:rPr/>
        <w:t>to fully capture all these water points. Other secondary data for this research was sourced from standard textbooks, journal articles, maps and imageries of Minna.</w:t>
      </w:r>
    </w:p>
    <w:p>
      <w:pPr>
        <w:pStyle w:val="BodyText"/>
        <w:spacing w:before="8"/>
      </w:pPr>
    </w:p>
    <w:p>
      <w:pPr>
        <w:pStyle w:val="Heading1"/>
        <w:numPr>
          <w:ilvl w:val="1"/>
          <w:numId w:val="9"/>
        </w:numPr>
        <w:tabs>
          <w:tab w:pos="746" w:val="left" w:leader="none"/>
        </w:tabs>
        <w:spacing w:line="240" w:lineRule="auto" w:before="0" w:after="0"/>
        <w:ind w:left="746" w:right="0" w:hanging="479"/>
        <w:jc w:val="left"/>
      </w:pPr>
      <w:r>
        <w:rPr/>
        <w:t>Method</w:t>
      </w:r>
      <w:r>
        <w:rPr>
          <w:spacing w:val="-2"/>
        </w:rPr>
        <w:t> </w:t>
      </w:r>
      <w:r>
        <w:rPr/>
        <w:t>of</w:t>
      </w:r>
      <w:r>
        <w:rPr>
          <w:spacing w:val="-1"/>
        </w:rPr>
        <w:t> </w:t>
      </w:r>
      <w:r>
        <w:rPr/>
        <w:t>Primary</w:t>
      </w:r>
      <w:r>
        <w:rPr>
          <w:spacing w:val="-2"/>
        </w:rPr>
        <w:t> </w:t>
      </w:r>
      <w:r>
        <w:rPr/>
        <w:t>Data</w:t>
      </w:r>
      <w:r>
        <w:rPr>
          <w:spacing w:val="-1"/>
        </w:rPr>
        <w:t> </w:t>
      </w:r>
      <w:r>
        <w:rPr>
          <w:spacing w:val="-2"/>
        </w:rPr>
        <w:t>Collection</w:t>
      </w:r>
    </w:p>
    <w:p>
      <w:pPr>
        <w:pStyle w:val="BodyText"/>
        <w:spacing w:before="15"/>
        <w:rPr>
          <w:b/>
        </w:rPr>
      </w:pPr>
    </w:p>
    <w:p>
      <w:pPr>
        <w:pStyle w:val="BodyText"/>
        <w:ind w:left="267"/>
        <w:jc w:val="both"/>
      </w:pPr>
      <w:r>
        <w:rPr/>
        <w:t>The</w:t>
      </w:r>
      <w:r>
        <w:rPr>
          <w:spacing w:val="-5"/>
        </w:rPr>
        <w:t> </w:t>
      </w:r>
      <w:r>
        <w:rPr/>
        <w:t>proposed</w:t>
      </w:r>
      <w:r>
        <w:rPr>
          <w:spacing w:val="-1"/>
        </w:rPr>
        <w:t> </w:t>
      </w:r>
      <w:r>
        <w:rPr/>
        <w:t>methods</w:t>
      </w:r>
      <w:r>
        <w:rPr>
          <w:spacing w:val="-1"/>
        </w:rPr>
        <w:t> </w:t>
      </w:r>
      <w:r>
        <w:rPr/>
        <w:t>that</w:t>
      </w:r>
      <w:r>
        <w:rPr>
          <w:spacing w:val="-1"/>
        </w:rPr>
        <w:t> </w:t>
      </w:r>
      <w:r>
        <w:rPr/>
        <w:t>was</w:t>
      </w:r>
      <w:r>
        <w:rPr>
          <w:spacing w:val="-1"/>
        </w:rPr>
        <w:t> </w:t>
      </w:r>
      <w:r>
        <w:rPr/>
        <w:t>employed</w:t>
      </w:r>
      <w:r>
        <w:rPr>
          <w:spacing w:val="-1"/>
        </w:rPr>
        <w:t> </w:t>
      </w:r>
      <w:r>
        <w:rPr/>
        <w:t>in</w:t>
      </w:r>
      <w:r>
        <w:rPr>
          <w:spacing w:val="-1"/>
        </w:rPr>
        <w:t> </w:t>
      </w:r>
      <w:r>
        <w:rPr/>
        <w:t>data collection </w:t>
      </w:r>
      <w:r>
        <w:rPr>
          <w:spacing w:val="-2"/>
        </w:rPr>
        <w:t>include:</w:t>
      </w:r>
    </w:p>
    <w:p>
      <w:pPr>
        <w:pStyle w:val="BodyText"/>
        <w:spacing w:before="7"/>
      </w:pPr>
    </w:p>
    <w:p>
      <w:pPr>
        <w:pStyle w:val="Heading1"/>
        <w:numPr>
          <w:ilvl w:val="2"/>
          <w:numId w:val="9"/>
        </w:numPr>
        <w:tabs>
          <w:tab w:pos="987" w:val="left" w:leader="none"/>
        </w:tabs>
        <w:spacing w:line="240" w:lineRule="auto" w:before="0" w:after="0"/>
        <w:ind w:left="987" w:right="0" w:hanging="720"/>
        <w:jc w:val="left"/>
      </w:pPr>
      <w:r>
        <w:rPr>
          <w:spacing w:val="-2"/>
        </w:rPr>
        <w:t>Questionnaire</w:t>
      </w:r>
    </w:p>
    <w:p>
      <w:pPr>
        <w:pStyle w:val="BodyText"/>
        <w:spacing w:before="14"/>
        <w:rPr>
          <w:b/>
        </w:rPr>
      </w:pPr>
    </w:p>
    <w:p>
      <w:pPr>
        <w:pStyle w:val="BodyText"/>
        <w:spacing w:line="480" w:lineRule="auto"/>
        <w:ind w:left="267" w:right="724"/>
        <w:jc w:val="both"/>
      </w:pPr>
      <w:r>
        <w:rPr/>
        <w:t>Questionnaire was designed and administered to collect information on water stress and poverty</w:t>
      </w:r>
      <w:r>
        <w:rPr>
          <w:spacing w:val="-7"/>
        </w:rPr>
        <w:t> </w:t>
      </w:r>
      <w:r>
        <w:rPr/>
        <w:t>from</w:t>
      </w:r>
      <w:r>
        <w:rPr>
          <w:spacing w:val="-4"/>
        </w:rPr>
        <w:t> </w:t>
      </w:r>
      <w:r>
        <w:rPr/>
        <w:t>the</w:t>
      </w:r>
      <w:r>
        <w:rPr>
          <w:spacing w:val="-5"/>
        </w:rPr>
        <w:t> </w:t>
      </w:r>
      <w:r>
        <w:rPr/>
        <w:t>households</w:t>
      </w:r>
      <w:r>
        <w:rPr>
          <w:spacing w:val="-4"/>
        </w:rPr>
        <w:t> </w:t>
      </w:r>
      <w:r>
        <w:rPr/>
        <w:t>in</w:t>
      </w:r>
      <w:r>
        <w:rPr>
          <w:spacing w:val="-4"/>
        </w:rPr>
        <w:t> </w:t>
      </w:r>
      <w:r>
        <w:rPr/>
        <w:t>the</w:t>
      </w:r>
      <w:r>
        <w:rPr>
          <w:spacing w:val="-5"/>
        </w:rPr>
        <w:t> </w:t>
      </w:r>
      <w:r>
        <w:rPr/>
        <w:t>study</w:t>
      </w:r>
      <w:r>
        <w:rPr>
          <w:spacing w:val="-12"/>
        </w:rPr>
        <w:t> </w:t>
      </w:r>
      <w:r>
        <w:rPr/>
        <w:t>area.</w:t>
      </w:r>
      <w:r>
        <w:rPr>
          <w:spacing w:val="-5"/>
        </w:rPr>
        <w:t> </w:t>
      </w:r>
      <w:r>
        <w:rPr/>
        <w:t>The</w:t>
      </w:r>
      <w:r>
        <w:rPr>
          <w:spacing w:val="-6"/>
        </w:rPr>
        <w:t> </w:t>
      </w:r>
      <w:r>
        <w:rPr/>
        <w:t>questionnaire</w:t>
      </w:r>
      <w:r>
        <w:rPr>
          <w:spacing w:val="-6"/>
        </w:rPr>
        <w:t> </w:t>
      </w:r>
      <w:r>
        <w:rPr/>
        <w:t>was</w:t>
      </w:r>
      <w:r>
        <w:rPr>
          <w:spacing w:val="-5"/>
        </w:rPr>
        <w:t> </w:t>
      </w:r>
      <w:r>
        <w:rPr/>
        <w:t>a</w:t>
      </w:r>
      <w:r>
        <w:rPr>
          <w:spacing w:val="-6"/>
        </w:rPr>
        <w:t> </w:t>
      </w:r>
      <w:r>
        <w:rPr/>
        <w:t>combination</w:t>
      </w:r>
      <w:r>
        <w:rPr>
          <w:spacing w:val="-5"/>
        </w:rPr>
        <w:t> </w:t>
      </w:r>
      <w:r>
        <w:rPr/>
        <w:t>of</w:t>
      </w:r>
      <w:r>
        <w:rPr>
          <w:spacing w:val="-4"/>
        </w:rPr>
        <w:t> </w:t>
      </w:r>
      <w:r>
        <w:rPr/>
        <w:t>open and closed item questions that consisted of 4 sections. The first section provided questions on</w:t>
      </w:r>
      <w:r>
        <w:rPr>
          <w:spacing w:val="-1"/>
        </w:rPr>
        <w:t> </w:t>
      </w:r>
      <w:r>
        <w:rPr/>
        <w:t>the</w:t>
      </w:r>
      <w:r>
        <w:rPr>
          <w:spacing w:val="-2"/>
        </w:rPr>
        <w:t> </w:t>
      </w:r>
      <w:r>
        <w:rPr/>
        <w:t>socio</w:t>
      </w:r>
      <w:r>
        <w:rPr>
          <w:spacing w:val="-1"/>
        </w:rPr>
        <w:t> </w:t>
      </w:r>
      <w:r>
        <w:rPr/>
        <w:t>demographic</w:t>
      </w:r>
      <w:r>
        <w:rPr>
          <w:spacing w:val="-2"/>
        </w:rPr>
        <w:t> </w:t>
      </w:r>
      <w:r>
        <w:rPr/>
        <w:t>characteristics</w:t>
      </w:r>
      <w:r>
        <w:rPr>
          <w:spacing w:val="-1"/>
        </w:rPr>
        <w:t> </w:t>
      </w:r>
      <w:r>
        <w:rPr/>
        <w:t>of</w:t>
      </w:r>
      <w:r>
        <w:rPr>
          <w:spacing w:val="-2"/>
        </w:rPr>
        <w:t> </w:t>
      </w:r>
      <w:r>
        <w:rPr/>
        <w:t>the respondents. The</w:t>
      </w:r>
      <w:r>
        <w:rPr>
          <w:spacing w:val="-3"/>
        </w:rPr>
        <w:t> </w:t>
      </w:r>
      <w:r>
        <w:rPr/>
        <w:t>various household</w:t>
      </w:r>
      <w:r>
        <w:rPr>
          <w:spacing w:val="-1"/>
        </w:rPr>
        <w:t> </w:t>
      </w:r>
      <w:r>
        <w:rPr/>
        <w:t>sources of</w:t>
      </w:r>
      <w:r>
        <w:rPr>
          <w:spacing w:val="-7"/>
        </w:rPr>
        <w:t> </w:t>
      </w:r>
      <w:r>
        <w:rPr/>
        <w:t>water</w:t>
      </w:r>
      <w:r>
        <w:rPr>
          <w:spacing w:val="-7"/>
        </w:rPr>
        <w:t> </w:t>
      </w:r>
      <w:r>
        <w:rPr/>
        <w:t>for</w:t>
      </w:r>
      <w:r>
        <w:rPr>
          <w:spacing w:val="-7"/>
        </w:rPr>
        <w:t> </w:t>
      </w:r>
      <w:r>
        <w:rPr/>
        <w:t>drinking</w:t>
      </w:r>
      <w:r>
        <w:rPr>
          <w:spacing w:val="-8"/>
        </w:rPr>
        <w:t> </w:t>
      </w:r>
      <w:r>
        <w:rPr/>
        <w:t>and</w:t>
      </w:r>
      <w:r>
        <w:rPr>
          <w:spacing w:val="-4"/>
        </w:rPr>
        <w:t> </w:t>
      </w:r>
      <w:r>
        <w:rPr/>
        <w:t>domestic</w:t>
      </w:r>
      <w:r>
        <w:rPr>
          <w:spacing w:val="-7"/>
        </w:rPr>
        <w:t> </w:t>
      </w:r>
      <w:r>
        <w:rPr/>
        <w:t>use</w:t>
      </w:r>
      <w:r>
        <w:rPr>
          <w:spacing w:val="-7"/>
        </w:rPr>
        <w:t> </w:t>
      </w:r>
      <w:r>
        <w:rPr/>
        <w:t>was</w:t>
      </w:r>
      <w:r>
        <w:rPr>
          <w:spacing w:val="-6"/>
        </w:rPr>
        <w:t> </w:t>
      </w:r>
      <w:r>
        <w:rPr/>
        <w:t>elicited</w:t>
      </w:r>
      <w:r>
        <w:rPr>
          <w:spacing w:val="-6"/>
        </w:rPr>
        <w:t> </w:t>
      </w:r>
      <w:r>
        <w:rPr/>
        <w:t>in</w:t>
      </w:r>
      <w:r>
        <w:rPr>
          <w:spacing w:val="-5"/>
        </w:rPr>
        <w:t> </w:t>
      </w:r>
      <w:r>
        <w:rPr/>
        <w:t>section</w:t>
      </w:r>
      <w:r>
        <w:rPr>
          <w:spacing w:val="-6"/>
        </w:rPr>
        <w:t> </w:t>
      </w:r>
      <w:r>
        <w:rPr/>
        <w:t>two.</w:t>
      </w:r>
      <w:r>
        <w:rPr>
          <w:spacing w:val="-3"/>
        </w:rPr>
        <w:t> </w:t>
      </w:r>
      <w:r>
        <w:rPr/>
        <w:t>The</w:t>
      </w:r>
      <w:r>
        <w:rPr>
          <w:spacing w:val="-7"/>
        </w:rPr>
        <w:t> </w:t>
      </w:r>
      <w:r>
        <w:rPr/>
        <w:t>third</w:t>
      </w:r>
      <w:r>
        <w:rPr>
          <w:spacing w:val="-5"/>
        </w:rPr>
        <w:t> </w:t>
      </w:r>
      <w:r>
        <w:rPr/>
        <w:t>section</w:t>
      </w:r>
      <w:r>
        <w:rPr>
          <w:spacing w:val="-6"/>
        </w:rPr>
        <w:t> </w:t>
      </w:r>
      <w:r>
        <w:rPr/>
        <w:t>covered household</w:t>
      </w:r>
      <w:r>
        <w:rPr>
          <w:spacing w:val="-1"/>
        </w:rPr>
        <w:t> </w:t>
      </w:r>
      <w:r>
        <w:rPr/>
        <w:t>level</w:t>
      </w:r>
      <w:r>
        <w:rPr>
          <w:spacing w:val="-1"/>
        </w:rPr>
        <w:t> </w:t>
      </w:r>
      <w:r>
        <w:rPr/>
        <w:t>of</w:t>
      </w:r>
      <w:r>
        <w:rPr>
          <w:spacing w:val="-2"/>
        </w:rPr>
        <w:t> </w:t>
      </w:r>
      <w:r>
        <w:rPr/>
        <w:t>water stress and</w:t>
      </w:r>
      <w:r>
        <w:rPr>
          <w:spacing w:val="-1"/>
        </w:rPr>
        <w:t> </w:t>
      </w:r>
      <w:r>
        <w:rPr/>
        <w:t>poverty</w:t>
      </w:r>
      <w:r>
        <w:rPr>
          <w:spacing w:val="-6"/>
        </w:rPr>
        <w:t> </w:t>
      </w:r>
      <w:r>
        <w:rPr/>
        <w:t>measurement,</w:t>
      </w:r>
      <w:r>
        <w:rPr>
          <w:spacing w:val="-1"/>
        </w:rPr>
        <w:t> </w:t>
      </w:r>
      <w:r>
        <w:rPr/>
        <w:t>with</w:t>
      </w:r>
      <w:r>
        <w:rPr>
          <w:spacing w:val="-1"/>
        </w:rPr>
        <w:t> </w:t>
      </w:r>
      <w:r>
        <w:rPr/>
        <w:t>most questions</w:t>
      </w:r>
      <w:r>
        <w:rPr>
          <w:spacing w:val="-1"/>
        </w:rPr>
        <w:t> </w:t>
      </w:r>
      <w:r>
        <w:rPr/>
        <w:t>pertaining</w:t>
      </w:r>
      <w:r>
        <w:rPr>
          <w:spacing w:val="-4"/>
        </w:rPr>
        <w:t> </w:t>
      </w:r>
      <w:r>
        <w:rPr/>
        <w:t>to the key dimensions of water poverty such as use, resources, capacity, access and environmental sanitation. Finally, the last section dwell on household adaptation (coping strategies) measures to water poverty.</w:t>
      </w:r>
    </w:p>
    <w:p>
      <w:pPr>
        <w:pStyle w:val="Heading1"/>
        <w:numPr>
          <w:ilvl w:val="2"/>
          <w:numId w:val="9"/>
        </w:numPr>
        <w:tabs>
          <w:tab w:pos="986" w:val="left" w:leader="none"/>
        </w:tabs>
        <w:spacing w:line="240" w:lineRule="auto" w:before="8" w:after="0"/>
        <w:ind w:left="986" w:right="0" w:hanging="719"/>
        <w:jc w:val="both"/>
      </w:pPr>
      <w:r>
        <w:rPr/>
        <w:t>Physical</w:t>
      </w:r>
      <w:r>
        <w:rPr>
          <w:spacing w:val="-3"/>
        </w:rPr>
        <w:t> </w:t>
      </w:r>
      <w:r>
        <w:rPr/>
        <w:t>observation</w:t>
      </w:r>
      <w:r>
        <w:rPr>
          <w:spacing w:val="-2"/>
        </w:rPr>
        <w:t> </w:t>
      </w:r>
      <w:r>
        <w:rPr/>
        <w:t>and</w:t>
      </w:r>
      <w:r>
        <w:rPr>
          <w:spacing w:val="-2"/>
        </w:rPr>
        <w:t> </w:t>
      </w:r>
      <w:r>
        <w:rPr/>
        <w:t>reconnaissance</w:t>
      </w:r>
      <w:r>
        <w:rPr>
          <w:spacing w:val="-3"/>
        </w:rPr>
        <w:t> </w:t>
      </w:r>
      <w:r>
        <w:rPr>
          <w:spacing w:val="-2"/>
        </w:rPr>
        <w:t>survey</w:t>
      </w:r>
    </w:p>
    <w:p>
      <w:pPr>
        <w:pStyle w:val="BodyText"/>
        <w:spacing w:before="15"/>
        <w:rPr>
          <w:b/>
        </w:rPr>
      </w:pPr>
    </w:p>
    <w:p>
      <w:pPr>
        <w:pStyle w:val="BodyText"/>
        <w:spacing w:line="480" w:lineRule="auto" w:before="1"/>
        <w:ind w:left="267" w:right="729"/>
        <w:jc w:val="both"/>
      </w:pPr>
      <w:r>
        <w:rPr/>
        <w:t>A reconnaissance survey was undertaken to cross-check the locations and coverage of the public water points provided by the State Water Agency.</w:t>
      </w:r>
    </w:p>
    <w:p>
      <w:pPr>
        <w:pStyle w:val="Heading1"/>
        <w:numPr>
          <w:ilvl w:val="2"/>
          <w:numId w:val="9"/>
        </w:numPr>
        <w:tabs>
          <w:tab w:pos="986" w:val="left" w:leader="none"/>
        </w:tabs>
        <w:spacing w:line="240" w:lineRule="auto" w:before="7" w:after="0"/>
        <w:ind w:left="986" w:right="0" w:hanging="719"/>
        <w:jc w:val="both"/>
      </w:pPr>
      <w:r>
        <w:rPr/>
        <w:t>GPS</w:t>
      </w:r>
      <w:r>
        <w:rPr>
          <w:spacing w:val="-2"/>
        </w:rPr>
        <w:t> device</w:t>
      </w:r>
    </w:p>
    <w:p>
      <w:pPr>
        <w:pStyle w:val="BodyText"/>
        <w:spacing w:before="14"/>
        <w:rPr>
          <w:b/>
        </w:rPr>
      </w:pPr>
    </w:p>
    <w:p>
      <w:pPr>
        <w:pStyle w:val="BodyText"/>
        <w:spacing w:line="480" w:lineRule="auto"/>
        <w:ind w:left="267" w:right="731"/>
        <w:jc w:val="both"/>
      </w:pPr>
      <w:r>
        <w:rPr/>
        <w:t>The locations and extent of coverage of the public water points in terms of X and Y coordinates was obtained using GPS device in the study area.</w:t>
      </w:r>
    </w:p>
    <w:p>
      <w:pPr>
        <w:spacing w:after="0" w:line="480" w:lineRule="auto"/>
        <w:jc w:val="both"/>
        <w:sectPr>
          <w:pgSz w:w="12240" w:h="15840"/>
          <w:pgMar w:header="0" w:footer="1068" w:top="1340" w:bottom="1260" w:left="1720" w:right="680"/>
        </w:sectPr>
      </w:pPr>
    </w:p>
    <w:p>
      <w:pPr>
        <w:pStyle w:val="Heading1"/>
        <w:numPr>
          <w:ilvl w:val="1"/>
          <w:numId w:val="9"/>
        </w:numPr>
        <w:tabs>
          <w:tab w:pos="867" w:val="left" w:leader="none"/>
        </w:tabs>
        <w:spacing w:line="240" w:lineRule="auto" w:before="70" w:after="0"/>
        <w:ind w:left="867" w:right="0" w:hanging="600"/>
        <w:jc w:val="left"/>
      </w:pPr>
      <w:r>
        <w:rPr/>
        <w:t>Sample</w:t>
      </w:r>
      <w:r>
        <w:rPr>
          <w:spacing w:val="-3"/>
        </w:rPr>
        <w:t> </w:t>
      </w:r>
      <w:r>
        <w:rPr/>
        <w:t>Size</w:t>
      </w:r>
      <w:r>
        <w:rPr>
          <w:spacing w:val="-3"/>
        </w:rPr>
        <w:t> </w:t>
      </w:r>
      <w:r>
        <w:rPr>
          <w:spacing w:val="-2"/>
        </w:rPr>
        <w:t>Determination</w:t>
      </w:r>
    </w:p>
    <w:p>
      <w:pPr>
        <w:pStyle w:val="BodyText"/>
        <w:spacing w:before="15"/>
        <w:rPr>
          <w:b/>
        </w:rPr>
      </w:pPr>
    </w:p>
    <w:p>
      <w:pPr>
        <w:pStyle w:val="BodyText"/>
        <w:spacing w:line="480" w:lineRule="auto"/>
        <w:ind w:left="267" w:right="728"/>
        <w:jc w:val="both"/>
      </w:pPr>
      <w:r>
        <w:rPr/>
        <w:t>In estimating a sample size which will be representative, and from which meaningful generalizations can be made, the Krejcie and Morgan standard formula for sample size was employed as follows using equation:</w:t>
      </w:r>
    </w:p>
    <w:p>
      <w:pPr>
        <w:spacing w:after="0" w:line="480" w:lineRule="auto"/>
        <w:jc w:val="both"/>
        <w:sectPr>
          <w:pgSz w:w="12240" w:h="15840"/>
          <w:pgMar w:header="0" w:footer="1068" w:top="1340" w:bottom="1260" w:left="1720" w:right="680"/>
        </w:sectPr>
      </w:pPr>
    </w:p>
    <w:p>
      <w:pPr>
        <w:tabs>
          <w:tab w:pos="1251" w:val="left" w:leader="none"/>
        </w:tabs>
        <w:spacing w:line="168" w:lineRule="auto" w:before="21"/>
        <w:ind w:left="267"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2498048">
                <wp:simplePos x="0" y="0"/>
                <wp:positionH relativeFrom="page">
                  <wp:posOffset>1550161</wp:posOffset>
                </wp:positionH>
                <wp:positionV relativeFrom="paragraph">
                  <wp:posOffset>160774</wp:posOffset>
                </wp:positionV>
                <wp:extent cx="1425575" cy="1079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425575" cy="10795"/>
                        </a:xfrm>
                        <a:custGeom>
                          <a:avLst/>
                          <a:gdLst/>
                          <a:ahLst/>
                          <a:cxnLst/>
                          <a:rect l="l" t="t" r="r" b="b"/>
                          <a:pathLst>
                            <a:path w="1425575" h="10795">
                              <a:moveTo>
                                <a:pt x="1425194" y="0"/>
                              </a:moveTo>
                              <a:lnTo>
                                <a:pt x="0" y="0"/>
                              </a:lnTo>
                              <a:lnTo>
                                <a:pt x="0" y="10668"/>
                              </a:lnTo>
                              <a:lnTo>
                                <a:pt x="1425194" y="10668"/>
                              </a:lnTo>
                              <a:lnTo>
                                <a:pt x="1425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059998pt;margin-top:12.659375pt;width:112.22pt;height:.84pt;mso-position-horizontal-relative:page;mso-position-vertical-relative:paragraph;z-index:-20818432" id="docshape77" filled="true" fillcolor="#000000" stroked="false">
                <v:fill type="solid"/>
                <w10:wrap type="none"/>
              </v:rect>
            </w:pict>
          </mc:Fallback>
        </mc:AlternateContent>
      </w:r>
      <w:r>
        <w:rPr>
          <w:rFonts w:ascii="Cambria Math" w:hAnsi="Cambria Math" w:eastAsia="Cambria Math"/>
          <w:position w:val="-13"/>
          <w:sz w:val="24"/>
        </w:rPr>
        <w:t>𝑛</w:t>
      </w:r>
      <w:r>
        <w:rPr>
          <w:rFonts w:ascii="Cambria Math" w:hAnsi="Cambria Math" w:eastAsia="Cambria Math"/>
          <w:spacing w:val="18"/>
          <w:position w:val="-13"/>
          <w:sz w:val="24"/>
        </w:rPr>
        <w:t> </w:t>
      </w:r>
      <w:r>
        <w:rPr>
          <w:rFonts w:ascii="Cambria Math" w:hAnsi="Cambria Math" w:eastAsia="Cambria Math"/>
          <w:spacing w:val="-12"/>
          <w:position w:val="-13"/>
          <w:sz w:val="24"/>
        </w:rPr>
        <w:t>=</w:t>
      </w:r>
      <w:r>
        <w:rPr>
          <w:rFonts w:ascii="Cambria Math" w:hAnsi="Cambria Math" w:eastAsia="Cambria Math"/>
          <w:position w:val="-13"/>
          <w:sz w:val="24"/>
        </w:rPr>
        <w:tab/>
      </w:r>
      <w:r>
        <w:rPr>
          <w:rFonts w:ascii="Cambria Math" w:hAnsi="Cambria Math" w:eastAsia="Cambria Math"/>
          <w:spacing w:val="-2"/>
          <w:sz w:val="17"/>
        </w:rPr>
        <w:t>𝑋</w:t>
      </w:r>
      <w:r>
        <w:rPr>
          <w:rFonts w:ascii="Cambria Math" w:hAnsi="Cambria Math" w:eastAsia="Cambria Math"/>
          <w:spacing w:val="-2"/>
          <w:position w:val="6"/>
          <w:sz w:val="14"/>
        </w:rPr>
        <w:t>2</w:t>
      </w:r>
      <w:r>
        <w:rPr>
          <w:rFonts w:ascii="Cambria Math" w:hAnsi="Cambria Math" w:eastAsia="Cambria Math"/>
          <w:spacing w:val="-2"/>
          <w:sz w:val="17"/>
        </w:rPr>
        <w:t>∗𝑁∗𝑃∗(1−𝑃)</w:t>
      </w:r>
    </w:p>
    <w:p>
      <w:pPr>
        <w:spacing w:line="164" w:lineRule="exact" w:before="0"/>
        <w:ind w:left="721" w:right="0" w:firstLine="0"/>
        <w:jc w:val="left"/>
        <w:rPr>
          <w:rFonts w:ascii="Cambria Math" w:hAnsi="Cambria Math" w:eastAsia="Cambria Math"/>
          <w:sz w:val="17"/>
        </w:rPr>
      </w:pPr>
      <w:r>
        <w:rPr>
          <w:rFonts w:ascii="Cambria Math" w:hAnsi="Cambria Math" w:eastAsia="Cambria Math"/>
          <w:spacing w:val="-2"/>
          <w:sz w:val="17"/>
        </w:rPr>
        <w:t>(𝑀𝐸</w:t>
      </w:r>
      <w:r>
        <w:rPr>
          <w:rFonts w:ascii="Cambria Math" w:hAnsi="Cambria Math" w:eastAsia="Cambria Math"/>
          <w:spacing w:val="-2"/>
          <w:position w:val="5"/>
          <w:sz w:val="14"/>
        </w:rPr>
        <w:t>2</w:t>
      </w:r>
      <w:r>
        <w:rPr>
          <w:rFonts w:ascii="Cambria Math" w:hAnsi="Cambria Math" w:eastAsia="Cambria Math"/>
          <w:spacing w:val="-2"/>
          <w:sz w:val="17"/>
        </w:rPr>
        <w:t>∗(𝑁−1)+(𝑋</w:t>
      </w:r>
      <w:r>
        <w:rPr>
          <w:rFonts w:ascii="Cambria Math" w:hAnsi="Cambria Math" w:eastAsia="Cambria Math"/>
          <w:spacing w:val="-2"/>
          <w:position w:val="5"/>
          <w:sz w:val="14"/>
        </w:rPr>
        <w:t>2</w:t>
      </w:r>
      <w:r>
        <w:rPr>
          <w:rFonts w:ascii="Cambria Math" w:hAnsi="Cambria Math" w:eastAsia="Cambria Math"/>
          <w:spacing w:val="-2"/>
          <w:sz w:val="17"/>
        </w:rPr>
        <w:t>∗𝑃∗(1−𝑃))</w:t>
      </w:r>
    </w:p>
    <w:p>
      <w:pPr>
        <w:pStyle w:val="BodyText"/>
        <w:spacing w:before="106"/>
        <w:ind w:left="198"/>
      </w:pPr>
      <w:r>
        <w:rPr/>
        <w:br w:type="column"/>
      </w:r>
      <w:r>
        <w:rPr>
          <w:spacing w:val="-2"/>
        </w:rPr>
        <w:t>……………………………………………..(3.1)</w:t>
      </w:r>
    </w:p>
    <w:p>
      <w:pPr>
        <w:spacing w:after="0"/>
        <w:sectPr>
          <w:type w:val="continuous"/>
          <w:pgSz w:w="12240" w:h="15840"/>
          <w:pgMar w:header="0" w:footer="1068" w:top="1340" w:bottom="1260" w:left="1720" w:right="680"/>
          <w:cols w:num="2" w:equalWidth="0">
            <w:col w:w="2967" w:space="40"/>
            <w:col w:w="6833"/>
          </w:cols>
        </w:sectPr>
      </w:pPr>
    </w:p>
    <w:p>
      <w:pPr>
        <w:pStyle w:val="BodyText"/>
        <w:spacing w:before="2"/>
      </w:pPr>
    </w:p>
    <w:p>
      <w:pPr>
        <w:pStyle w:val="BodyText"/>
        <w:ind w:left="267"/>
      </w:pPr>
      <w:r>
        <w:rPr>
          <w:position w:val="1"/>
        </w:rPr>
        <w:t>Where:</w:t>
      </w:r>
      <w:r>
        <w:rPr>
          <w:spacing w:val="5"/>
          <w:position w:val="1"/>
        </w:rPr>
        <w:t> </w:t>
      </w:r>
      <w:r>
        <w:rPr>
          <w:position w:val="1"/>
        </w:rPr>
        <w:t>n</w:t>
      </w:r>
      <w:r>
        <w:rPr>
          <w:spacing w:val="5"/>
          <w:position w:val="1"/>
        </w:rPr>
        <w:t> </w:t>
      </w:r>
      <w:r>
        <w:rPr>
          <w:position w:val="1"/>
        </w:rPr>
        <w:t>=</w:t>
      </w:r>
      <w:r>
        <w:rPr>
          <w:spacing w:val="4"/>
          <w:position w:val="1"/>
        </w:rPr>
        <w:t> </w:t>
      </w:r>
      <w:r>
        <w:rPr>
          <w:position w:val="1"/>
        </w:rPr>
        <w:t>sample</w:t>
      </w:r>
      <w:r>
        <w:rPr>
          <w:spacing w:val="4"/>
          <w:position w:val="1"/>
        </w:rPr>
        <w:t> </w:t>
      </w:r>
      <w:r>
        <w:rPr>
          <w:position w:val="1"/>
        </w:rPr>
        <w:t>size;</w:t>
      </w:r>
      <w:r>
        <w:rPr>
          <w:spacing w:val="76"/>
          <w:position w:val="1"/>
        </w:rPr>
        <w:t> </w:t>
      </w:r>
      <w:r>
        <w:rPr>
          <w:i/>
          <w:sz w:val="22"/>
        </w:rPr>
        <w:t>X </w:t>
      </w:r>
      <w:r>
        <w:rPr>
          <w:sz w:val="22"/>
          <w:vertAlign w:val="superscript"/>
        </w:rPr>
        <w:t>2</w:t>
      </w:r>
      <w:r>
        <w:rPr>
          <w:spacing w:val="-11"/>
          <w:sz w:val="22"/>
          <w:vertAlign w:val="baseline"/>
        </w:rPr>
        <w:t> </w:t>
      </w:r>
      <w:r>
        <w:rPr>
          <w:position w:val="1"/>
          <w:vertAlign w:val="baseline"/>
        </w:rPr>
        <w:t>=</w:t>
      </w:r>
      <w:r>
        <w:rPr>
          <w:spacing w:val="4"/>
          <w:position w:val="1"/>
          <w:vertAlign w:val="baseline"/>
        </w:rPr>
        <w:t> </w:t>
      </w:r>
      <w:r>
        <w:rPr>
          <w:position w:val="1"/>
          <w:vertAlign w:val="baseline"/>
        </w:rPr>
        <w:t>chi-square</w:t>
      </w:r>
      <w:r>
        <w:rPr>
          <w:spacing w:val="5"/>
          <w:position w:val="1"/>
          <w:vertAlign w:val="baseline"/>
        </w:rPr>
        <w:t> </w:t>
      </w:r>
      <w:r>
        <w:rPr>
          <w:position w:val="1"/>
          <w:vertAlign w:val="baseline"/>
        </w:rPr>
        <w:t>for</w:t>
      </w:r>
      <w:r>
        <w:rPr>
          <w:spacing w:val="3"/>
          <w:position w:val="1"/>
          <w:vertAlign w:val="baseline"/>
        </w:rPr>
        <w:t> </w:t>
      </w:r>
      <w:r>
        <w:rPr>
          <w:position w:val="1"/>
          <w:vertAlign w:val="baseline"/>
        </w:rPr>
        <w:t>the</w:t>
      </w:r>
      <w:r>
        <w:rPr>
          <w:spacing w:val="4"/>
          <w:position w:val="1"/>
          <w:vertAlign w:val="baseline"/>
        </w:rPr>
        <w:t> </w:t>
      </w:r>
      <w:r>
        <w:rPr>
          <w:position w:val="1"/>
          <w:vertAlign w:val="baseline"/>
        </w:rPr>
        <w:t>confidence</w:t>
      </w:r>
      <w:r>
        <w:rPr>
          <w:spacing w:val="4"/>
          <w:position w:val="1"/>
          <w:vertAlign w:val="baseline"/>
        </w:rPr>
        <w:t> </w:t>
      </w:r>
      <w:r>
        <w:rPr>
          <w:position w:val="1"/>
          <w:vertAlign w:val="baseline"/>
        </w:rPr>
        <w:t>level;</w:t>
      </w:r>
      <w:r>
        <w:rPr>
          <w:spacing w:val="8"/>
          <w:position w:val="1"/>
          <w:vertAlign w:val="baseline"/>
        </w:rPr>
        <w:t> </w:t>
      </w:r>
      <w:r>
        <w:rPr>
          <w:position w:val="1"/>
          <w:vertAlign w:val="baseline"/>
        </w:rPr>
        <w:t>N=</w:t>
      </w:r>
      <w:r>
        <w:rPr>
          <w:spacing w:val="3"/>
          <w:position w:val="1"/>
          <w:vertAlign w:val="baseline"/>
        </w:rPr>
        <w:t> </w:t>
      </w:r>
      <w:r>
        <w:rPr>
          <w:position w:val="1"/>
          <w:vertAlign w:val="baseline"/>
        </w:rPr>
        <w:t>population</w:t>
      </w:r>
      <w:r>
        <w:rPr>
          <w:spacing w:val="5"/>
          <w:position w:val="1"/>
          <w:vertAlign w:val="baseline"/>
        </w:rPr>
        <w:t> </w:t>
      </w:r>
      <w:r>
        <w:rPr>
          <w:position w:val="1"/>
          <w:vertAlign w:val="baseline"/>
        </w:rPr>
        <w:t>size;</w:t>
      </w:r>
      <w:r>
        <w:rPr>
          <w:spacing w:val="5"/>
          <w:position w:val="1"/>
          <w:vertAlign w:val="baseline"/>
        </w:rPr>
        <w:t> </w:t>
      </w:r>
      <w:r>
        <w:rPr>
          <w:position w:val="1"/>
          <w:vertAlign w:val="baseline"/>
        </w:rPr>
        <w:t>P</w:t>
      </w:r>
      <w:r>
        <w:rPr>
          <w:spacing w:val="72"/>
          <w:position w:val="1"/>
          <w:vertAlign w:val="baseline"/>
        </w:rPr>
        <w:t> </w:t>
      </w:r>
      <w:r>
        <w:rPr>
          <w:spacing w:val="-10"/>
          <w:position w:val="1"/>
          <w:vertAlign w:val="baseline"/>
        </w:rPr>
        <w:t>=</w:t>
      </w:r>
    </w:p>
    <w:p>
      <w:pPr>
        <w:pStyle w:val="BodyText"/>
        <w:spacing w:before="273"/>
        <w:ind w:left="267"/>
      </w:pPr>
      <w:r>
        <w:rPr>
          <w:position w:val="1"/>
        </w:rPr>
        <w:t>standard</w:t>
      </w:r>
      <w:r>
        <w:rPr>
          <w:spacing w:val="13"/>
          <w:position w:val="1"/>
        </w:rPr>
        <w:t> </w:t>
      </w:r>
      <w:r>
        <w:rPr>
          <w:position w:val="1"/>
        </w:rPr>
        <w:t>deviation</w:t>
      </w:r>
      <w:r>
        <w:rPr>
          <w:spacing w:val="14"/>
          <w:position w:val="1"/>
        </w:rPr>
        <w:t> </w:t>
      </w:r>
      <w:r>
        <w:rPr>
          <w:position w:val="1"/>
        </w:rPr>
        <w:t>of</w:t>
      </w:r>
      <w:r>
        <w:rPr>
          <w:spacing w:val="13"/>
          <w:position w:val="1"/>
        </w:rPr>
        <w:t> </w:t>
      </w:r>
      <w:r>
        <w:rPr>
          <w:position w:val="1"/>
        </w:rPr>
        <w:t>the</w:t>
      </w:r>
      <w:r>
        <w:rPr>
          <w:spacing w:val="16"/>
          <w:position w:val="1"/>
        </w:rPr>
        <w:t> </w:t>
      </w:r>
      <w:r>
        <w:rPr>
          <w:position w:val="1"/>
        </w:rPr>
        <w:t>population</w:t>
      </w:r>
      <w:r>
        <w:rPr>
          <w:spacing w:val="14"/>
          <w:position w:val="1"/>
        </w:rPr>
        <w:t> </w:t>
      </w:r>
      <w:r>
        <w:rPr>
          <w:position w:val="1"/>
        </w:rPr>
        <w:t>size</w:t>
      </w:r>
      <w:r>
        <w:rPr>
          <w:spacing w:val="13"/>
          <w:position w:val="1"/>
        </w:rPr>
        <w:t> </w:t>
      </w:r>
      <w:r>
        <w:rPr>
          <w:position w:val="1"/>
        </w:rPr>
        <w:t>(which</w:t>
      </w:r>
      <w:r>
        <w:rPr>
          <w:spacing w:val="13"/>
          <w:position w:val="1"/>
        </w:rPr>
        <w:t> </w:t>
      </w:r>
      <w:r>
        <w:rPr>
          <w:position w:val="1"/>
        </w:rPr>
        <w:t>in</w:t>
      </w:r>
      <w:r>
        <w:rPr>
          <w:spacing w:val="14"/>
          <w:position w:val="1"/>
        </w:rPr>
        <w:t> </w:t>
      </w:r>
      <w:r>
        <w:rPr>
          <w:position w:val="1"/>
        </w:rPr>
        <w:t>this</w:t>
      </w:r>
      <w:r>
        <w:rPr>
          <w:spacing w:val="20"/>
          <w:position w:val="1"/>
        </w:rPr>
        <w:t> </w:t>
      </w:r>
      <w:r>
        <w:rPr>
          <w:position w:val="1"/>
        </w:rPr>
        <w:t>case</w:t>
      </w:r>
      <w:r>
        <w:rPr>
          <w:spacing w:val="13"/>
          <w:position w:val="1"/>
        </w:rPr>
        <w:t> </w:t>
      </w:r>
      <w:r>
        <w:rPr>
          <w:position w:val="1"/>
        </w:rPr>
        <w:t>is</w:t>
      </w:r>
      <w:r>
        <w:rPr>
          <w:spacing w:val="15"/>
          <w:position w:val="1"/>
        </w:rPr>
        <w:t> </w:t>
      </w:r>
      <w:r>
        <w:rPr>
          <w:position w:val="1"/>
        </w:rPr>
        <w:t>0.5);</w:t>
      </w:r>
      <w:r>
        <w:rPr>
          <w:spacing w:val="14"/>
          <w:position w:val="1"/>
        </w:rPr>
        <w:t> </w:t>
      </w:r>
      <w:r>
        <w:rPr>
          <w:position w:val="1"/>
        </w:rPr>
        <w:t>and</w:t>
      </w:r>
      <w:r>
        <w:rPr>
          <w:spacing w:val="65"/>
          <w:position w:val="1"/>
        </w:rPr>
        <w:t> </w:t>
      </w:r>
      <w:r>
        <w:rPr>
          <w:i/>
          <w:sz w:val="22"/>
        </w:rPr>
        <w:t>ME</w:t>
      </w:r>
      <w:r>
        <w:rPr>
          <w:sz w:val="22"/>
          <w:vertAlign w:val="superscript"/>
        </w:rPr>
        <w:t>2</w:t>
      </w:r>
      <w:r>
        <w:rPr>
          <w:spacing w:val="-5"/>
          <w:sz w:val="22"/>
          <w:vertAlign w:val="baseline"/>
        </w:rPr>
        <w:t> </w:t>
      </w:r>
      <w:r>
        <w:rPr>
          <w:position w:val="1"/>
          <w:vertAlign w:val="baseline"/>
        </w:rPr>
        <w:t>=</w:t>
      </w:r>
      <w:r>
        <w:rPr>
          <w:spacing w:val="17"/>
          <w:position w:val="1"/>
          <w:vertAlign w:val="baseline"/>
        </w:rPr>
        <w:t> </w:t>
      </w:r>
      <w:r>
        <w:rPr>
          <w:position w:val="1"/>
          <w:vertAlign w:val="baseline"/>
        </w:rPr>
        <w:t>the</w:t>
      </w:r>
      <w:r>
        <w:rPr>
          <w:spacing w:val="13"/>
          <w:position w:val="1"/>
          <w:vertAlign w:val="baseline"/>
        </w:rPr>
        <w:t> </w:t>
      </w:r>
      <w:r>
        <w:rPr>
          <w:spacing w:val="-2"/>
          <w:position w:val="1"/>
          <w:vertAlign w:val="baseline"/>
        </w:rPr>
        <w:t>square</w:t>
      </w:r>
    </w:p>
    <w:p>
      <w:pPr>
        <w:pStyle w:val="BodyText"/>
        <w:spacing w:before="274"/>
        <w:ind w:left="267"/>
      </w:pPr>
      <w:r>
        <w:rPr/>
        <w:t>margin</w:t>
      </w:r>
      <w:r>
        <w:rPr>
          <w:spacing w:val="-1"/>
        </w:rPr>
        <w:t> </w:t>
      </w:r>
      <w:r>
        <w:rPr/>
        <w:t>of</w:t>
      </w:r>
      <w:r>
        <w:rPr>
          <w:spacing w:val="-1"/>
        </w:rPr>
        <w:t> </w:t>
      </w:r>
      <w:r>
        <w:rPr/>
        <w:t>error</w:t>
      </w:r>
      <w:r>
        <w:rPr>
          <w:spacing w:val="-2"/>
        </w:rPr>
        <w:t> </w:t>
      </w:r>
      <w:r>
        <w:rPr/>
        <w:t>(5%).</w:t>
      </w:r>
      <w:r>
        <w:rPr>
          <w:spacing w:val="-1"/>
        </w:rPr>
        <w:t> </w:t>
      </w:r>
      <w:r>
        <w:rPr/>
        <w:t>Using</w:t>
      </w:r>
      <w:r>
        <w:rPr>
          <w:spacing w:val="-2"/>
        </w:rPr>
        <w:t> equation:</w:t>
      </w:r>
    </w:p>
    <w:p>
      <w:pPr>
        <w:pStyle w:val="BodyText"/>
        <w:spacing w:before="9"/>
        <w:rPr>
          <w:sz w:val="16"/>
        </w:rPr>
      </w:pPr>
    </w:p>
    <w:p>
      <w:pPr>
        <w:spacing w:after="0"/>
        <w:rPr>
          <w:sz w:val="16"/>
        </w:rPr>
        <w:sectPr>
          <w:type w:val="continuous"/>
          <w:pgSz w:w="12240" w:h="15840"/>
          <w:pgMar w:header="0" w:footer="1068" w:top="1340" w:bottom="1260" w:left="1720" w:right="680"/>
        </w:sectPr>
      </w:pPr>
    </w:p>
    <w:p>
      <w:pPr>
        <w:tabs>
          <w:tab w:pos="1280" w:val="left" w:leader="none"/>
        </w:tabs>
        <w:spacing w:line="168" w:lineRule="auto" w:before="104"/>
        <w:ind w:left="267"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2498560">
                <wp:simplePos x="0" y="0"/>
                <wp:positionH relativeFrom="page">
                  <wp:posOffset>1550161</wp:posOffset>
                </wp:positionH>
                <wp:positionV relativeFrom="paragraph">
                  <wp:posOffset>213339</wp:posOffset>
                </wp:positionV>
                <wp:extent cx="1964689" cy="1079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964689" cy="10795"/>
                        </a:xfrm>
                        <a:custGeom>
                          <a:avLst/>
                          <a:gdLst/>
                          <a:ahLst/>
                          <a:cxnLst/>
                          <a:rect l="l" t="t" r="r" b="b"/>
                          <a:pathLst>
                            <a:path w="1964689" h="10795">
                              <a:moveTo>
                                <a:pt x="1964689" y="0"/>
                              </a:moveTo>
                              <a:lnTo>
                                <a:pt x="0" y="0"/>
                              </a:lnTo>
                              <a:lnTo>
                                <a:pt x="0" y="10667"/>
                              </a:lnTo>
                              <a:lnTo>
                                <a:pt x="1964689" y="10667"/>
                              </a:lnTo>
                              <a:lnTo>
                                <a:pt x="1964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059998pt;margin-top:16.798351pt;width:154.7pt;height:.84pt;mso-position-horizontal-relative:page;mso-position-vertical-relative:paragraph;z-index:-20817920" id="docshape78" filled="true" fillcolor="#000000" stroked="false">
                <v:fill type="solid"/>
                <w10:wrap type="none"/>
              </v:rect>
            </w:pict>
          </mc:Fallback>
        </mc:AlternateContent>
      </w:r>
      <w:r>
        <w:rPr>
          <w:rFonts w:ascii="Cambria Math" w:hAnsi="Cambria Math" w:eastAsia="Cambria Math"/>
          <w:position w:val="-13"/>
          <w:sz w:val="24"/>
        </w:rPr>
        <w:t>𝑛</w:t>
      </w:r>
      <w:r>
        <w:rPr>
          <w:rFonts w:ascii="Cambria Math" w:hAnsi="Cambria Math" w:eastAsia="Cambria Math"/>
          <w:spacing w:val="18"/>
          <w:position w:val="-13"/>
          <w:sz w:val="24"/>
        </w:rPr>
        <w:t> </w:t>
      </w:r>
      <w:r>
        <w:rPr>
          <w:rFonts w:ascii="Cambria Math" w:hAnsi="Cambria Math" w:eastAsia="Cambria Math"/>
          <w:spacing w:val="-12"/>
          <w:position w:val="-13"/>
          <w:sz w:val="24"/>
        </w:rPr>
        <w:t>=</w:t>
      </w:r>
      <w:r>
        <w:rPr>
          <w:rFonts w:ascii="Cambria Math" w:hAnsi="Cambria Math" w:eastAsia="Cambria Math"/>
          <w:position w:val="-13"/>
          <w:sz w:val="24"/>
        </w:rPr>
        <w:tab/>
      </w:r>
      <w:r>
        <w:rPr>
          <w:rFonts w:ascii="Cambria Math" w:hAnsi="Cambria Math" w:eastAsia="Cambria Math"/>
          <w:spacing w:val="-2"/>
          <w:sz w:val="17"/>
        </w:rPr>
        <w:t>1.96</w:t>
      </w:r>
      <w:r>
        <w:rPr>
          <w:rFonts w:ascii="Cambria Math" w:hAnsi="Cambria Math" w:eastAsia="Cambria Math"/>
          <w:spacing w:val="-2"/>
          <w:position w:val="6"/>
          <w:sz w:val="14"/>
        </w:rPr>
        <w:t>2</w:t>
      </w:r>
      <w:r>
        <w:rPr>
          <w:rFonts w:ascii="Cambria Math" w:hAnsi="Cambria Math" w:eastAsia="Cambria Math"/>
          <w:spacing w:val="-2"/>
          <w:sz w:val="17"/>
        </w:rPr>
        <w:t>∗22591∗0.5∗(1−0.5)</w:t>
      </w:r>
    </w:p>
    <w:p>
      <w:pPr>
        <w:spacing w:line="164" w:lineRule="exact" w:before="0"/>
        <w:ind w:left="721" w:right="0" w:firstLine="0"/>
        <w:jc w:val="left"/>
        <w:rPr>
          <w:rFonts w:ascii="Cambria Math" w:hAnsi="Cambria Math"/>
          <w:sz w:val="17"/>
        </w:rPr>
      </w:pPr>
      <w:r>
        <w:rPr>
          <w:rFonts w:ascii="Cambria Math" w:hAnsi="Cambria Math"/>
          <w:spacing w:val="-2"/>
          <w:sz w:val="17"/>
        </w:rPr>
        <w:t>(0.05</w:t>
      </w:r>
      <w:r>
        <w:rPr>
          <w:rFonts w:ascii="Cambria Math" w:hAnsi="Cambria Math"/>
          <w:spacing w:val="-2"/>
          <w:position w:val="5"/>
          <w:sz w:val="14"/>
        </w:rPr>
        <w:t>2</w:t>
      </w:r>
      <w:r>
        <w:rPr>
          <w:rFonts w:ascii="Cambria Math" w:hAnsi="Cambria Math"/>
          <w:spacing w:val="-2"/>
          <w:sz w:val="17"/>
        </w:rPr>
        <w:t>∗(22591−1)+(1.96</w:t>
      </w:r>
      <w:r>
        <w:rPr>
          <w:rFonts w:ascii="Cambria Math" w:hAnsi="Cambria Math"/>
          <w:spacing w:val="-2"/>
          <w:position w:val="5"/>
          <w:sz w:val="14"/>
        </w:rPr>
        <w:t>2</w:t>
      </w:r>
      <w:r>
        <w:rPr>
          <w:rFonts w:ascii="Cambria Math" w:hAnsi="Cambria Math"/>
          <w:spacing w:val="-2"/>
          <w:sz w:val="17"/>
        </w:rPr>
        <w:t>∗0.5∗(1−0.5))</w:t>
      </w:r>
    </w:p>
    <w:p>
      <w:pPr>
        <w:pStyle w:val="BodyText"/>
        <w:spacing w:before="188"/>
        <w:ind w:left="18"/>
      </w:pPr>
      <w:r>
        <w:rPr/>
        <w:br w:type="column"/>
      </w:r>
      <w:r>
        <w:rPr>
          <w:spacing w:val="-2"/>
        </w:rPr>
        <w:t>……………………………………..(3.2)</w:t>
      </w:r>
    </w:p>
    <w:p>
      <w:pPr>
        <w:spacing w:after="0"/>
        <w:sectPr>
          <w:type w:val="continuous"/>
          <w:pgSz w:w="12240" w:h="15840"/>
          <w:pgMar w:header="0" w:footer="1068" w:top="1340" w:bottom="1260" w:left="1720" w:right="680"/>
          <w:cols w:num="2" w:equalWidth="0">
            <w:col w:w="3819" w:space="40"/>
            <w:col w:w="5981"/>
          </w:cols>
        </w:sectPr>
      </w:pPr>
    </w:p>
    <w:p>
      <w:pPr>
        <w:pStyle w:val="BodyText"/>
        <w:spacing w:line="480" w:lineRule="auto" w:before="274"/>
        <w:ind w:left="267" w:right="726"/>
        <w:jc w:val="both"/>
      </w:pPr>
      <w:r>
        <w:rPr/>
        <w:t>The application of this sample size formula to the 22,591 households’ population given the chi-square value of 1.96 (which is the critical value of the area under the curve in a normal distribution),</w:t>
      </w:r>
      <w:r>
        <w:rPr>
          <w:spacing w:val="-6"/>
        </w:rPr>
        <w:t> </w:t>
      </w:r>
      <w:r>
        <w:rPr/>
        <w:t>with</w:t>
      </w:r>
      <w:r>
        <w:rPr>
          <w:spacing w:val="-8"/>
        </w:rPr>
        <w:t> </w:t>
      </w:r>
      <w:r>
        <w:rPr/>
        <w:t>a</w:t>
      </w:r>
      <w:r>
        <w:rPr>
          <w:spacing w:val="-6"/>
        </w:rPr>
        <w:t> </w:t>
      </w:r>
      <w:r>
        <w:rPr/>
        <w:t>population</w:t>
      </w:r>
      <w:r>
        <w:rPr>
          <w:spacing w:val="-5"/>
        </w:rPr>
        <w:t> </w:t>
      </w:r>
      <w:r>
        <w:rPr/>
        <w:t>proportion</w:t>
      </w:r>
      <w:r>
        <w:rPr>
          <w:spacing w:val="-6"/>
        </w:rPr>
        <w:t> </w:t>
      </w:r>
      <w:r>
        <w:rPr/>
        <w:t>of</w:t>
      </w:r>
      <w:r>
        <w:rPr>
          <w:spacing w:val="-7"/>
        </w:rPr>
        <w:t> </w:t>
      </w:r>
      <w:r>
        <w:rPr/>
        <w:t>0.5</w:t>
      </w:r>
      <w:r>
        <w:rPr>
          <w:spacing w:val="-6"/>
        </w:rPr>
        <w:t> </w:t>
      </w:r>
      <w:r>
        <w:rPr/>
        <w:t>and</w:t>
      </w:r>
      <w:r>
        <w:rPr>
          <w:spacing w:val="-6"/>
        </w:rPr>
        <w:t> </w:t>
      </w:r>
      <w:r>
        <w:rPr/>
        <w:t>margin</w:t>
      </w:r>
      <w:r>
        <w:rPr>
          <w:spacing w:val="-5"/>
        </w:rPr>
        <w:t> </w:t>
      </w:r>
      <w:r>
        <w:rPr/>
        <w:t>of</w:t>
      </w:r>
      <w:r>
        <w:rPr>
          <w:spacing w:val="-7"/>
        </w:rPr>
        <w:t> </w:t>
      </w:r>
      <w:r>
        <w:rPr/>
        <w:t>error</w:t>
      </w:r>
      <w:r>
        <w:rPr>
          <w:spacing w:val="-7"/>
        </w:rPr>
        <w:t> </w:t>
      </w:r>
      <w:r>
        <w:rPr/>
        <w:t>of</w:t>
      </w:r>
      <w:r>
        <w:rPr>
          <w:spacing w:val="-7"/>
        </w:rPr>
        <w:t> </w:t>
      </w:r>
      <w:r>
        <w:rPr/>
        <w:t>±</w:t>
      </w:r>
      <w:r>
        <w:rPr>
          <w:spacing w:val="-5"/>
        </w:rPr>
        <w:t> </w:t>
      </w:r>
      <w:r>
        <w:rPr/>
        <w:t>5%,</w:t>
      </w:r>
      <w:r>
        <w:rPr>
          <w:spacing w:val="-6"/>
        </w:rPr>
        <w:t> </w:t>
      </w:r>
      <w:r>
        <w:rPr/>
        <w:t>will</w:t>
      </w:r>
      <w:r>
        <w:rPr>
          <w:spacing w:val="-3"/>
        </w:rPr>
        <w:t> </w:t>
      </w:r>
      <w:r>
        <w:rPr/>
        <w:t>yield</w:t>
      </w:r>
      <w:r>
        <w:rPr>
          <w:spacing w:val="-5"/>
        </w:rPr>
        <w:t> </w:t>
      </w:r>
      <w:r>
        <w:rPr/>
        <w:t>378 as</w:t>
      </w:r>
      <w:r>
        <w:rPr>
          <w:spacing w:val="-12"/>
        </w:rPr>
        <w:t> </w:t>
      </w:r>
      <w:r>
        <w:rPr/>
        <w:t>the</w:t>
      </w:r>
      <w:r>
        <w:rPr>
          <w:spacing w:val="-13"/>
        </w:rPr>
        <w:t> </w:t>
      </w:r>
      <w:r>
        <w:rPr/>
        <w:t>sample</w:t>
      </w:r>
      <w:r>
        <w:rPr>
          <w:spacing w:val="-13"/>
        </w:rPr>
        <w:t> </w:t>
      </w:r>
      <w:r>
        <w:rPr/>
        <w:t>size</w:t>
      </w:r>
      <w:r>
        <w:rPr>
          <w:spacing w:val="-13"/>
        </w:rPr>
        <w:t> </w:t>
      </w:r>
      <w:r>
        <w:rPr/>
        <w:t>required</w:t>
      </w:r>
      <w:r>
        <w:rPr>
          <w:spacing w:val="-12"/>
        </w:rPr>
        <w:t> </w:t>
      </w:r>
      <w:r>
        <w:rPr/>
        <w:t>for</w:t>
      </w:r>
      <w:r>
        <w:rPr>
          <w:spacing w:val="-14"/>
        </w:rPr>
        <w:t> </w:t>
      </w:r>
      <w:r>
        <w:rPr/>
        <w:t>this</w:t>
      </w:r>
      <w:r>
        <w:rPr>
          <w:spacing w:val="-12"/>
        </w:rPr>
        <w:t> </w:t>
      </w:r>
      <w:r>
        <w:rPr/>
        <w:t>study.</w:t>
      </w:r>
      <w:r>
        <w:rPr>
          <w:spacing w:val="-7"/>
        </w:rPr>
        <w:t> </w:t>
      </w:r>
      <w:r>
        <w:rPr/>
        <w:t>In</w:t>
      </w:r>
      <w:r>
        <w:rPr>
          <w:spacing w:val="-12"/>
        </w:rPr>
        <w:t> </w:t>
      </w:r>
      <w:r>
        <w:rPr/>
        <w:t>all,</w:t>
      </w:r>
      <w:r>
        <w:rPr>
          <w:spacing w:val="-11"/>
        </w:rPr>
        <w:t> </w:t>
      </w:r>
      <w:r>
        <w:rPr/>
        <w:t>378</w:t>
      </w:r>
      <w:r>
        <w:rPr>
          <w:spacing w:val="-12"/>
        </w:rPr>
        <w:t> </w:t>
      </w:r>
      <w:r>
        <w:rPr/>
        <w:t>(1.67%)</w:t>
      </w:r>
      <w:r>
        <w:rPr>
          <w:spacing w:val="-13"/>
        </w:rPr>
        <w:t> </w:t>
      </w:r>
      <w:r>
        <w:rPr/>
        <w:t>of</w:t>
      </w:r>
      <w:r>
        <w:rPr>
          <w:spacing w:val="-11"/>
        </w:rPr>
        <w:t> </w:t>
      </w:r>
      <w:r>
        <w:rPr/>
        <w:t>the</w:t>
      </w:r>
      <w:r>
        <w:rPr>
          <w:spacing w:val="-13"/>
        </w:rPr>
        <w:t> </w:t>
      </w:r>
      <w:r>
        <w:rPr/>
        <w:t>households</w:t>
      </w:r>
      <w:r>
        <w:rPr>
          <w:spacing w:val="-10"/>
        </w:rPr>
        <w:t> </w:t>
      </w:r>
      <w:r>
        <w:rPr/>
        <w:t>were</w:t>
      </w:r>
      <w:r>
        <w:rPr>
          <w:spacing w:val="-14"/>
        </w:rPr>
        <w:t> </w:t>
      </w:r>
      <w:r>
        <w:rPr/>
        <w:t>sampled from the entire population of 22,591 households in the study. By</w:t>
      </w:r>
      <w:r>
        <w:rPr>
          <w:spacing w:val="-3"/>
        </w:rPr>
        <w:t> </w:t>
      </w:r>
      <w:r>
        <w:rPr/>
        <w:t>reducing the likely</w:t>
      </w:r>
      <w:r>
        <w:rPr>
          <w:spacing w:val="-3"/>
        </w:rPr>
        <w:t> </w:t>
      </w:r>
      <w:r>
        <w:rPr/>
        <w:t>bias in sampling,</w:t>
      </w:r>
      <w:r>
        <w:rPr>
          <w:spacing w:val="-1"/>
        </w:rPr>
        <w:t> </w:t>
      </w:r>
      <w:r>
        <w:rPr/>
        <w:t>there is</w:t>
      </w:r>
      <w:r>
        <w:rPr>
          <w:spacing w:val="1"/>
        </w:rPr>
        <w:t> </w:t>
      </w:r>
      <w:r>
        <w:rPr/>
        <w:t>95% confidence</w:t>
      </w:r>
      <w:r>
        <w:rPr>
          <w:spacing w:val="1"/>
        </w:rPr>
        <w:t> </w:t>
      </w:r>
      <w:r>
        <w:rPr/>
        <w:t>level</w:t>
      </w:r>
      <w:r>
        <w:rPr>
          <w:spacing w:val="1"/>
        </w:rPr>
        <w:t> </w:t>
      </w:r>
      <w:r>
        <w:rPr/>
        <w:t>that</w:t>
      </w:r>
      <w:r>
        <w:rPr>
          <w:spacing w:val="1"/>
        </w:rPr>
        <w:t> </w:t>
      </w:r>
      <w:r>
        <w:rPr/>
        <w:t>this</w:t>
      </w:r>
      <w:r>
        <w:rPr>
          <w:spacing w:val="-1"/>
        </w:rPr>
        <w:t> </w:t>
      </w:r>
      <w:r>
        <w:rPr/>
        <w:t>estimate from</w:t>
      </w:r>
      <w:r>
        <w:rPr>
          <w:spacing w:val="2"/>
        </w:rPr>
        <w:t> </w:t>
      </w:r>
      <w:r>
        <w:rPr/>
        <w:t>the</w:t>
      </w:r>
      <w:r>
        <w:rPr>
          <w:spacing w:val="6"/>
        </w:rPr>
        <w:t> </w:t>
      </w:r>
      <w:r>
        <w:rPr/>
        <w:t>entire</w:t>
      </w:r>
      <w:r>
        <w:rPr>
          <w:spacing w:val="-1"/>
        </w:rPr>
        <w:t> </w:t>
      </w:r>
      <w:r>
        <w:rPr/>
        <w:t>population</w:t>
      </w:r>
      <w:r>
        <w:rPr>
          <w:spacing w:val="1"/>
        </w:rPr>
        <w:t> </w:t>
      </w:r>
      <w:r>
        <w:rPr/>
        <w:t>will</w:t>
      </w:r>
      <w:r>
        <w:rPr>
          <w:spacing w:val="2"/>
        </w:rPr>
        <w:t> </w:t>
      </w:r>
      <w:r>
        <w:rPr>
          <w:spacing w:val="-5"/>
        </w:rPr>
        <w:t>be</w:t>
      </w:r>
    </w:p>
    <w:p>
      <w:pPr>
        <w:pStyle w:val="BodyText"/>
        <w:ind w:left="267"/>
        <w:jc w:val="both"/>
      </w:pPr>
      <w:r>
        <w:rPr/>
        <w:t>±</w:t>
      </w:r>
      <w:r>
        <w:rPr>
          <w:spacing w:val="-3"/>
        </w:rPr>
        <w:t> </w:t>
      </w:r>
      <w:r>
        <w:rPr/>
        <w:t>1.67 %</w:t>
      </w:r>
      <w:r>
        <w:rPr>
          <w:spacing w:val="-1"/>
        </w:rPr>
        <w:t> </w:t>
      </w:r>
      <w:r>
        <w:rPr/>
        <w:t>of</w:t>
      </w:r>
      <w:r>
        <w:rPr>
          <w:spacing w:val="-1"/>
        </w:rPr>
        <w:t> </w:t>
      </w:r>
      <w:r>
        <w:rPr/>
        <w:t>the</w:t>
      </w:r>
      <w:r>
        <w:rPr>
          <w:spacing w:val="-2"/>
        </w:rPr>
        <w:t> </w:t>
      </w:r>
      <w:r>
        <w:rPr/>
        <w:t>margin of</w:t>
      </w:r>
      <w:r>
        <w:rPr>
          <w:spacing w:val="-1"/>
        </w:rPr>
        <w:t> </w:t>
      </w:r>
      <w:r>
        <w:rPr/>
        <w:t>error (between –</w:t>
      </w:r>
      <w:r>
        <w:rPr>
          <w:spacing w:val="-1"/>
        </w:rPr>
        <w:t> </w:t>
      </w:r>
      <w:r>
        <w:rPr/>
        <w:t>3.33%</w:t>
      </w:r>
      <w:r>
        <w:rPr>
          <w:spacing w:val="1"/>
        </w:rPr>
        <w:t> </w:t>
      </w:r>
      <w:r>
        <w:rPr/>
        <w:t>and +</w:t>
      </w:r>
      <w:r>
        <w:rPr>
          <w:spacing w:val="-2"/>
        </w:rPr>
        <w:t> </w:t>
      </w:r>
      <w:r>
        <w:rPr/>
        <w:t>6.67%</w:t>
      </w:r>
      <w:r>
        <w:rPr>
          <w:spacing w:val="-1"/>
        </w:rPr>
        <w:t> </w:t>
      </w:r>
      <w:r>
        <w:rPr/>
        <w:t>for a</w:t>
      </w:r>
      <w:r>
        <w:rPr>
          <w:spacing w:val="-3"/>
        </w:rPr>
        <w:t> </w:t>
      </w:r>
      <w:r>
        <w:rPr/>
        <w:t>5%</w:t>
      </w:r>
      <w:r>
        <w:rPr>
          <w:spacing w:val="-1"/>
        </w:rPr>
        <w:t> </w:t>
      </w:r>
      <w:r>
        <w:rPr/>
        <w:t>margin of </w:t>
      </w:r>
      <w:r>
        <w:rPr>
          <w:spacing w:val="-2"/>
        </w:rPr>
        <w:t>error).</w:t>
      </w:r>
    </w:p>
    <w:p>
      <w:pPr>
        <w:pStyle w:val="BodyText"/>
      </w:pPr>
    </w:p>
    <w:p>
      <w:pPr>
        <w:pStyle w:val="BodyText"/>
        <w:spacing w:before="7"/>
      </w:pPr>
    </w:p>
    <w:p>
      <w:pPr>
        <w:pStyle w:val="Heading1"/>
        <w:numPr>
          <w:ilvl w:val="1"/>
          <w:numId w:val="9"/>
        </w:numPr>
        <w:tabs>
          <w:tab w:pos="746" w:val="left" w:leader="none"/>
        </w:tabs>
        <w:spacing w:line="240" w:lineRule="auto" w:before="1" w:after="0"/>
        <w:ind w:left="746" w:right="0" w:hanging="479"/>
        <w:jc w:val="left"/>
      </w:pPr>
      <w:r>
        <w:rPr/>
        <w:t>Sampling</w:t>
      </w:r>
      <w:r>
        <w:rPr>
          <w:spacing w:val="-2"/>
        </w:rPr>
        <w:t> </w:t>
      </w:r>
      <w:r>
        <w:rPr/>
        <w:t>Method</w:t>
      </w:r>
      <w:r>
        <w:rPr>
          <w:spacing w:val="-2"/>
        </w:rPr>
        <w:t> </w:t>
      </w:r>
      <w:r>
        <w:rPr/>
        <w:t>and</w:t>
      </w:r>
      <w:r>
        <w:rPr>
          <w:spacing w:val="-1"/>
        </w:rPr>
        <w:t> </w:t>
      </w:r>
      <w:r>
        <w:rPr>
          <w:spacing w:val="-2"/>
        </w:rPr>
        <w:t>Technique</w:t>
      </w:r>
    </w:p>
    <w:p>
      <w:pPr>
        <w:pStyle w:val="BodyText"/>
        <w:spacing w:before="14"/>
        <w:rPr>
          <w:b/>
        </w:rPr>
      </w:pPr>
    </w:p>
    <w:p>
      <w:pPr>
        <w:pStyle w:val="BodyText"/>
        <w:spacing w:line="480" w:lineRule="auto" w:before="1"/>
        <w:ind w:left="267" w:right="727"/>
        <w:jc w:val="both"/>
      </w:pPr>
      <w:r>
        <w:rPr/>
        <w:t>Cluster random sampling approach was employed in the selection of households for the study. Such approach involved the selection of samples in three (3) stages. The first stage entailed the identification of the major cities (Minna, Suleja, Kontagora and Bida) in Niger State, in which Minna was chosen as the state capital. The second stage was the delineation of</w:t>
      </w:r>
      <w:r>
        <w:rPr>
          <w:spacing w:val="-9"/>
        </w:rPr>
        <w:t> </w:t>
      </w:r>
      <w:r>
        <w:rPr/>
        <w:t>Minna</w:t>
      </w:r>
      <w:r>
        <w:rPr>
          <w:spacing w:val="-6"/>
        </w:rPr>
        <w:t> </w:t>
      </w:r>
      <w:r>
        <w:rPr/>
        <w:t>into</w:t>
      </w:r>
      <w:r>
        <w:rPr>
          <w:spacing w:val="-6"/>
        </w:rPr>
        <w:t> </w:t>
      </w:r>
      <w:r>
        <w:rPr/>
        <w:t>four</w:t>
      </w:r>
      <w:r>
        <w:rPr>
          <w:spacing w:val="-6"/>
        </w:rPr>
        <w:t> </w:t>
      </w:r>
      <w:r>
        <w:rPr/>
        <w:t>(4)</w:t>
      </w:r>
      <w:r>
        <w:rPr>
          <w:spacing w:val="-8"/>
        </w:rPr>
        <w:t> </w:t>
      </w:r>
      <w:r>
        <w:rPr/>
        <w:t>regions/zones</w:t>
      </w:r>
      <w:r>
        <w:rPr>
          <w:spacing w:val="-3"/>
        </w:rPr>
        <w:t> </w:t>
      </w:r>
      <w:r>
        <w:rPr/>
        <w:t>(North,</w:t>
      </w:r>
      <w:r>
        <w:rPr>
          <w:spacing w:val="-6"/>
        </w:rPr>
        <w:t> </w:t>
      </w:r>
      <w:r>
        <w:rPr/>
        <w:t>South,</w:t>
      </w:r>
      <w:r>
        <w:rPr>
          <w:spacing w:val="-5"/>
        </w:rPr>
        <w:t> </w:t>
      </w:r>
      <w:r>
        <w:rPr/>
        <w:t>East</w:t>
      </w:r>
      <w:r>
        <w:rPr>
          <w:spacing w:val="-6"/>
        </w:rPr>
        <w:t> </w:t>
      </w:r>
      <w:r>
        <w:rPr/>
        <w:t>and</w:t>
      </w:r>
      <w:r>
        <w:rPr>
          <w:spacing w:val="-6"/>
        </w:rPr>
        <w:t> </w:t>
      </w:r>
      <w:r>
        <w:rPr/>
        <w:t>West).</w:t>
      </w:r>
      <w:r>
        <w:rPr>
          <w:spacing w:val="-5"/>
        </w:rPr>
        <w:t> </w:t>
      </w:r>
      <w:r>
        <w:rPr/>
        <w:t>The</w:t>
      </w:r>
      <w:r>
        <w:rPr>
          <w:spacing w:val="-7"/>
        </w:rPr>
        <w:t> </w:t>
      </w:r>
      <w:r>
        <w:rPr/>
        <w:t>third</w:t>
      </w:r>
      <w:r>
        <w:rPr>
          <w:spacing w:val="-6"/>
        </w:rPr>
        <w:t> </w:t>
      </w:r>
      <w:r>
        <w:rPr/>
        <w:t>stage</w:t>
      </w:r>
      <w:r>
        <w:rPr>
          <w:spacing w:val="-6"/>
        </w:rPr>
        <w:t> </w:t>
      </w:r>
      <w:r>
        <w:rPr>
          <w:spacing w:val="-2"/>
        </w:rPr>
        <w:t>involved</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right="724"/>
        <w:jc w:val="both"/>
      </w:pPr>
      <w:r>
        <w:rPr/>
        <w:t>the selection of two (2) neighbourhoods each from the four (4) zones, totaling eight (8) neigbourhoods in the study area. The two (2) selected neighbourhoods from each zone comprise one (1) covered by public water mains and one (1) not totally covered by public mains.</w:t>
      </w:r>
      <w:r>
        <w:rPr>
          <w:spacing w:val="-15"/>
        </w:rPr>
        <w:t> </w:t>
      </w:r>
      <w:r>
        <w:rPr/>
        <w:t>Finally,</w:t>
      </w:r>
      <w:r>
        <w:rPr>
          <w:spacing w:val="-15"/>
        </w:rPr>
        <w:t> </w:t>
      </w:r>
      <w:r>
        <w:rPr/>
        <w:t>the</w:t>
      </w:r>
      <w:r>
        <w:rPr>
          <w:spacing w:val="-15"/>
        </w:rPr>
        <w:t> </w:t>
      </w:r>
      <w:r>
        <w:rPr/>
        <w:t>sample</w:t>
      </w:r>
      <w:r>
        <w:rPr>
          <w:spacing w:val="-15"/>
        </w:rPr>
        <w:t> </w:t>
      </w:r>
      <w:r>
        <w:rPr/>
        <w:t>element</w:t>
      </w:r>
      <w:r>
        <w:rPr>
          <w:spacing w:val="-15"/>
        </w:rPr>
        <w:t> </w:t>
      </w:r>
      <w:r>
        <w:rPr/>
        <w:t>(households)</w:t>
      </w:r>
      <w:r>
        <w:rPr>
          <w:spacing w:val="-15"/>
        </w:rPr>
        <w:t> </w:t>
      </w:r>
      <w:r>
        <w:rPr/>
        <w:t>across</w:t>
      </w:r>
      <w:r>
        <w:rPr>
          <w:spacing w:val="-15"/>
        </w:rPr>
        <w:t> </w:t>
      </w:r>
      <w:r>
        <w:rPr/>
        <w:t>the</w:t>
      </w:r>
      <w:r>
        <w:rPr>
          <w:spacing w:val="-15"/>
        </w:rPr>
        <w:t> </w:t>
      </w:r>
      <w:r>
        <w:rPr/>
        <w:t>sampling</w:t>
      </w:r>
      <w:r>
        <w:rPr>
          <w:spacing w:val="-15"/>
        </w:rPr>
        <w:t> </w:t>
      </w:r>
      <w:r>
        <w:rPr/>
        <w:t>units</w:t>
      </w:r>
      <w:r>
        <w:rPr>
          <w:spacing w:val="-15"/>
        </w:rPr>
        <w:t> </w:t>
      </w:r>
      <w:r>
        <w:rPr/>
        <w:t>(8</w:t>
      </w:r>
      <w:r>
        <w:rPr>
          <w:spacing w:val="-15"/>
        </w:rPr>
        <w:t> </w:t>
      </w:r>
      <w:r>
        <w:rPr/>
        <w:t>neighbourhoods in Minna was randomly drawn through simple random approach. As rightly noted by Saunders </w:t>
      </w:r>
      <w:r>
        <w:rPr>
          <w:i/>
        </w:rPr>
        <w:t>et al. </w:t>
      </w:r>
      <w:r>
        <w:rPr/>
        <w:t>(2012) the choice of this approach is premised on the questionnaire survey which is considered suitable for geographical areas requiring face-to-face contact with the 378 households.</w:t>
      </w:r>
    </w:p>
    <w:p>
      <w:pPr>
        <w:pStyle w:val="Heading1"/>
        <w:numPr>
          <w:ilvl w:val="2"/>
          <w:numId w:val="9"/>
        </w:numPr>
        <w:tabs>
          <w:tab w:pos="986" w:val="left" w:leader="none"/>
        </w:tabs>
        <w:spacing w:line="240" w:lineRule="auto" w:before="8" w:after="0"/>
        <w:ind w:left="986" w:right="0" w:hanging="719"/>
        <w:jc w:val="both"/>
      </w:pPr>
      <w:r>
        <w:rPr/>
        <w:t>Questionnaire</w:t>
      </w:r>
      <w:r>
        <w:rPr>
          <w:spacing w:val="-1"/>
        </w:rPr>
        <w:t> </w:t>
      </w:r>
      <w:r>
        <w:rPr>
          <w:spacing w:val="-2"/>
        </w:rPr>
        <w:t>Distribution</w:t>
      </w:r>
    </w:p>
    <w:p>
      <w:pPr>
        <w:pStyle w:val="BodyText"/>
        <w:spacing w:before="15"/>
        <w:rPr>
          <w:b/>
        </w:rPr>
      </w:pPr>
    </w:p>
    <w:p>
      <w:pPr>
        <w:pStyle w:val="BodyText"/>
        <w:spacing w:line="480" w:lineRule="auto"/>
        <w:ind w:left="267" w:right="725"/>
        <w:jc w:val="both"/>
      </w:pPr>
      <w:r>
        <w:rPr/>
        <w:t>The questionnaire for this study was administered on the respondents (households) residing in the study area. A total of 378 questionnaire were administered and distributed on these respondents.</w:t>
      </w:r>
      <w:r>
        <w:rPr>
          <w:spacing w:val="25"/>
        </w:rPr>
        <w:t> </w:t>
      </w:r>
      <w:r>
        <w:rPr/>
        <w:t>A</w:t>
      </w:r>
      <w:r>
        <w:rPr>
          <w:spacing w:val="-15"/>
        </w:rPr>
        <w:t> </w:t>
      </w:r>
      <w:r>
        <w:rPr/>
        <w:t>breakdown</w:t>
      </w:r>
      <w:r>
        <w:rPr>
          <w:spacing w:val="-15"/>
        </w:rPr>
        <w:t> </w:t>
      </w:r>
      <w:r>
        <w:rPr/>
        <w:t>of</w:t>
      </w:r>
      <w:r>
        <w:rPr>
          <w:spacing w:val="-15"/>
        </w:rPr>
        <w:t> </w:t>
      </w:r>
      <w:r>
        <w:rPr/>
        <w:t>the</w:t>
      </w:r>
      <w:r>
        <w:rPr>
          <w:spacing w:val="-15"/>
        </w:rPr>
        <w:t> </w:t>
      </w:r>
      <w:r>
        <w:rPr/>
        <w:t>questionnaire</w:t>
      </w:r>
      <w:r>
        <w:rPr>
          <w:spacing w:val="-15"/>
        </w:rPr>
        <w:t> </w:t>
      </w:r>
      <w:r>
        <w:rPr/>
        <w:t>administered</w:t>
      </w:r>
      <w:r>
        <w:rPr>
          <w:spacing w:val="-15"/>
        </w:rPr>
        <w:t> </w:t>
      </w:r>
      <w:r>
        <w:rPr/>
        <w:t>on</w:t>
      </w:r>
      <w:r>
        <w:rPr>
          <w:spacing w:val="-15"/>
        </w:rPr>
        <w:t> </w:t>
      </w:r>
      <w:r>
        <w:rPr/>
        <w:t>the</w:t>
      </w:r>
      <w:r>
        <w:rPr>
          <w:spacing w:val="-15"/>
        </w:rPr>
        <w:t> </w:t>
      </w:r>
      <w:r>
        <w:rPr/>
        <w:t>respondents</w:t>
      </w:r>
      <w:r>
        <w:rPr>
          <w:spacing w:val="-14"/>
        </w:rPr>
        <w:t> </w:t>
      </w:r>
      <w:r>
        <w:rPr/>
        <w:t>across</w:t>
      </w:r>
      <w:r>
        <w:rPr>
          <w:spacing w:val="-15"/>
        </w:rPr>
        <w:t> </w:t>
      </w:r>
      <w:r>
        <w:rPr/>
        <w:t>study area is provided in table 3.2 below.</w:t>
      </w:r>
    </w:p>
    <w:p>
      <w:pPr>
        <w:pStyle w:val="Heading1"/>
        <w:spacing w:before="5" w:after="4"/>
        <w:jc w:val="both"/>
      </w:pPr>
      <w:r>
        <w:rPr/>
        <w:t>Table</w:t>
      </w:r>
      <w:r>
        <w:rPr>
          <w:spacing w:val="-4"/>
        </w:rPr>
        <w:t> </w:t>
      </w:r>
      <w:r>
        <w:rPr/>
        <w:t>3.2:</w:t>
      </w:r>
      <w:r>
        <w:rPr>
          <w:spacing w:val="-2"/>
        </w:rPr>
        <w:t> </w:t>
      </w:r>
      <w:r>
        <w:rPr/>
        <w:t>Questionnaire</w:t>
      </w:r>
      <w:r>
        <w:rPr>
          <w:spacing w:val="-2"/>
        </w:rPr>
        <w:t> </w:t>
      </w:r>
      <w:r>
        <w:rPr/>
        <w:t>Distribution</w:t>
      </w:r>
      <w:r>
        <w:rPr>
          <w:spacing w:val="-2"/>
        </w:rPr>
        <w:t> </w:t>
      </w:r>
      <w:r>
        <w:rPr/>
        <w:t>and</w:t>
      </w:r>
      <w:r>
        <w:rPr>
          <w:spacing w:val="-1"/>
        </w:rPr>
        <w:t> </w:t>
      </w:r>
      <w:r>
        <w:rPr/>
        <w:t>Percentage</w:t>
      </w:r>
      <w:r>
        <w:rPr>
          <w:spacing w:val="-4"/>
        </w:rPr>
        <w:t> </w:t>
      </w:r>
      <w:r>
        <w:rPr/>
        <w:t>Valid </w:t>
      </w:r>
      <w:r>
        <w:rPr>
          <w:spacing w:val="-2"/>
        </w:rPr>
        <w:t>Response</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1666"/>
        <w:gridCol w:w="1297"/>
        <w:gridCol w:w="1213"/>
        <w:gridCol w:w="981"/>
        <w:gridCol w:w="1472"/>
        <w:gridCol w:w="1555"/>
      </w:tblGrid>
      <w:tr>
        <w:trPr>
          <w:trHeight w:val="1273" w:hRule="atLeast"/>
        </w:trPr>
        <w:tc>
          <w:tcPr>
            <w:tcW w:w="669" w:type="dxa"/>
            <w:tcBorders>
              <w:top w:val="single" w:sz="8" w:space="0" w:color="000000"/>
              <w:bottom w:val="single" w:sz="8" w:space="0" w:color="000000"/>
            </w:tcBorders>
          </w:tcPr>
          <w:p>
            <w:pPr>
              <w:pStyle w:val="TableParagraph"/>
              <w:spacing w:line="228" w:lineRule="exact"/>
              <w:ind w:right="135"/>
              <w:jc w:val="right"/>
              <w:rPr>
                <w:b/>
                <w:sz w:val="20"/>
              </w:rPr>
            </w:pPr>
            <w:r>
              <w:rPr>
                <w:b/>
                <w:spacing w:val="-4"/>
                <w:sz w:val="20"/>
              </w:rPr>
              <w:t>S/No</w:t>
            </w:r>
          </w:p>
        </w:tc>
        <w:tc>
          <w:tcPr>
            <w:tcW w:w="1666" w:type="dxa"/>
            <w:tcBorders>
              <w:top w:val="single" w:sz="8" w:space="0" w:color="000000"/>
              <w:bottom w:val="single" w:sz="8" w:space="0" w:color="000000"/>
            </w:tcBorders>
          </w:tcPr>
          <w:p>
            <w:pPr>
              <w:pStyle w:val="TableParagraph"/>
              <w:spacing w:line="228" w:lineRule="exact"/>
              <w:ind w:left="108"/>
              <w:rPr>
                <w:b/>
                <w:sz w:val="20"/>
              </w:rPr>
            </w:pPr>
            <w:r>
              <w:rPr>
                <w:b/>
                <w:spacing w:val="-2"/>
                <w:sz w:val="20"/>
              </w:rPr>
              <w:t>Neighbourhood</w:t>
            </w:r>
          </w:p>
        </w:tc>
        <w:tc>
          <w:tcPr>
            <w:tcW w:w="1297" w:type="dxa"/>
            <w:tcBorders>
              <w:top w:val="single" w:sz="8" w:space="0" w:color="000000"/>
              <w:bottom w:val="single" w:sz="8" w:space="0" w:color="000000"/>
            </w:tcBorders>
          </w:tcPr>
          <w:p>
            <w:pPr>
              <w:pStyle w:val="TableParagraph"/>
              <w:ind w:left="226" w:right="157" w:firstLine="199"/>
              <w:rPr>
                <w:b/>
                <w:sz w:val="20"/>
              </w:rPr>
            </w:pPr>
            <w:r>
              <w:rPr>
                <w:b/>
                <w:sz w:val="20"/>
              </w:rPr>
              <w:t>No. of </w:t>
            </w:r>
            <w:r>
              <w:rPr>
                <w:b/>
                <w:spacing w:val="-2"/>
                <w:sz w:val="20"/>
              </w:rPr>
              <w:t>Household</w:t>
            </w:r>
          </w:p>
        </w:tc>
        <w:tc>
          <w:tcPr>
            <w:tcW w:w="1213" w:type="dxa"/>
            <w:tcBorders>
              <w:top w:val="single" w:sz="8" w:space="0" w:color="000000"/>
              <w:bottom w:val="single" w:sz="8" w:space="0" w:color="000000"/>
            </w:tcBorders>
          </w:tcPr>
          <w:p>
            <w:pPr>
              <w:pStyle w:val="TableParagraph"/>
              <w:spacing w:line="228" w:lineRule="exact"/>
              <w:ind w:left="58" w:right="1"/>
              <w:jc w:val="center"/>
              <w:rPr>
                <w:b/>
                <w:sz w:val="20"/>
              </w:rPr>
            </w:pPr>
            <w:r>
              <w:rPr>
                <w:b/>
                <w:spacing w:val="-2"/>
                <w:sz w:val="20"/>
              </w:rPr>
              <w:t>Proportion</w:t>
            </w:r>
          </w:p>
        </w:tc>
        <w:tc>
          <w:tcPr>
            <w:tcW w:w="981" w:type="dxa"/>
            <w:tcBorders>
              <w:top w:val="single" w:sz="8" w:space="0" w:color="000000"/>
              <w:bottom w:val="single" w:sz="8" w:space="0" w:color="000000"/>
            </w:tcBorders>
          </w:tcPr>
          <w:p>
            <w:pPr>
              <w:pStyle w:val="TableParagraph"/>
              <w:ind w:left="109" w:right="132"/>
              <w:rPr>
                <w:b/>
                <w:sz w:val="20"/>
              </w:rPr>
            </w:pPr>
            <w:r>
              <w:rPr>
                <w:b/>
                <w:spacing w:val="-2"/>
                <w:sz w:val="20"/>
              </w:rPr>
              <w:t>*Sample </w:t>
            </w:r>
            <w:r>
              <w:rPr>
                <w:b/>
                <w:spacing w:val="-4"/>
                <w:sz w:val="20"/>
              </w:rPr>
              <w:t>size</w:t>
            </w:r>
          </w:p>
        </w:tc>
        <w:tc>
          <w:tcPr>
            <w:tcW w:w="1472" w:type="dxa"/>
            <w:tcBorders>
              <w:top w:val="single" w:sz="8" w:space="0" w:color="000000"/>
              <w:bottom w:val="single" w:sz="8" w:space="0" w:color="000000"/>
            </w:tcBorders>
          </w:tcPr>
          <w:p>
            <w:pPr>
              <w:pStyle w:val="TableParagraph"/>
              <w:ind w:left="146"/>
              <w:rPr>
                <w:b/>
                <w:sz w:val="20"/>
              </w:rPr>
            </w:pPr>
            <w:r>
              <w:rPr>
                <w:b/>
                <w:spacing w:val="-2"/>
                <w:sz w:val="20"/>
              </w:rPr>
              <w:t>Valid questionnaire</w:t>
            </w:r>
          </w:p>
        </w:tc>
        <w:tc>
          <w:tcPr>
            <w:tcW w:w="1555" w:type="dxa"/>
            <w:tcBorders>
              <w:top w:val="single" w:sz="8" w:space="0" w:color="000000"/>
              <w:bottom w:val="single" w:sz="8" w:space="0" w:color="000000"/>
            </w:tcBorders>
          </w:tcPr>
          <w:p>
            <w:pPr>
              <w:pStyle w:val="TableParagraph"/>
              <w:ind w:left="169"/>
              <w:rPr>
                <w:b/>
                <w:sz w:val="20"/>
              </w:rPr>
            </w:pPr>
            <w:r>
              <w:rPr>
                <w:b/>
                <w:sz w:val="20"/>
              </w:rPr>
              <w:t>Percentage</w:t>
            </w:r>
            <w:r>
              <w:rPr>
                <w:b/>
                <w:spacing w:val="80"/>
                <w:sz w:val="20"/>
              </w:rPr>
              <w:t> </w:t>
            </w:r>
            <w:r>
              <w:rPr>
                <w:b/>
                <w:sz w:val="20"/>
              </w:rPr>
              <w:t>of </w:t>
            </w:r>
            <w:r>
              <w:rPr>
                <w:b/>
                <w:spacing w:val="-2"/>
                <w:sz w:val="20"/>
              </w:rPr>
              <w:t>valid questionnaire </w:t>
            </w:r>
            <w:r>
              <w:rPr>
                <w:b/>
                <w:spacing w:val="-4"/>
                <w:sz w:val="20"/>
              </w:rPr>
              <w:t>(%)</w:t>
            </w:r>
          </w:p>
        </w:tc>
      </w:tr>
      <w:tr>
        <w:trPr>
          <w:trHeight w:val="274" w:hRule="atLeast"/>
        </w:trPr>
        <w:tc>
          <w:tcPr>
            <w:tcW w:w="669" w:type="dxa"/>
            <w:tcBorders>
              <w:top w:val="single" w:sz="8" w:space="0" w:color="000000"/>
            </w:tcBorders>
          </w:tcPr>
          <w:p>
            <w:pPr>
              <w:pStyle w:val="TableParagraph"/>
              <w:ind w:right="106"/>
              <w:jc w:val="right"/>
              <w:rPr>
                <w:b/>
                <w:sz w:val="20"/>
              </w:rPr>
            </w:pPr>
            <w:r>
              <w:rPr>
                <w:b/>
                <w:spacing w:val="-10"/>
                <w:sz w:val="20"/>
              </w:rPr>
              <w:t>1</w:t>
            </w:r>
          </w:p>
        </w:tc>
        <w:tc>
          <w:tcPr>
            <w:tcW w:w="1666" w:type="dxa"/>
            <w:tcBorders>
              <w:top w:val="single" w:sz="8" w:space="0" w:color="000000"/>
            </w:tcBorders>
          </w:tcPr>
          <w:p>
            <w:pPr>
              <w:pStyle w:val="TableParagraph"/>
              <w:spacing w:line="225" w:lineRule="exact"/>
              <w:ind w:left="108"/>
              <w:rPr>
                <w:sz w:val="20"/>
              </w:rPr>
            </w:pPr>
            <w:r>
              <w:rPr>
                <w:spacing w:val="-2"/>
                <w:sz w:val="20"/>
              </w:rPr>
              <w:t>Dutsenkura</w:t>
            </w:r>
          </w:p>
        </w:tc>
        <w:tc>
          <w:tcPr>
            <w:tcW w:w="1297" w:type="dxa"/>
            <w:tcBorders>
              <w:top w:val="single" w:sz="8" w:space="0" w:color="000000"/>
            </w:tcBorders>
          </w:tcPr>
          <w:p>
            <w:pPr>
              <w:pStyle w:val="TableParagraph"/>
              <w:spacing w:line="225" w:lineRule="exact"/>
              <w:ind w:left="72"/>
              <w:jc w:val="center"/>
              <w:rPr>
                <w:sz w:val="20"/>
              </w:rPr>
            </w:pPr>
            <w:r>
              <w:rPr>
                <w:spacing w:val="-4"/>
                <w:sz w:val="20"/>
              </w:rPr>
              <w:t>4107</w:t>
            </w:r>
          </w:p>
        </w:tc>
        <w:tc>
          <w:tcPr>
            <w:tcW w:w="1213" w:type="dxa"/>
            <w:tcBorders>
              <w:top w:val="single" w:sz="8" w:space="0" w:color="000000"/>
            </w:tcBorders>
          </w:tcPr>
          <w:p>
            <w:pPr>
              <w:pStyle w:val="TableParagraph"/>
              <w:spacing w:line="225" w:lineRule="exact"/>
              <w:ind w:left="58"/>
              <w:jc w:val="center"/>
              <w:rPr>
                <w:sz w:val="20"/>
              </w:rPr>
            </w:pPr>
            <w:r>
              <w:rPr>
                <w:spacing w:val="-2"/>
                <w:sz w:val="20"/>
              </w:rPr>
              <w:t>0.182</w:t>
            </w:r>
          </w:p>
        </w:tc>
        <w:tc>
          <w:tcPr>
            <w:tcW w:w="981" w:type="dxa"/>
            <w:tcBorders>
              <w:top w:val="single" w:sz="8" w:space="0" w:color="000000"/>
            </w:tcBorders>
          </w:tcPr>
          <w:p>
            <w:pPr>
              <w:pStyle w:val="TableParagraph"/>
              <w:spacing w:line="225" w:lineRule="exact"/>
              <w:ind w:left="39"/>
              <w:jc w:val="center"/>
              <w:rPr>
                <w:sz w:val="20"/>
              </w:rPr>
            </w:pPr>
            <w:r>
              <w:rPr>
                <w:spacing w:val="-5"/>
                <w:sz w:val="20"/>
              </w:rPr>
              <w:t>69</w:t>
            </w:r>
          </w:p>
        </w:tc>
        <w:tc>
          <w:tcPr>
            <w:tcW w:w="1472" w:type="dxa"/>
            <w:tcBorders>
              <w:top w:val="single" w:sz="8" w:space="0" w:color="000000"/>
            </w:tcBorders>
          </w:tcPr>
          <w:p>
            <w:pPr>
              <w:pStyle w:val="TableParagraph"/>
              <w:spacing w:line="225" w:lineRule="exact"/>
              <w:ind w:left="101"/>
              <w:jc w:val="center"/>
              <w:rPr>
                <w:sz w:val="20"/>
              </w:rPr>
            </w:pPr>
            <w:r>
              <w:rPr>
                <w:spacing w:val="-5"/>
                <w:sz w:val="20"/>
              </w:rPr>
              <w:t>69</w:t>
            </w:r>
          </w:p>
        </w:tc>
        <w:tc>
          <w:tcPr>
            <w:tcW w:w="1555" w:type="dxa"/>
            <w:tcBorders>
              <w:top w:val="single" w:sz="8" w:space="0" w:color="000000"/>
            </w:tcBorders>
          </w:tcPr>
          <w:p>
            <w:pPr>
              <w:pStyle w:val="TableParagraph"/>
              <w:spacing w:line="225" w:lineRule="exact"/>
              <w:ind w:left="66"/>
              <w:jc w:val="center"/>
              <w:rPr>
                <w:sz w:val="20"/>
              </w:rPr>
            </w:pPr>
            <w:r>
              <w:rPr>
                <w:spacing w:val="-5"/>
                <w:sz w:val="20"/>
              </w:rPr>
              <w:t>100</w:t>
            </w:r>
          </w:p>
        </w:tc>
      </w:tr>
      <w:tr>
        <w:trPr>
          <w:trHeight w:val="314" w:hRule="atLeast"/>
        </w:trPr>
        <w:tc>
          <w:tcPr>
            <w:tcW w:w="669" w:type="dxa"/>
          </w:tcPr>
          <w:p>
            <w:pPr>
              <w:pStyle w:val="TableParagraph"/>
              <w:spacing w:before="40"/>
              <w:ind w:right="106"/>
              <w:jc w:val="right"/>
              <w:rPr>
                <w:b/>
                <w:sz w:val="20"/>
              </w:rPr>
            </w:pPr>
            <w:r>
              <w:rPr>
                <w:b/>
                <w:spacing w:val="-10"/>
                <w:sz w:val="20"/>
              </w:rPr>
              <w:t>2</w:t>
            </w:r>
          </w:p>
        </w:tc>
        <w:tc>
          <w:tcPr>
            <w:tcW w:w="1666" w:type="dxa"/>
          </w:tcPr>
          <w:p>
            <w:pPr>
              <w:pStyle w:val="TableParagraph"/>
              <w:spacing w:before="35"/>
              <w:ind w:left="108"/>
              <w:rPr>
                <w:sz w:val="20"/>
              </w:rPr>
            </w:pPr>
            <w:r>
              <w:rPr>
                <w:spacing w:val="-2"/>
                <w:sz w:val="20"/>
              </w:rPr>
              <w:t>Tudunfulani</w:t>
            </w:r>
          </w:p>
        </w:tc>
        <w:tc>
          <w:tcPr>
            <w:tcW w:w="1297" w:type="dxa"/>
          </w:tcPr>
          <w:p>
            <w:pPr>
              <w:pStyle w:val="TableParagraph"/>
              <w:spacing w:before="35"/>
              <w:ind w:left="72"/>
              <w:jc w:val="center"/>
              <w:rPr>
                <w:sz w:val="20"/>
              </w:rPr>
            </w:pPr>
            <w:r>
              <w:rPr>
                <w:spacing w:val="-4"/>
                <w:sz w:val="20"/>
              </w:rPr>
              <w:t>1910</w:t>
            </w:r>
          </w:p>
        </w:tc>
        <w:tc>
          <w:tcPr>
            <w:tcW w:w="1213" w:type="dxa"/>
          </w:tcPr>
          <w:p>
            <w:pPr>
              <w:pStyle w:val="TableParagraph"/>
              <w:spacing w:before="35"/>
              <w:ind w:left="58"/>
              <w:jc w:val="center"/>
              <w:rPr>
                <w:sz w:val="20"/>
              </w:rPr>
            </w:pPr>
            <w:r>
              <w:rPr>
                <w:spacing w:val="-2"/>
                <w:sz w:val="20"/>
              </w:rPr>
              <w:t>0.085</w:t>
            </w:r>
          </w:p>
        </w:tc>
        <w:tc>
          <w:tcPr>
            <w:tcW w:w="981" w:type="dxa"/>
          </w:tcPr>
          <w:p>
            <w:pPr>
              <w:pStyle w:val="TableParagraph"/>
              <w:spacing w:before="35"/>
              <w:ind w:left="39"/>
              <w:jc w:val="center"/>
              <w:rPr>
                <w:sz w:val="20"/>
              </w:rPr>
            </w:pPr>
            <w:r>
              <w:rPr>
                <w:spacing w:val="-5"/>
                <w:sz w:val="20"/>
              </w:rPr>
              <w:t>32</w:t>
            </w:r>
          </w:p>
        </w:tc>
        <w:tc>
          <w:tcPr>
            <w:tcW w:w="1472" w:type="dxa"/>
          </w:tcPr>
          <w:p>
            <w:pPr>
              <w:pStyle w:val="TableParagraph"/>
              <w:spacing w:before="35"/>
              <w:ind w:left="101"/>
              <w:jc w:val="center"/>
              <w:rPr>
                <w:sz w:val="20"/>
              </w:rPr>
            </w:pPr>
            <w:r>
              <w:rPr>
                <w:spacing w:val="-5"/>
                <w:sz w:val="20"/>
              </w:rPr>
              <w:t>32</w:t>
            </w:r>
          </w:p>
        </w:tc>
        <w:tc>
          <w:tcPr>
            <w:tcW w:w="1555" w:type="dxa"/>
          </w:tcPr>
          <w:p>
            <w:pPr>
              <w:pStyle w:val="TableParagraph"/>
              <w:spacing w:before="35"/>
              <w:ind w:left="66"/>
              <w:jc w:val="center"/>
              <w:rPr>
                <w:sz w:val="20"/>
              </w:rPr>
            </w:pPr>
            <w:r>
              <w:rPr>
                <w:spacing w:val="-5"/>
                <w:sz w:val="20"/>
              </w:rPr>
              <w:t>100</w:t>
            </w:r>
          </w:p>
        </w:tc>
      </w:tr>
      <w:tr>
        <w:trPr>
          <w:trHeight w:val="314" w:hRule="atLeast"/>
        </w:trPr>
        <w:tc>
          <w:tcPr>
            <w:tcW w:w="669" w:type="dxa"/>
          </w:tcPr>
          <w:p>
            <w:pPr>
              <w:pStyle w:val="TableParagraph"/>
              <w:spacing w:before="40"/>
              <w:ind w:right="106"/>
              <w:jc w:val="right"/>
              <w:rPr>
                <w:b/>
                <w:sz w:val="20"/>
              </w:rPr>
            </w:pPr>
            <w:r>
              <w:rPr>
                <w:b/>
                <w:spacing w:val="-10"/>
                <w:sz w:val="20"/>
              </w:rPr>
              <w:t>3</w:t>
            </w:r>
          </w:p>
        </w:tc>
        <w:tc>
          <w:tcPr>
            <w:tcW w:w="1666" w:type="dxa"/>
          </w:tcPr>
          <w:p>
            <w:pPr>
              <w:pStyle w:val="TableParagraph"/>
              <w:spacing w:before="35"/>
              <w:ind w:left="108"/>
              <w:rPr>
                <w:sz w:val="20"/>
              </w:rPr>
            </w:pPr>
            <w:r>
              <w:rPr>
                <w:spacing w:val="-2"/>
                <w:sz w:val="20"/>
              </w:rPr>
              <w:t>Saukakauta</w:t>
            </w:r>
          </w:p>
        </w:tc>
        <w:tc>
          <w:tcPr>
            <w:tcW w:w="1297" w:type="dxa"/>
          </w:tcPr>
          <w:p>
            <w:pPr>
              <w:pStyle w:val="TableParagraph"/>
              <w:spacing w:before="35"/>
              <w:ind w:left="72"/>
              <w:jc w:val="center"/>
              <w:rPr>
                <w:sz w:val="20"/>
              </w:rPr>
            </w:pPr>
            <w:r>
              <w:rPr>
                <w:spacing w:val="-4"/>
                <w:sz w:val="20"/>
              </w:rPr>
              <w:t>1301</w:t>
            </w:r>
          </w:p>
        </w:tc>
        <w:tc>
          <w:tcPr>
            <w:tcW w:w="1213" w:type="dxa"/>
          </w:tcPr>
          <w:p>
            <w:pPr>
              <w:pStyle w:val="TableParagraph"/>
              <w:spacing w:before="35"/>
              <w:ind w:left="58"/>
              <w:jc w:val="center"/>
              <w:rPr>
                <w:sz w:val="20"/>
              </w:rPr>
            </w:pPr>
            <w:r>
              <w:rPr>
                <w:spacing w:val="-2"/>
                <w:sz w:val="20"/>
              </w:rPr>
              <w:t>0.058</w:t>
            </w:r>
          </w:p>
        </w:tc>
        <w:tc>
          <w:tcPr>
            <w:tcW w:w="981" w:type="dxa"/>
          </w:tcPr>
          <w:p>
            <w:pPr>
              <w:pStyle w:val="TableParagraph"/>
              <w:spacing w:before="35"/>
              <w:ind w:left="39"/>
              <w:jc w:val="center"/>
              <w:rPr>
                <w:sz w:val="20"/>
              </w:rPr>
            </w:pPr>
            <w:r>
              <w:rPr>
                <w:spacing w:val="-5"/>
                <w:sz w:val="20"/>
              </w:rPr>
              <w:t>22</w:t>
            </w:r>
          </w:p>
        </w:tc>
        <w:tc>
          <w:tcPr>
            <w:tcW w:w="1472" w:type="dxa"/>
          </w:tcPr>
          <w:p>
            <w:pPr>
              <w:pStyle w:val="TableParagraph"/>
              <w:spacing w:before="35"/>
              <w:ind w:left="101"/>
              <w:jc w:val="center"/>
              <w:rPr>
                <w:sz w:val="20"/>
              </w:rPr>
            </w:pPr>
            <w:r>
              <w:rPr>
                <w:spacing w:val="-5"/>
                <w:sz w:val="20"/>
              </w:rPr>
              <w:t>22</w:t>
            </w:r>
          </w:p>
        </w:tc>
        <w:tc>
          <w:tcPr>
            <w:tcW w:w="1555" w:type="dxa"/>
          </w:tcPr>
          <w:p>
            <w:pPr>
              <w:pStyle w:val="TableParagraph"/>
              <w:spacing w:before="35"/>
              <w:ind w:left="66"/>
              <w:jc w:val="center"/>
              <w:rPr>
                <w:sz w:val="20"/>
              </w:rPr>
            </w:pPr>
            <w:r>
              <w:rPr>
                <w:spacing w:val="-5"/>
                <w:sz w:val="20"/>
              </w:rPr>
              <w:t>100</w:t>
            </w:r>
          </w:p>
        </w:tc>
      </w:tr>
      <w:tr>
        <w:trPr>
          <w:trHeight w:val="500" w:hRule="atLeast"/>
        </w:trPr>
        <w:tc>
          <w:tcPr>
            <w:tcW w:w="669" w:type="dxa"/>
          </w:tcPr>
          <w:p>
            <w:pPr>
              <w:pStyle w:val="TableParagraph"/>
              <w:spacing w:before="40"/>
              <w:ind w:right="106"/>
              <w:jc w:val="right"/>
              <w:rPr>
                <w:b/>
                <w:sz w:val="20"/>
              </w:rPr>
            </w:pPr>
            <w:r>
              <w:rPr>
                <w:b/>
                <w:spacing w:val="-10"/>
                <w:sz w:val="20"/>
              </w:rPr>
              <w:t>4</w:t>
            </w:r>
          </w:p>
        </w:tc>
        <w:tc>
          <w:tcPr>
            <w:tcW w:w="1666" w:type="dxa"/>
          </w:tcPr>
          <w:p>
            <w:pPr>
              <w:pStyle w:val="TableParagraph"/>
              <w:spacing w:line="230" w:lineRule="atLeast" w:before="20"/>
              <w:ind w:left="108" w:right="86"/>
              <w:rPr>
                <w:sz w:val="20"/>
              </w:rPr>
            </w:pPr>
            <w:r>
              <w:rPr>
                <w:spacing w:val="-2"/>
                <w:sz w:val="20"/>
              </w:rPr>
              <w:t>Tudun-Wada South</w:t>
            </w:r>
          </w:p>
        </w:tc>
        <w:tc>
          <w:tcPr>
            <w:tcW w:w="1297" w:type="dxa"/>
          </w:tcPr>
          <w:p>
            <w:pPr>
              <w:pStyle w:val="TableParagraph"/>
              <w:spacing w:before="35"/>
              <w:ind w:left="72"/>
              <w:jc w:val="center"/>
              <w:rPr>
                <w:sz w:val="20"/>
              </w:rPr>
            </w:pPr>
            <w:r>
              <w:rPr>
                <w:spacing w:val="-4"/>
                <w:sz w:val="20"/>
              </w:rPr>
              <w:t>3866</w:t>
            </w:r>
          </w:p>
        </w:tc>
        <w:tc>
          <w:tcPr>
            <w:tcW w:w="1213" w:type="dxa"/>
          </w:tcPr>
          <w:p>
            <w:pPr>
              <w:pStyle w:val="TableParagraph"/>
              <w:spacing w:before="35"/>
              <w:ind w:left="58"/>
              <w:jc w:val="center"/>
              <w:rPr>
                <w:sz w:val="20"/>
              </w:rPr>
            </w:pPr>
            <w:r>
              <w:rPr>
                <w:spacing w:val="-2"/>
                <w:sz w:val="20"/>
              </w:rPr>
              <w:t>0.171</w:t>
            </w:r>
          </w:p>
        </w:tc>
        <w:tc>
          <w:tcPr>
            <w:tcW w:w="981" w:type="dxa"/>
          </w:tcPr>
          <w:p>
            <w:pPr>
              <w:pStyle w:val="TableParagraph"/>
              <w:spacing w:before="35"/>
              <w:ind w:left="39"/>
              <w:jc w:val="center"/>
              <w:rPr>
                <w:sz w:val="20"/>
              </w:rPr>
            </w:pPr>
            <w:r>
              <w:rPr>
                <w:spacing w:val="-5"/>
                <w:sz w:val="20"/>
              </w:rPr>
              <w:t>65</w:t>
            </w:r>
          </w:p>
        </w:tc>
        <w:tc>
          <w:tcPr>
            <w:tcW w:w="1472" w:type="dxa"/>
          </w:tcPr>
          <w:p>
            <w:pPr>
              <w:pStyle w:val="TableParagraph"/>
              <w:spacing w:before="35"/>
              <w:ind w:left="101"/>
              <w:jc w:val="center"/>
              <w:rPr>
                <w:sz w:val="20"/>
              </w:rPr>
            </w:pPr>
            <w:r>
              <w:rPr>
                <w:spacing w:val="-5"/>
                <w:sz w:val="20"/>
              </w:rPr>
              <w:t>62</w:t>
            </w:r>
          </w:p>
        </w:tc>
        <w:tc>
          <w:tcPr>
            <w:tcW w:w="1555" w:type="dxa"/>
          </w:tcPr>
          <w:p>
            <w:pPr>
              <w:pStyle w:val="TableParagraph"/>
              <w:spacing w:before="35"/>
              <w:ind w:left="66"/>
              <w:jc w:val="center"/>
              <w:rPr>
                <w:sz w:val="20"/>
              </w:rPr>
            </w:pPr>
            <w:r>
              <w:rPr>
                <w:spacing w:val="-2"/>
                <w:sz w:val="20"/>
              </w:rPr>
              <w:t>95.38</w:t>
            </w:r>
          </w:p>
        </w:tc>
      </w:tr>
      <w:tr>
        <w:trPr>
          <w:trHeight w:val="275" w:hRule="atLeast"/>
        </w:trPr>
        <w:tc>
          <w:tcPr>
            <w:tcW w:w="669" w:type="dxa"/>
          </w:tcPr>
          <w:p>
            <w:pPr>
              <w:pStyle w:val="TableParagraph"/>
              <w:ind w:right="106"/>
              <w:jc w:val="right"/>
              <w:rPr>
                <w:b/>
                <w:sz w:val="20"/>
              </w:rPr>
            </w:pPr>
            <w:r>
              <w:rPr>
                <w:b/>
                <w:spacing w:val="-10"/>
                <w:sz w:val="20"/>
              </w:rPr>
              <w:t>5</w:t>
            </w:r>
          </w:p>
        </w:tc>
        <w:tc>
          <w:tcPr>
            <w:tcW w:w="1666" w:type="dxa"/>
          </w:tcPr>
          <w:p>
            <w:pPr>
              <w:pStyle w:val="TableParagraph"/>
              <w:spacing w:line="226" w:lineRule="exact"/>
              <w:ind w:left="108"/>
              <w:rPr>
                <w:sz w:val="20"/>
              </w:rPr>
            </w:pPr>
            <w:r>
              <w:rPr>
                <w:spacing w:val="-2"/>
                <w:sz w:val="20"/>
              </w:rPr>
              <w:t>Maitumbi</w:t>
            </w:r>
          </w:p>
        </w:tc>
        <w:tc>
          <w:tcPr>
            <w:tcW w:w="1297" w:type="dxa"/>
          </w:tcPr>
          <w:p>
            <w:pPr>
              <w:pStyle w:val="TableParagraph"/>
              <w:spacing w:line="226" w:lineRule="exact"/>
              <w:ind w:left="72"/>
              <w:jc w:val="center"/>
              <w:rPr>
                <w:sz w:val="20"/>
              </w:rPr>
            </w:pPr>
            <w:r>
              <w:rPr>
                <w:spacing w:val="-4"/>
                <w:sz w:val="20"/>
              </w:rPr>
              <w:t>2539</w:t>
            </w:r>
          </w:p>
        </w:tc>
        <w:tc>
          <w:tcPr>
            <w:tcW w:w="1213" w:type="dxa"/>
          </w:tcPr>
          <w:p>
            <w:pPr>
              <w:pStyle w:val="TableParagraph"/>
              <w:spacing w:line="226" w:lineRule="exact"/>
              <w:ind w:left="58"/>
              <w:jc w:val="center"/>
              <w:rPr>
                <w:sz w:val="20"/>
              </w:rPr>
            </w:pPr>
            <w:r>
              <w:rPr>
                <w:spacing w:val="-2"/>
                <w:sz w:val="20"/>
              </w:rPr>
              <w:t>0.112</w:t>
            </w:r>
          </w:p>
        </w:tc>
        <w:tc>
          <w:tcPr>
            <w:tcW w:w="981" w:type="dxa"/>
          </w:tcPr>
          <w:p>
            <w:pPr>
              <w:pStyle w:val="TableParagraph"/>
              <w:spacing w:line="226" w:lineRule="exact"/>
              <w:ind w:left="39"/>
              <w:jc w:val="center"/>
              <w:rPr>
                <w:sz w:val="20"/>
              </w:rPr>
            </w:pPr>
            <w:r>
              <w:rPr>
                <w:spacing w:val="-5"/>
                <w:sz w:val="20"/>
              </w:rPr>
              <w:t>42</w:t>
            </w:r>
          </w:p>
        </w:tc>
        <w:tc>
          <w:tcPr>
            <w:tcW w:w="1472" w:type="dxa"/>
          </w:tcPr>
          <w:p>
            <w:pPr>
              <w:pStyle w:val="TableParagraph"/>
              <w:spacing w:line="226" w:lineRule="exact"/>
              <w:ind w:left="101"/>
              <w:jc w:val="center"/>
              <w:rPr>
                <w:sz w:val="20"/>
              </w:rPr>
            </w:pPr>
            <w:r>
              <w:rPr>
                <w:spacing w:val="-5"/>
                <w:sz w:val="20"/>
              </w:rPr>
              <w:t>42</w:t>
            </w:r>
          </w:p>
        </w:tc>
        <w:tc>
          <w:tcPr>
            <w:tcW w:w="1555" w:type="dxa"/>
          </w:tcPr>
          <w:p>
            <w:pPr>
              <w:pStyle w:val="TableParagraph"/>
              <w:spacing w:line="226" w:lineRule="exact"/>
              <w:ind w:left="66"/>
              <w:jc w:val="center"/>
              <w:rPr>
                <w:sz w:val="20"/>
              </w:rPr>
            </w:pPr>
            <w:r>
              <w:rPr>
                <w:spacing w:val="-5"/>
                <w:sz w:val="20"/>
              </w:rPr>
              <w:t>100</w:t>
            </w:r>
          </w:p>
        </w:tc>
      </w:tr>
      <w:tr>
        <w:trPr>
          <w:trHeight w:val="315" w:hRule="atLeast"/>
        </w:trPr>
        <w:tc>
          <w:tcPr>
            <w:tcW w:w="669" w:type="dxa"/>
          </w:tcPr>
          <w:p>
            <w:pPr>
              <w:pStyle w:val="TableParagraph"/>
              <w:spacing w:before="40"/>
              <w:ind w:right="106"/>
              <w:jc w:val="right"/>
              <w:rPr>
                <w:b/>
                <w:sz w:val="20"/>
              </w:rPr>
            </w:pPr>
            <w:r>
              <w:rPr>
                <w:b/>
                <w:spacing w:val="-10"/>
                <w:sz w:val="20"/>
              </w:rPr>
              <w:t>6</w:t>
            </w:r>
          </w:p>
        </w:tc>
        <w:tc>
          <w:tcPr>
            <w:tcW w:w="1666" w:type="dxa"/>
          </w:tcPr>
          <w:p>
            <w:pPr>
              <w:pStyle w:val="TableParagraph"/>
              <w:spacing w:before="35"/>
              <w:ind w:left="108"/>
              <w:rPr>
                <w:sz w:val="20"/>
              </w:rPr>
            </w:pPr>
            <w:r>
              <w:rPr>
                <w:spacing w:val="-2"/>
                <w:sz w:val="20"/>
              </w:rPr>
              <w:t>F-Layout</w:t>
            </w:r>
          </w:p>
        </w:tc>
        <w:tc>
          <w:tcPr>
            <w:tcW w:w="1297" w:type="dxa"/>
          </w:tcPr>
          <w:p>
            <w:pPr>
              <w:pStyle w:val="TableParagraph"/>
              <w:spacing w:before="35"/>
              <w:ind w:left="72"/>
              <w:jc w:val="center"/>
              <w:rPr>
                <w:sz w:val="20"/>
              </w:rPr>
            </w:pPr>
            <w:r>
              <w:rPr>
                <w:spacing w:val="-5"/>
                <w:sz w:val="20"/>
              </w:rPr>
              <w:t>881</w:t>
            </w:r>
          </w:p>
        </w:tc>
        <w:tc>
          <w:tcPr>
            <w:tcW w:w="1213" w:type="dxa"/>
          </w:tcPr>
          <w:p>
            <w:pPr>
              <w:pStyle w:val="TableParagraph"/>
              <w:spacing w:before="35"/>
              <w:ind w:left="58"/>
              <w:jc w:val="center"/>
              <w:rPr>
                <w:sz w:val="20"/>
              </w:rPr>
            </w:pPr>
            <w:r>
              <w:rPr>
                <w:spacing w:val="-2"/>
                <w:sz w:val="20"/>
              </w:rPr>
              <w:t>0.039</w:t>
            </w:r>
          </w:p>
        </w:tc>
        <w:tc>
          <w:tcPr>
            <w:tcW w:w="981" w:type="dxa"/>
          </w:tcPr>
          <w:p>
            <w:pPr>
              <w:pStyle w:val="TableParagraph"/>
              <w:spacing w:before="35"/>
              <w:ind w:left="39"/>
              <w:jc w:val="center"/>
              <w:rPr>
                <w:sz w:val="20"/>
              </w:rPr>
            </w:pPr>
            <w:r>
              <w:rPr>
                <w:spacing w:val="-5"/>
                <w:sz w:val="20"/>
              </w:rPr>
              <w:t>15</w:t>
            </w:r>
          </w:p>
        </w:tc>
        <w:tc>
          <w:tcPr>
            <w:tcW w:w="1472" w:type="dxa"/>
          </w:tcPr>
          <w:p>
            <w:pPr>
              <w:pStyle w:val="TableParagraph"/>
              <w:spacing w:before="35"/>
              <w:ind w:left="101"/>
              <w:jc w:val="center"/>
              <w:rPr>
                <w:sz w:val="20"/>
              </w:rPr>
            </w:pPr>
            <w:r>
              <w:rPr>
                <w:spacing w:val="-5"/>
                <w:sz w:val="20"/>
              </w:rPr>
              <w:t>15</w:t>
            </w:r>
          </w:p>
        </w:tc>
        <w:tc>
          <w:tcPr>
            <w:tcW w:w="1555" w:type="dxa"/>
          </w:tcPr>
          <w:p>
            <w:pPr>
              <w:pStyle w:val="TableParagraph"/>
              <w:spacing w:before="35"/>
              <w:ind w:left="66"/>
              <w:jc w:val="center"/>
              <w:rPr>
                <w:sz w:val="20"/>
              </w:rPr>
            </w:pPr>
            <w:r>
              <w:rPr>
                <w:spacing w:val="-5"/>
                <w:sz w:val="20"/>
              </w:rPr>
              <w:t>100</w:t>
            </w:r>
          </w:p>
        </w:tc>
      </w:tr>
      <w:tr>
        <w:trPr>
          <w:trHeight w:val="315" w:hRule="atLeast"/>
        </w:trPr>
        <w:tc>
          <w:tcPr>
            <w:tcW w:w="669" w:type="dxa"/>
          </w:tcPr>
          <w:p>
            <w:pPr>
              <w:pStyle w:val="TableParagraph"/>
              <w:spacing w:before="41"/>
              <w:ind w:right="106"/>
              <w:jc w:val="right"/>
              <w:rPr>
                <w:b/>
                <w:sz w:val="20"/>
              </w:rPr>
            </w:pPr>
            <w:r>
              <w:rPr>
                <w:b/>
                <w:spacing w:val="-10"/>
                <w:sz w:val="20"/>
              </w:rPr>
              <w:t>7</w:t>
            </w:r>
          </w:p>
        </w:tc>
        <w:tc>
          <w:tcPr>
            <w:tcW w:w="1666" w:type="dxa"/>
          </w:tcPr>
          <w:p>
            <w:pPr>
              <w:pStyle w:val="TableParagraph"/>
              <w:spacing w:before="36"/>
              <w:ind w:left="108"/>
              <w:rPr>
                <w:sz w:val="20"/>
              </w:rPr>
            </w:pPr>
            <w:r>
              <w:rPr>
                <w:spacing w:val="-2"/>
                <w:sz w:val="20"/>
              </w:rPr>
              <w:t>Kpakungu</w:t>
            </w:r>
          </w:p>
        </w:tc>
        <w:tc>
          <w:tcPr>
            <w:tcW w:w="1297" w:type="dxa"/>
          </w:tcPr>
          <w:p>
            <w:pPr>
              <w:pStyle w:val="TableParagraph"/>
              <w:spacing w:before="36"/>
              <w:ind w:left="72"/>
              <w:jc w:val="center"/>
              <w:rPr>
                <w:sz w:val="20"/>
              </w:rPr>
            </w:pPr>
            <w:r>
              <w:rPr>
                <w:spacing w:val="-4"/>
                <w:sz w:val="20"/>
              </w:rPr>
              <w:t>3187</w:t>
            </w:r>
          </w:p>
        </w:tc>
        <w:tc>
          <w:tcPr>
            <w:tcW w:w="1213" w:type="dxa"/>
          </w:tcPr>
          <w:p>
            <w:pPr>
              <w:pStyle w:val="TableParagraph"/>
              <w:spacing w:before="36"/>
              <w:ind w:left="58"/>
              <w:jc w:val="center"/>
              <w:rPr>
                <w:sz w:val="20"/>
              </w:rPr>
            </w:pPr>
            <w:r>
              <w:rPr>
                <w:spacing w:val="-2"/>
                <w:sz w:val="20"/>
              </w:rPr>
              <w:t>0.141</w:t>
            </w:r>
          </w:p>
        </w:tc>
        <w:tc>
          <w:tcPr>
            <w:tcW w:w="981" w:type="dxa"/>
          </w:tcPr>
          <w:p>
            <w:pPr>
              <w:pStyle w:val="TableParagraph"/>
              <w:spacing w:before="36"/>
              <w:ind w:left="39"/>
              <w:jc w:val="center"/>
              <w:rPr>
                <w:sz w:val="20"/>
              </w:rPr>
            </w:pPr>
            <w:r>
              <w:rPr>
                <w:spacing w:val="-5"/>
                <w:sz w:val="20"/>
              </w:rPr>
              <w:t>53</w:t>
            </w:r>
          </w:p>
        </w:tc>
        <w:tc>
          <w:tcPr>
            <w:tcW w:w="1472" w:type="dxa"/>
          </w:tcPr>
          <w:p>
            <w:pPr>
              <w:pStyle w:val="TableParagraph"/>
              <w:spacing w:before="36"/>
              <w:ind w:left="101"/>
              <w:jc w:val="center"/>
              <w:rPr>
                <w:sz w:val="20"/>
              </w:rPr>
            </w:pPr>
            <w:r>
              <w:rPr>
                <w:spacing w:val="-5"/>
                <w:sz w:val="20"/>
              </w:rPr>
              <w:t>42</w:t>
            </w:r>
          </w:p>
        </w:tc>
        <w:tc>
          <w:tcPr>
            <w:tcW w:w="1555" w:type="dxa"/>
          </w:tcPr>
          <w:p>
            <w:pPr>
              <w:pStyle w:val="TableParagraph"/>
              <w:spacing w:before="36"/>
              <w:ind w:left="66"/>
              <w:jc w:val="center"/>
              <w:rPr>
                <w:sz w:val="20"/>
              </w:rPr>
            </w:pPr>
            <w:r>
              <w:rPr>
                <w:spacing w:val="-2"/>
                <w:sz w:val="20"/>
              </w:rPr>
              <w:t>79.25</w:t>
            </w:r>
          </w:p>
        </w:tc>
      </w:tr>
      <w:tr>
        <w:trPr>
          <w:trHeight w:val="316" w:hRule="atLeast"/>
        </w:trPr>
        <w:tc>
          <w:tcPr>
            <w:tcW w:w="669" w:type="dxa"/>
          </w:tcPr>
          <w:p>
            <w:pPr>
              <w:pStyle w:val="TableParagraph"/>
              <w:spacing w:before="40"/>
              <w:ind w:right="106"/>
              <w:jc w:val="right"/>
              <w:rPr>
                <w:b/>
                <w:sz w:val="20"/>
              </w:rPr>
            </w:pPr>
            <w:r>
              <w:rPr>
                <w:b/>
                <w:spacing w:val="-10"/>
                <w:sz w:val="20"/>
              </w:rPr>
              <w:t>8</w:t>
            </w:r>
          </w:p>
        </w:tc>
        <w:tc>
          <w:tcPr>
            <w:tcW w:w="1666" w:type="dxa"/>
          </w:tcPr>
          <w:p>
            <w:pPr>
              <w:pStyle w:val="TableParagraph"/>
              <w:spacing w:before="35"/>
              <w:ind w:left="108"/>
              <w:rPr>
                <w:sz w:val="20"/>
              </w:rPr>
            </w:pPr>
            <w:r>
              <w:rPr>
                <w:spacing w:val="-2"/>
                <w:sz w:val="20"/>
              </w:rPr>
              <w:t>Minna-Central</w:t>
            </w:r>
          </w:p>
        </w:tc>
        <w:tc>
          <w:tcPr>
            <w:tcW w:w="1297" w:type="dxa"/>
          </w:tcPr>
          <w:p>
            <w:pPr>
              <w:pStyle w:val="TableParagraph"/>
              <w:spacing w:before="35"/>
              <w:ind w:left="72"/>
              <w:jc w:val="center"/>
              <w:rPr>
                <w:sz w:val="20"/>
              </w:rPr>
            </w:pPr>
            <w:r>
              <w:rPr>
                <w:spacing w:val="-4"/>
                <w:sz w:val="20"/>
              </w:rPr>
              <w:t>4800</w:t>
            </w:r>
          </w:p>
        </w:tc>
        <w:tc>
          <w:tcPr>
            <w:tcW w:w="1213" w:type="dxa"/>
          </w:tcPr>
          <w:p>
            <w:pPr>
              <w:pStyle w:val="TableParagraph"/>
              <w:spacing w:before="35"/>
              <w:ind w:left="58"/>
              <w:jc w:val="center"/>
              <w:rPr>
                <w:sz w:val="20"/>
              </w:rPr>
            </w:pPr>
            <w:r>
              <w:rPr>
                <w:spacing w:val="-2"/>
                <w:sz w:val="20"/>
              </w:rPr>
              <w:t>0.212</w:t>
            </w:r>
          </w:p>
        </w:tc>
        <w:tc>
          <w:tcPr>
            <w:tcW w:w="981" w:type="dxa"/>
          </w:tcPr>
          <w:p>
            <w:pPr>
              <w:pStyle w:val="TableParagraph"/>
              <w:spacing w:before="35"/>
              <w:ind w:left="39"/>
              <w:jc w:val="center"/>
              <w:rPr>
                <w:sz w:val="20"/>
              </w:rPr>
            </w:pPr>
            <w:r>
              <w:rPr>
                <w:spacing w:val="-5"/>
                <w:sz w:val="20"/>
              </w:rPr>
              <w:t>80</w:t>
            </w:r>
          </w:p>
        </w:tc>
        <w:tc>
          <w:tcPr>
            <w:tcW w:w="1472" w:type="dxa"/>
          </w:tcPr>
          <w:p>
            <w:pPr>
              <w:pStyle w:val="TableParagraph"/>
              <w:spacing w:before="35"/>
              <w:ind w:left="101"/>
              <w:jc w:val="center"/>
              <w:rPr>
                <w:sz w:val="20"/>
              </w:rPr>
            </w:pPr>
            <w:r>
              <w:rPr>
                <w:spacing w:val="-5"/>
                <w:sz w:val="20"/>
              </w:rPr>
              <w:t>75</w:t>
            </w:r>
          </w:p>
        </w:tc>
        <w:tc>
          <w:tcPr>
            <w:tcW w:w="1555" w:type="dxa"/>
          </w:tcPr>
          <w:p>
            <w:pPr>
              <w:pStyle w:val="TableParagraph"/>
              <w:spacing w:before="35"/>
              <w:ind w:left="66"/>
              <w:jc w:val="center"/>
              <w:rPr>
                <w:sz w:val="20"/>
              </w:rPr>
            </w:pPr>
            <w:r>
              <w:rPr>
                <w:spacing w:val="-2"/>
                <w:sz w:val="20"/>
              </w:rPr>
              <w:t>93.75</w:t>
            </w:r>
          </w:p>
        </w:tc>
      </w:tr>
      <w:tr>
        <w:trPr>
          <w:trHeight w:val="356" w:hRule="atLeast"/>
        </w:trPr>
        <w:tc>
          <w:tcPr>
            <w:tcW w:w="669" w:type="dxa"/>
            <w:tcBorders>
              <w:bottom w:val="single" w:sz="8" w:space="0" w:color="000000"/>
            </w:tcBorders>
          </w:tcPr>
          <w:p>
            <w:pPr>
              <w:pStyle w:val="TableParagraph"/>
              <w:rPr>
                <w:sz w:val="22"/>
              </w:rPr>
            </w:pPr>
          </w:p>
        </w:tc>
        <w:tc>
          <w:tcPr>
            <w:tcW w:w="1666" w:type="dxa"/>
            <w:tcBorders>
              <w:bottom w:val="single" w:sz="8" w:space="0" w:color="000000"/>
            </w:tcBorders>
          </w:tcPr>
          <w:p>
            <w:pPr>
              <w:pStyle w:val="TableParagraph"/>
              <w:spacing w:before="37"/>
              <w:ind w:left="108"/>
              <w:rPr>
                <w:b/>
                <w:sz w:val="20"/>
              </w:rPr>
            </w:pPr>
            <w:r>
              <w:rPr>
                <w:b/>
                <w:spacing w:val="-2"/>
                <w:sz w:val="20"/>
              </w:rPr>
              <w:t>Total</w:t>
            </w:r>
          </w:p>
        </w:tc>
        <w:tc>
          <w:tcPr>
            <w:tcW w:w="1297" w:type="dxa"/>
            <w:tcBorders>
              <w:bottom w:val="single" w:sz="8" w:space="0" w:color="000000"/>
            </w:tcBorders>
          </w:tcPr>
          <w:p>
            <w:pPr>
              <w:pStyle w:val="TableParagraph"/>
              <w:spacing w:before="37"/>
              <w:ind w:left="72" w:right="4"/>
              <w:jc w:val="center"/>
              <w:rPr>
                <w:b/>
                <w:sz w:val="20"/>
              </w:rPr>
            </w:pPr>
            <w:r>
              <w:rPr>
                <w:b/>
                <w:spacing w:val="-2"/>
                <w:sz w:val="20"/>
              </w:rPr>
              <w:t>22591</w:t>
            </w:r>
          </w:p>
        </w:tc>
        <w:tc>
          <w:tcPr>
            <w:tcW w:w="1213" w:type="dxa"/>
            <w:tcBorders>
              <w:bottom w:val="single" w:sz="8" w:space="0" w:color="000000"/>
            </w:tcBorders>
          </w:tcPr>
          <w:p>
            <w:pPr>
              <w:pStyle w:val="TableParagraph"/>
              <w:rPr>
                <w:sz w:val="22"/>
              </w:rPr>
            </w:pPr>
          </w:p>
        </w:tc>
        <w:tc>
          <w:tcPr>
            <w:tcW w:w="981" w:type="dxa"/>
            <w:tcBorders>
              <w:bottom w:val="single" w:sz="8" w:space="0" w:color="000000"/>
            </w:tcBorders>
          </w:tcPr>
          <w:p>
            <w:pPr>
              <w:pStyle w:val="TableParagraph"/>
              <w:spacing w:before="37"/>
              <w:ind w:left="39"/>
              <w:jc w:val="center"/>
              <w:rPr>
                <w:b/>
                <w:sz w:val="20"/>
              </w:rPr>
            </w:pPr>
            <w:r>
              <w:rPr>
                <w:b/>
                <w:spacing w:val="-5"/>
                <w:sz w:val="20"/>
              </w:rPr>
              <w:t>378</w:t>
            </w:r>
          </w:p>
        </w:tc>
        <w:tc>
          <w:tcPr>
            <w:tcW w:w="1472" w:type="dxa"/>
            <w:tcBorders>
              <w:bottom w:val="single" w:sz="8" w:space="0" w:color="000000"/>
            </w:tcBorders>
          </w:tcPr>
          <w:p>
            <w:pPr>
              <w:pStyle w:val="TableParagraph"/>
              <w:spacing w:before="37"/>
              <w:ind w:left="101"/>
              <w:jc w:val="center"/>
              <w:rPr>
                <w:b/>
                <w:sz w:val="20"/>
              </w:rPr>
            </w:pPr>
            <w:r>
              <w:rPr>
                <w:b/>
                <w:spacing w:val="-5"/>
                <w:sz w:val="20"/>
              </w:rPr>
              <w:t>359</w:t>
            </w:r>
          </w:p>
        </w:tc>
        <w:tc>
          <w:tcPr>
            <w:tcW w:w="1555" w:type="dxa"/>
            <w:tcBorders>
              <w:bottom w:val="single" w:sz="8" w:space="0" w:color="000000"/>
            </w:tcBorders>
          </w:tcPr>
          <w:p>
            <w:pPr>
              <w:pStyle w:val="TableParagraph"/>
              <w:spacing w:before="37"/>
              <w:ind w:left="66"/>
              <w:jc w:val="center"/>
              <w:rPr>
                <w:b/>
                <w:sz w:val="20"/>
              </w:rPr>
            </w:pPr>
            <w:r>
              <w:rPr>
                <w:b/>
                <w:spacing w:val="-2"/>
                <w:sz w:val="20"/>
              </w:rPr>
              <w:t>96.38</w:t>
            </w:r>
          </w:p>
        </w:tc>
      </w:tr>
    </w:tbl>
    <w:p>
      <w:pPr>
        <w:spacing w:line="274" w:lineRule="exact" w:before="0"/>
        <w:ind w:left="267" w:right="0" w:firstLine="0"/>
        <w:jc w:val="both"/>
        <w:rPr>
          <w:b/>
          <w:sz w:val="24"/>
        </w:rPr>
      </w:pPr>
      <w:r>
        <w:rPr>
          <w:b/>
          <w:sz w:val="24"/>
        </w:rPr>
        <w:t>Note:</w:t>
      </w:r>
      <w:r>
        <w:rPr>
          <w:b/>
          <w:spacing w:val="-5"/>
          <w:sz w:val="24"/>
        </w:rPr>
        <w:t> </w:t>
      </w:r>
      <w:r>
        <w:rPr>
          <w:b/>
          <w:sz w:val="24"/>
        </w:rPr>
        <w:t>*Number</w:t>
      </w:r>
      <w:r>
        <w:rPr>
          <w:b/>
          <w:spacing w:val="-3"/>
          <w:sz w:val="24"/>
        </w:rPr>
        <w:t> </w:t>
      </w:r>
      <w:r>
        <w:rPr>
          <w:b/>
          <w:sz w:val="24"/>
        </w:rPr>
        <w:t>of</w:t>
      </w:r>
      <w:r>
        <w:rPr>
          <w:b/>
          <w:spacing w:val="-1"/>
          <w:sz w:val="24"/>
        </w:rPr>
        <w:t> </w:t>
      </w:r>
      <w:r>
        <w:rPr>
          <w:b/>
          <w:sz w:val="24"/>
        </w:rPr>
        <w:t>questionnaires</w:t>
      </w:r>
      <w:r>
        <w:rPr>
          <w:b/>
          <w:spacing w:val="-2"/>
          <w:sz w:val="24"/>
        </w:rPr>
        <w:t> </w:t>
      </w:r>
      <w:r>
        <w:rPr>
          <w:b/>
          <w:sz w:val="24"/>
        </w:rPr>
        <w:t>distributed</w:t>
      </w:r>
      <w:r>
        <w:rPr>
          <w:b/>
          <w:spacing w:val="-2"/>
          <w:sz w:val="24"/>
        </w:rPr>
        <w:t> </w:t>
      </w:r>
      <w:r>
        <w:rPr>
          <w:b/>
          <w:sz w:val="24"/>
        </w:rPr>
        <w:t>and</w:t>
      </w:r>
      <w:r>
        <w:rPr>
          <w:b/>
          <w:spacing w:val="-2"/>
          <w:sz w:val="24"/>
        </w:rPr>
        <w:t> returned</w:t>
      </w:r>
    </w:p>
    <w:p>
      <w:pPr>
        <w:pStyle w:val="BodyText"/>
        <w:spacing w:line="274" w:lineRule="exact"/>
        <w:ind w:left="267"/>
        <w:jc w:val="both"/>
      </w:pPr>
      <w:r>
        <w:rPr/>
        <w:t>Source:</w:t>
      </w:r>
      <w:r>
        <w:rPr>
          <w:spacing w:val="-1"/>
        </w:rPr>
        <w:t> </w:t>
      </w:r>
      <w:r>
        <w:rPr/>
        <w:t>Author’s</w:t>
      </w:r>
      <w:r>
        <w:rPr>
          <w:spacing w:val="-2"/>
        </w:rPr>
        <w:t> </w:t>
      </w:r>
      <w:r>
        <w:rPr/>
        <w:t>Survey</w:t>
      </w:r>
      <w:r>
        <w:rPr>
          <w:spacing w:val="-3"/>
        </w:rPr>
        <w:t> </w:t>
      </w:r>
      <w:r>
        <w:rPr>
          <w:spacing w:val="-2"/>
        </w:rPr>
        <w:t>(2020)</w:t>
      </w:r>
    </w:p>
    <w:p>
      <w:pPr>
        <w:spacing w:after="0" w:line="274" w:lineRule="exact"/>
        <w:jc w:val="both"/>
        <w:sectPr>
          <w:pgSz w:w="12240" w:h="15840"/>
          <w:pgMar w:header="0" w:footer="1068" w:top="1340" w:bottom="1260" w:left="1720" w:right="680"/>
        </w:sectPr>
      </w:pPr>
    </w:p>
    <w:p>
      <w:pPr>
        <w:pStyle w:val="BodyText"/>
        <w:spacing w:line="480" w:lineRule="auto" w:before="63"/>
        <w:ind w:left="267" w:right="729"/>
        <w:jc w:val="both"/>
      </w:pPr>
      <w:r>
        <w:rPr/>
        <w:t>As shown in Table 3.2, out of the 378-questionnaire administered, 359 (with a 96.38% response rate) were found useable for analysis after discarding 19 questionnaires due to missing information.</w:t>
      </w:r>
    </w:p>
    <w:p>
      <w:pPr>
        <w:pStyle w:val="BodyText"/>
        <w:spacing w:before="7"/>
      </w:pPr>
    </w:p>
    <w:p>
      <w:pPr>
        <w:pStyle w:val="Heading1"/>
        <w:numPr>
          <w:ilvl w:val="1"/>
          <w:numId w:val="9"/>
        </w:numPr>
        <w:tabs>
          <w:tab w:pos="746" w:val="left" w:leader="none"/>
        </w:tabs>
        <w:spacing w:line="240" w:lineRule="auto" w:before="1" w:after="0"/>
        <w:ind w:left="746" w:right="0" w:hanging="479"/>
        <w:jc w:val="left"/>
      </w:pPr>
      <w:r>
        <w:rPr/>
        <w:t>Method</w:t>
      </w:r>
      <w:r>
        <w:rPr>
          <w:spacing w:val="-4"/>
        </w:rPr>
        <w:t> </w:t>
      </w:r>
      <w:r>
        <w:rPr/>
        <w:t>of Data</w:t>
      </w:r>
      <w:r>
        <w:rPr>
          <w:spacing w:val="-1"/>
        </w:rPr>
        <w:t> </w:t>
      </w:r>
      <w:r>
        <w:rPr>
          <w:spacing w:val="-2"/>
        </w:rPr>
        <w:t>Analysis</w:t>
      </w:r>
    </w:p>
    <w:p>
      <w:pPr>
        <w:pStyle w:val="BodyText"/>
        <w:spacing w:before="14"/>
        <w:rPr>
          <w:b/>
        </w:rPr>
      </w:pPr>
    </w:p>
    <w:p>
      <w:pPr>
        <w:pStyle w:val="BodyText"/>
        <w:spacing w:line="480" w:lineRule="auto"/>
        <w:ind w:left="267" w:right="725"/>
        <w:jc w:val="both"/>
      </w:pPr>
      <w:r>
        <w:rPr/>
        <w:t>The proposed method of data analysis for this study is summarized in Table 3.3. The data required</w:t>
      </w:r>
      <w:r>
        <w:rPr>
          <w:spacing w:val="-1"/>
        </w:rPr>
        <w:t> </w:t>
      </w:r>
      <w:r>
        <w:rPr/>
        <w:t>was</w:t>
      </w:r>
      <w:r>
        <w:rPr>
          <w:spacing w:val="-1"/>
        </w:rPr>
        <w:t> </w:t>
      </w:r>
      <w:r>
        <w:rPr/>
        <w:t>in</w:t>
      </w:r>
      <w:r>
        <w:rPr>
          <w:spacing w:val="-1"/>
        </w:rPr>
        <w:t> </w:t>
      </w:r>
      <w:r>
        <w:rPr/>
        <w:t>accordance</w:t>
      </w:r>
      <w:r>
        <w:rPr>
          <w:spacing w:val="-2"/>
        </w:rPr>
        <w:t> </w:t>
      </w:r>
      <w:r>
        <w:rPr/>
        <w:t>to</w:t>
      </w:r>
      <w:r>
        <w:rPr>
          <w:spacing w:val="-1"/>
        </w:rPr>
        <w:t> </w:t>
      </w:r>
      <w:r>
        <w:rPr/>
        <w:t>the</w:t>
      </w:r>
      <w:r>
        <w:rPr>
          <w:spacing w:val="-2"/>
        </w:rPr>
        <w:t> </w:t>
      </w:r>
      <w:r>
        <w:rPr/>
        <w:t>laid</w:t>
      </w:r>
      <w:r>
        <w:rPr>
          <w:spacing w:val="-1"/>
        </w:rPr>
        <w:t> </w:t>
      </w:r>
      <w:r>
        <w:rPr/>
        <w:t>objectives. For</w:t>
      </w:r>
      <w:r>
        <w:rPr>
          <w:spacing w:val="-2"/>
        </w:rPr>
        <w:t> </w:t>
      </w:r>
      <w:r>
        <w:rPr/>
        <w:t>objective</w:t>
      </w:r>
      <w:r>
        <w:rPr>
          <w:spacing w:val="-2"/>
        </w:rPr>
        <w:t> </w:t>
      </w:r>
      <w:r>
        <w:rPr/>
        <w:t>one</w:t>
      </w:r>
      <w:r>
        <w:rPr>
          <w:spacing w:val="-2"/>
        </w:rPr>
        <w:t> </w:t>
      </w:r>
      <w:r>
        <w:rPr/>
        <w:t>which is to</w:t>
      </w:r>
      <w:r>
        <w:rPr>
          <w:spacing w:val="-1"/>
        </w:rPr>
        <w:t> </w:t>
      </w:r>
      <w:r>
        <w:rPr/>
        <w:t>examine</w:t>
      </w:r>
      <w:r>
        <w:rPr>
          <w:spacing w:val="-2"/>
        </w:rPr>
        <w:t> </w:t>
      </w:r>
      <w:r>
        <w:rPr/>
        <w:t>the area</w:t>
      </w:r>
      <w:r>
        <w:rPr>
          <w:spacing w:val="-6"/>
        </w:rPr>
        <w:t> </w:t>
      </w:r>
      <w:r>
        <w:rPr/>
        <w:t>coverage</w:t>
      </w:r>
      <w:r>
        <w:rPr>
          <w:spacing w:val="-8"/>
        </w:rPr>
        <w:t> </w:t>
      </w:r>
      <w:r>
        <w:rPr/>
        <w:t>of</w:t>
      </w:r>
      <w:r>
        <w:rPr>
          <w:spacing w:val="-7"/>
        </w:rPr>
        <w:t> </w:t>
      </w:r>
      <w:r>
        <w:rPr/>
        <w:t>public</w:t>
      </w:r>
      <w:r>
        <w:rPr>
          <w:spacing w:val="-6"/>
        </w:rPr>
        <w:t> </w:t>
      </w:r>
      <w:r>
        <w:rPr/>
        <w:t>water</w:t>
      </w:r>
      <w:r>
        <w:rPr>
          <w:spacing w:val="-8"/>
        </w:rPr>
        <w:t> </w:t>
      </w:r>
      <w:r>
        <w:rPr/>
        <w:t>supply</w:t>
      </w:r>
      <w:r>
        <w:rPr>
          <w:spacing w:val="-12"/>
        </w:rPr>
        <w:t> </w:t>
      </w:r>
      <w:r>
        <w:rPr/>
        <w:t>in</w:t>
      </w:r>
      <w:r>
        <w:rPr>
          <w:spacing w:val="-7"/>
        </w:rPr>
        <w:t> </w:t>
      </w:r>
      <w:r>
        <w:rPr/>
        <w:t>Minna,</w:t>
      </w:r>
      <w:r>
        <w:rPr>
          <w:spacing w:val="-7"/>
        </w:rPr>
        <w:t> </w:t>
      </w:r>
      <w:r>
        <w:rPr/>
        <w:t>the</w:t>
      </w:r>
      <w:r>
        <w:rPr>
          <w:spacing w:val="-8"/>
        </w:rPr>
        <w:t> </w:t>
      </w:r>
      <w:r>
        <w:rPr/>
        <w:t>type</w:t>
      </w:r>
      <w:r>
        <w:rPr>
          <w:spacing w:val="-8"/>
        </w:rPr>
        <w:t> </w:t>
      </w:r>
      <w:r>
        <w:rPr/>
        <w:t>of</w:t>
      </w:r>
      <w:r>
        <w:rPr>
          <w:spacing w:val="-8"/>
        </w:rPr>
        <w:t> </w:t>
      </w:r>
      <w:r>
        <w:rPr/>
        <w:t>data</w:t>
      </w:r>
      <w:r>
        <w:rPr>
          <w:spacing w:val="-8"/>
        </w:rPr>
        <w:t> </w:t>
      </w:r>
      <w:r>
        <w:rPr/>
        <w:t>required</w:t>
      </w:r>
      <w:r>
        <w:rPr>
          <w:spacing w:val="-7"/>
        </w:rPr>
        <w:t> </w:t>
      </w:r>
      <w:r>
        <w:rPr/>
        <w:t>was</w:t>
      </w:r>
      <w:r>
        <w:rPr>
          <w:spacing w:val="-7"/>
        </w:rPr>
        <w:t> </w:t>
      </w:r>
      <w:r>
        <w:rPr/>
        <w:t>on</w:t>
      </w:r>
      <w:r>
        <w:rPr>
          <w:spacing w:val="-7"/>
        </w:rPr>
        <w:t> </w:t>
      </w:r>
      <w:r>
        <w:rPr/>
        <w:t>public</w:t>
      </w:r>
      <w:r>
        <w:rPr>
          <w:spacing w:val="-8"/>
        </w:rPr>
        <w:t> </w:t>
      </w:r>
      <w:r>
        <w:rPr/>
        <w:t>water supply mains (networked) coverage and this was collected from the Niger state water and sewage</w:t>
      </w:r>
      <w:r>
        <w:rPr>
          <w:spacing w:val="-9"/>
        </w:rPr>
        <w:t> </w:t>
      </w:r>
      <w:r>
        <w:rPr/>
        <w:t>corporation</w:t>
      </w:r>
      <w:r>
        <w:rPr>
          <w:spacing w:val="-8"/>
        </w:rPr>
        <w:t> </w:t>
      </w:r>
      <w:r>
        <w:rPr/>
        <w:t>it</w:t>
      </w:r>
      <w:r>
        <w:rPr>
          <w:spacing w:val="-8"/>
        </w:rPr>
        <w:t> </w:t>
      </w:r>
      <w:r>
        <w:rPr/>
        <w:t>was</w:t>
      </w:r>
      <w:r>
        <w:rPr>
          <w:spacing w:val="-8"/>
        </w:rPr>
        <w:t> </w:t>
      </w:r>
      <w:r>
        <w:rPr/>
        <w:t>then</w:t>
      </w:r>
      <w:r>
        <w:rPr>
          <w:spacing w:val="-9"/>
        </w:rPr>
        <w:t> </w:t>
      </w:r>
      <w:r>
        <w:rPr/>
        <w:t>transferred</w:t>
      </w:r>
      <w:r>
        <w:rPr>
          <w:spacing w:val="-8"/>
        </w:rPr>
        <w:t> </w:t>
      </w:r>
      <w:r>
        <w:rPr/>
        <w:t>to</w:t>
      </w:r>
      <w:r>
        <w:rPr>
          <w:spacing w:val="-8"/>
        </w:rPr>
        <w:t> </w:t>
      </w:r>
      <w:r>
        <w:rPr/>
        <w:t>the</w:t>
      </w:r>
      <w:r>
        <w:rPr>
          <w:spacing w:val="-9"/>
        </w:rPr>
        <w:t> </w:t>
      </w:r>
      <w:r>
        <w:rPr/>
        <w:t>GIS</w:t>
      </w:r>
      <w:r>
        <w:rPr>
          <w:spacing w:val="-8"/>
        </w:rPr>
        <w:t> </w:t>
      </w:r>
      <w:r>
        <w:rPr/>
        <w:t>environment</w:t>
      </w:r>
      <w:r>
        <w:rPr>
          <w:spacing w:val="-8"/>
        </w:rPr>
        <w:t> </w:t>
      </w:r>
      <w:r>
        <w:rPr/>
        <w:t>to</w:t>
      </w:r>
      <w:r>
        <w:rPr>
          <w:spacing w:val="-8"/>
        </w:rPr>
        <w:t> </w:t>
      </w:r>
      <w:r>
        <w:rPr/>
        <w:t>produce</w:t>
      </w:r>
      <w:r>
        <w:rPr>
          <w:spacing w:val="-9"/>
        </w:rPr>
        <w:t> </w:t>
      </w:r>
      <w:r>
        <w:rPr/>
        <w:t>a</w:t>
      </w:r>
      <w:r>
        <w:rPr>
          <w:spacing w:val="-9"/>
        </w:rPr>
        <w:t> </w:t>
      </w:r>
      <w:r>
        <w:rPr/>
        <w:t>map</w:t>
      </w:r>
      <w:r>
        <w:rPr>
          <w:spacing w:val="-9"/>
        </w:rPr>
        <w:t> </w:t>
      </w:r>
      <w:r>
        <w:rPr/>
        <w:t>of</w:t>
      </w:r>
      <w:r>
        <w:rPr>
          <w:spacing w:val="-4"/>
        </w:rPr>
        <w:t> </w:t>
      </w:r>
      <w:r>
        <w:rPr/>
        <w:t>areas within</w:t>
      </w:r>
      <w:r>
        <w:rPr>
          <w:spacing w:val="-8"/>
        </w:rPr>
        <w:t> </w:t>
      </w:r>
      <w:r>
        <w:rPr/>
        <w:t>and</w:t>
      </w:r>
      <w:r>
        <w:rPr>
          <w:spacing w:val="-8"/>
        </w:rPr>
        <w:t> </w:t>
      </w:r>
      <w:r>
        <w:rPr/>
        <w:t>outside</w:t>
      </w:r>
      <w:r>
        <w:rPr>
          <w:spacing w:val="-11"/>
        </w:rPr>
        <w:t> </w:t>
      </w:r>
      <w:r>
        <w:rPr/>
        <w:t>public</w:t>
      </w:r>
      <w:r>
        <w:rPr>
          <w:spacing w:val="-12"/>
        </w:rPr>
        <w:t> </w:t>
      </w:r>
      <w:r>
        <w:rPr/>
        <w:t>water</w:t>
      </w:r>
      <w:r>
        <w:rPr>
          <w:spacing w:val="-9"/>
        </w:rPr>
        <w:t> </w:t>
      </w:r>
      <w:r>
        <w:rPr/>
        <w:t>supply</w:t>
      </w:r>
      <w:r>
        <w:rPr>
          <w:spacing w:val="-15"/>
        </w:rPr>
        <w:t> </w:t>
      </w:r>
      <w:r>
        <w:rPr/>
        <w:t>in</w:t>
      </w:r>
      <w:r>
        <w:rPr>
          <w:spacing w:val="-8"/>
        </w:rPr>
        <w:t> </w:t>
      </w:r>
      <w:r>
        <w:rPr/>
        <w:t>the</w:t>
      </w:r>
      <w:r>
        <w:rPr>
          <w:spacing w:val="-9"/>
        </w:rPr>
        <w:t> </w:t>
      </w:r>
      <w:r>
        <w:rPr/>
        <w:t>state.</w:t>
      </w:r>
      <w:r>
        <w:rPr>
          <w:spacing w:val="-6"/>
        </w:rPr>
        <w:t> </w:t>
      </w:r>
      <w:r>
        <w:rPr/>
        <w:t>The</w:t>
      </w:r>
      <w:r>
        <w:rPr>
          <w:spacing w:val="-9"/>
        </w:rPr>
        <w:t> </w:t>
      </w:r>
      <w:r>
        <w:rPr/>
        <w:t>type</w:t>
      </w:r>
      <w:r>
        <w:rPr>
          <w:spacing w:val="-9"/>
        </w:rPr>
        <w:t> </w:t>
      </w:r>
      <w:r>
        <w:rPr/>
        <w:t>of</w:t>
      </w:r>
      <w:r>
        <w:rPr>
          <w:spacing w:val="-9"/>
        </w:rPr>
        <w:t> </w:t>
      </w:r>
      <w:r>
        <w:rPr/>
        <w:t>data</w:t>
      </w:r>
      <w:r>
        <w:rPr>
          <w:spacing w:val="-9"/>
        </w:rPr>
        <w:t> </w:t>
      </w:r>
      <w:r>
        <w:rPr/>
        <w:t>required</w:t>
      </w:r>
      <w:r>
        <w:rPr>
          <w:spacing w:val="-6"/>
        </w:rPr>
        <w:t> </w:t>
      </w:r>
      <w:r>
        <w:rPr/>
        <w:t>for</w:t>
      </w:r>
      <w:r>
        <w:rPr>
          <w:spacing w:val="-6"/>
        </w:rPr>
        <w:t> </w:t>
      </w:r>
      <w:r>
        <w:rPr/>
        <w:t>households’ sources of water supply across different neighborhoods in the study area were the various sources of water (improved and un-improved sources) available to households in the study area and it was collected through questionnaires. The data collected was analyzed using descriptive</w:t>
      </w:r>
      <w:r>
        <w:rPr>
          <w:spacing w:val="-15"/>
        </w:rPr>
        <w:t> </w:t>
      </w:r>
      <w:r>
        <w:rPr/>
        <w:t>statistics</w:t>
      </w:r>
      <w:r>
        <w:rPr>
          <w:spacing w:val="-12"/>
        </w:rPr>
        <w:t> </w:t>
      </w:r>
      <w:r>
        <w:rPr/>
        <w:t>and</w:t>
      </w:r>
      <w:r>
        <w:rPr>
          <w:spacing w:val="-13"/>
        </w:rPr>
        <w:t> </w:t>
      </w:r>
      <w:r>
        <w:rPr/>
        <w:t>ANOVA</w:t>
      </w:r>
      <w:r>
        <w:rPr>
          <w:spacing w:val="-14"/>
        </w:rPr>
        <w:t> </w:t>
      </w:r>
      <w:r>
        <w:rPr/>
        <w:t>(to</w:t>
      </w:r>
      <w:r>
        <w:rPr>
          <w:spacing w:val="-13"/>
        </w:rPr>
        <w:t> </w:t>
      </w:r>
      <w:r>
        <w:rPr/>
        <w:t>compare</w:t>
      </w:r>
      <w:r>
        <w:rPr>
          <w:spacing w:val="-14"/>
        </w:rPr>
        <w:t> </w:t>
      </w:r>
      <w:r>
        <w:rPr/>
        <w:t>if</w:t>
      </w:r>
      <w:r>
        <w:rPr>
          <w:spacing w:val="-13"/>
        </w:rPr>
        <w:t> </w:t>
      </w:r>
      <w:r>
        <w:rPr/>
        <w:t>there</w:t>
      </w:r>
      <w:r>
        <w:rPr>
          <w:spacing w:val="-14"/>
        </w:rPr>
        <w:t> </w:t>
      </w:r>
      <w:r>
        <w:rPr/>
        <w:t>was</w:t>
      </w:r>
      <w:r>
        <w:rPr>
          <w:spacing w:val="-13"/>
        </w:rPr>
        <w:t> </w:t>
      </w:r>
      <w:r>
        <w:rPr/>
        <w:t>any</w:t>
      </w:r>
      <w:r>
        <w:rPr>
          <w:spacing w:val="-15"/>
        </w:rPr>
        <w:t> </w:t>
      </w:r>
      <w:r>
        <w:rPr/>
        <w:t>variation</w:t>
      </w:r>
      <w:r>
        <w:rPr>
          <w:spacing w:val="-13"/>
        </w:rPr>
        <w:t> </w:t>
      </w:r>
      <w:r>
        <w:rPr/>
        <w:t>between</w:t>
      </w:r>
      <w:r>
        <w:rPr>
          <w:spacing w:val="-13"/>
        </w:rPr>
        <w:t> </w:t>
      </w:r>
      <w:r>
        <w:rPr/>
        <w:t>the</w:t>
      </w:r>
      <w:r>
        <w:rPr>
          <w:spacing w:val="-14"/>
        </w:rPr>
        <w:t> </w:t>
      </w:r>
      <w:r>
        <w:rPr/>
        <w:t>sources used by household across neighbourhood within and outside the public mains) the data analyzed was presented on Tables.</w:t>
      </w:r>
    </w:p>
    <w:p>
      <w:pPr>
        <w:spacing w:after="0" w:line="480" w:lineRule="auto"/>
        <w:jc w:val="both"/>
        <w:sectPr>
          <w:pgSz w:w="12240" w:h="15840"/>
          <w:pgMar w:header="0" w:footer="1068" w:top="1340" w:bottom="1260" w:left="1720" w:right="680"/>
        </w:sectPr>
      </w:pPr>
    </w:p>
    <w:p>
      <w:pPr>
        <w:pStyle w:val="Heading1"/>
        <w:spacing w:before="68" w:after="4"/>
        <w:jc w:val="both"/>
      </w:pPr>
      <w:r>
        <w:rPr/>
        <w:t>Table</w:t>
      </w:r>
      <w:r>
        <w:rPr>
          <w:spacing w:val="-2"/>
        </w:rPr>
        <w:t> </w:t>
      </w:r>
      <w:r>
        <w:rPr/>
        <w:t>3.3:</w:t>
      </w:r>
      <w:r>
        <w:rPr>
          <w:spacing w:val="-1"/>
        </w:rPr>
        <w:t> </w:t>
      </w:r>
      <w:r>
        <w:rPr/>
        <w:t>Summary</w:t>
      </w:r>
      <w:r>
        <w:rPr>
          <w:spacing w:val="-2"/>
        </w:rPr>
        <w:t> </w:t>
      </w:r>
      <w:r>
        <w:rPr/>
        <w:t>of Data</w:t>
      </w:r>
      <w:r>
        <w:rPr>
          <w:spacing w:val="-2"/>
        </w:rPr>
        <w:t> </w:t>
      </w:r>
      <w:r>
        <w:rPr/>
        <w:t>Analysis</w:t>
      </w:r>
      <w:r>
        <w:rPr>
          <w:spacing w:val="-1"/>
        </w:rPr>
        <w:t> </w:t>
      </w:r>
      <w:r>
        <w:rPr>
          <w:spacing w:val="-2"/>
        </w:rPr>
        <w:t>Techniques</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5"/>
        <w:gridCol w:w="2111"/>
        <w:gridCol w:w="1974"/>
        <w:gridCol w:w="1954"/>
      </w:tblGrid>
      <w:tr>
        <w:trPr>
          <w:trHeight w:val="551" w:hRule="atLeast"/>
        </w:trPr>
        <w:tc>
          <w:tcPr>
            <w:tcW w:w="2845" w:type="dxa"/>
            <w:tcBorders>
              <w:top w:val="single" w:sz="8" w:space="0" w:color="000000"/>
              <w:bottom w:val="single" w:sz="8" w:space="0" w:color="000000"/>
            </w:tcBorders>
          </w:tcPr>
          <w:p>
            <w:pPr>
              <w:pStyle w:val="TableParagraph"/>
              <w:spacing w:line="272" w:lineRule="exact"/>
              <w:ind w:left="655"/>
              <w:rPr>
                <w:b/>
                <w:sz w:val="24"/>
              </w:rPr>
            </w:pPr>
            <w:r>
              <w:rPr>
                <w:b/>
                <w:spacing w:val="-2"/>
                <w:sz w:val="24"/>
              </w:rPr>
              <w:t>OBJECTIVES</w:t>
            </w:r>
          </w:p>
        </w:tc>
        <w:tc>
          <w:tcPr>
            <w:tcW w:w="2111" w:type="dxa"/>
            <w:tcBorders>
              <w:top w:val="single" w:sz="8" w:space="0" w:color="000000"/>
              <w:bottom w:val="single" w:sz="8" w:space="0" w:color="000000"/>
            </w:tcBorders>
          </w:tcPr>
          <w:p>
            <w:pPr>
              <w:pStyle w:val="TableParagraph"/>
              <w:spacing w:line="272" w:lineRule="exact"/>
              <w:ind w:left="114"/>
              <w:rPr>
                <w:b/>
                <w:sz w:val="24"/>
              </w:rPr>
            </w:pPr>
            <w:r>
              <w:rPr>
                <w:b/>
                <w:sz w:val="24"/>
              </w:rPr>
              <w:t>DATA</w:t>
            </w:r>
            <w:r>
              <w:rPr>
                <w:b/>
                <w:spacing w:val="-2"/>
                <w:sz w:val="24"/>
              </w:rPr>
              <w:t> TYPES</w:t>
            </w:r>
          </w:p>
        </w:tc>
        <w:tc>
          <w:tcPr>
            <w:tcW w:w="1974" w:type="dxa"/>
            <w:tcBorders>
              <w:top w:val="single" w:sz="8" w:space="0" w:color="000000"/>
              <w:bottom w:val="single" w:sz="8" w:space="0" w:color="000000"/>
            </w:tcBorders>
          </w:tcPr>
          <w:p>
            <w:pPr>
              <w:pStyle w:val="TableParagraph"/>
              <w:spacing w:line="272" w:lineRule="exact"/>
              <w:ind w:left="108"/>
              <w:rPr>
                <w:b/>
                <w:sz w:val="24"/>
              </w:rPr>
            </w:pPr>
            <w:r>
              <w:rPr>
                <w:b/>
                <w:spacing w:val="-2"/>
                <w:sz w:val="24"/>
              </w:rPr>
              <w:t>COLLECTION</w:t>
            </w:r>
          </w:p>
          <w:p>
            <w:pPr>
              <w:pStyle w:val="TableParagraph"/>
              <w:spacing w:line="259" w:lineRule="exact"/>
              <w:ind w:left="108"/>
              <w:rPr>
                <w:b/>
                <w:sz w:val="24"/>
              </w:rPr>
            </w:pPr>
            <w:r>
              <w:rPr>
                <w:b/>
                <w:spacing w:val="-2"/>
                <w:sz w:val="24"/>
              </w:rPr>
              <w:t>METHOD</w:t>
            </w:r>
          </w:p>
        </w:tc>
        <w:tc>
          <w:tcPr>
            <w:tcW w:w="1954" w:type="dxa"/>
            <w:tcBorders>
              <w:top w:val="single" w:sz="8" w:space="0" w:color="000000"/>
              <w:bottom w:val="single" w:sz="8" w:space="0" w:color="000000"/>
            </w:tcBorders>
          </w:tcPr>
          <w:p>
            <w:pPr>
              <w:pStyle w:val="TableParagraph"/>
              <w:spacing w:line="272" w:lineRule="exact"/>
              <w:ind w:left="235"/>
              <w:rPr>
                <w:b/>
                <w:sz w:val="24"/>
              </w:rPr>
            </w:pPr>
            <w:r>
              <w:rPr>
                <w:b/>
                <w:sz w:val="24"/>
              </w:rPr>
              <w:t>METHOD</w:t>
            </w:r>
            <w:r>
              <w:rPr>
                <w:b/>
                <w:spacing w:val="-1"/>
                <w:sz w:val="24"/>
              </w:rPr>
              <w:t> </w:t>
            </w:r>
            <w:r>
              <w:rPr>
                <w:b/>
                <w:spacing w:val="-5"/>
                <w:sz w:val="24"/>
              </w:rPr>
              <w:t>OF</w:t>
            </w:r>
          </w:p>
          <w:p>
            <w:pPr>
              <w:pStyle w:val="TableParagraph"/>
              <w:spacing w:line="259" w:lineRule="exact"/>
              <w:ind w:left="235"/>
              <w:rPr>
                <w:b/>
                <w:sz w:val="24"/>
              </w:rPr>
            </w:pPr>
            <w:r>
              <w:rPr>
                <w:b/>
                <w:spacing w:val="-2"/>
                <w:sz w:val="24"/>
              </w:rPr>
              <w:t>ANALYSIS</w:t>
            </w:r>
          </w:p>
        </w:tc>
      </w:tr>
      <w:tr>
        <w:trPr>
          <w:trHeight w:val="1103" w:hRule="atLeast"/>
        </w:trPr>
        <w:tc>
          <w:tcPr>
            <w:tcW w:w="2845" w:type="dxa"/>
            <w:tcBorders>
              <w:top w:val="single" w:sz="8" w:space="0" w:color="000000"/>
            </w:tcBorders>
          </w:tcPr>
          <w:p>
            <w:pPr>
              <w:pStyle w:val="TableParagraph"/>
              <w:ind w:left="835" w:right="112" w:hanging="360"/>
              <w:rPr>
                <w:sz w:val="24"/>
              </w:rPr>
            </w:pPr>
            <w:r>
              <w:rPr>
                <w:sz w:val="24"/>
              </w:rPr>
              <w:t>1.</w:t>
            </w:r>
            <w:r>
              <w:rPr>
                <w:spacing w:val="80"/>
                <w:sz w:val="24"/>
              </w:rPr>
              <w:t> </w:t>
            </w:r>
            <w:r>
              <w:rPr>
                <w:sz w:val="24"/>
              </w:rPr>
              <w:t>To examine the</w:t>
            </w:r>
            <w:r>
              <w:rPr>
                <w:spacing w:val="40"/>
                <w:sz w:val="24"/>
              </w:rPr>
              <w:t> </w:t>
            </w:r>
            <w:r>
              <w:rPr>
                <w:sz w:val="24"/>
              </w:rPr>
              <w:t>area coverage of public</w:t>
            </w:r>
            <w:r>
              <w:rPr>
                <w:spacing w:val="-15"/>
                <w:sz w:val="24"/>
              </w:rPr>
              <w:t> </w:t>
            </w:r>
            <w:r>
              <w:rPr>
                <w:sz w:val="24"/>
              </w:rPr>
              <w:t>water</w:t>
            </w:r>
            <w:r>
              <w:rPr>
                <w:spacing w:val="-15"/>
                <w:sz w:val="24"/>
              </w:rPr>
              <w:t> </w:t>
            </w:r>
            <w:r>
              <w:rPr>
                <w:sz w:val="24"/>
              </w:rPr>
              <w:t>suppl</w:t>
            </w:r>
            <w:r>
              <w:rPr>
                <w:sz w:val="24"/>
              </w:rPr>
              <w:t>y</w:t>
            </w:r>
          </w:p>
          <w:p>
            <w:pPr>
              <w:pStyle w:val="TableParagraph"/>
              <w:spacing w:line="261" w:lineRule="exact"/>
              <w:ind w:left="835"/>
              <w:rPr>
                <w:sz w:val="24"/>
              </w:rPr>
            </w:pPr>
            <w:r>
              <w:rPr>
                <w:sz w:val="24"/>
              </w:rPr>
              <w:t>in </w:t>
            </w:r>
            <w:r>
              <w:rPr>
                <w:spacing w:val="-2"/>
                <w:sz w:val="24"/>
              </w:rPr>
              <w:t>Minna.</w:t>
            </w:r>
          </w:p>
        </w:tc>
        <w:tc>
          <w:tcPr>
            <w:tcW w:w="2111" w:type="dxa"/>
            <w:tcBorders>
              <w:top w:val="single" w:sz="8" w:space="0" w:color="000000"/>
            </w:tcBorders>
          </w:tcPr>
          <w:p>
            <w:pPr>
              <w:pStyle w:val="TableParagraph"/>
              <w:ind w:left="114"/>
              <w:rPr>
                <w:sz w:val="24"/>
              </w:rPr>
            </w:pPr>
            <w:r>
              <w:rPr>
                <w:sz w:val="24"/>
              </w:rPr>
              <w:t>Public water </w:t>
            </w:r>
            <w:r>
              <w:rPr>
                <w:sz w:val="24"/>
              </w:rPr>
              <w:t>mains (network)</w:t>
            </w:r>
            <w:r>
              <w:rPr>
                <w:spacing w:val="-2"/>
                <w:sz w:val="24"/>
              </w:rPr>
              <w:t> coverage</w:t>
            </w:r>
          </w:p>
        </w:tc>
        <w:tc>
          <w:tcPr>
            <w:tcW w:w="1974" w:type="dxa"/>
            <w:tcBorders>
              <w:top w:val="single" w:sz="8" w:space="0" w:color="000000"/>
            </w:tcBorders>
          </w:tcPr>
          <w:p>
            <w:pPr>
              <w:pStyle w:val="TableParagraph"/>
              <w:ind w:left="108" w:right="287"/>
              <w:rPr>
                <w:sz w:val="24"/>
              </w:rPr>
            </w:pPr>
            <w:r>
              <w:rPr>
                <w:sz w:val="24"/>
              </w:rPr>
              <w:t>Physical</w:t>
            </w:r>
            <w:r>
              <w:rPr>
                <w:spacing w:val="-15"/>
                <w:sz w:val="24"/>
              </w:rPr>
              <w:t> </w:t>
            </w:r>
            <w:r>
              <w:rPr>
                <w:sz w:val="24"/>
              </w:rPr>
              <w:t>survey, GPS, and </w:t>
            </w:r>
            <w:r>
              <w:rPr>
                <w:spacing w:val="-2"/>
                <w:sz w:val="24"/>
              </w:rPr>
              <w:t>Maps.</w:t>
            </w:r>
          </w:p>
        </w:tc>
        <w:tc>
          <w:tcPr>
            <w:tcW w:w="1954" w:type="dxa"/>
            <w:tcBorders>
              <w:top w:val="single" w:sz="8" w:space="0" w:color="000000"/>
            </w:tcBorders>
          </w:tcPr>
          <w:p>
            <w:pPr>
              <w:pStyle w:val="TableParagraph"/>
              <w:spacing w:line="270" w:lineRule="exact"/>
              <w:ind w:left="235"/>
              <w:rPr>
                <w:sz w:val="24"/>
              </w:rPr>
            </w:pPr>
            <w:r>
              <w:rPr>
                <w:spacing w:val="-5"/>
                <w:sz w:val="24"/>
              </w:rPr>
              <w:t>GIS</w:t>
            </w:r>
          </w:p>
        </w:tc>
      </w:tr>
      <w:tr>
        <w:trPr>
          <w:trHeight w:val="1930" w:hRule="atLeast"/>
        </w:trPr>
        <w:tc>
          <w:tcPr>
            <w:tcW w:w="2845" w:type="dxa"/>
          </w:tcPr>
          <w:p>
            <w:pPr>
              <w:pStyle w:val="TableParagraph"/>
              <w:ind w:left="835" w:right="331" w:hanging="360"/>
              <w:rPr>
                <w:sz w:val="24"/>
              </w:rPr>
            </w:pPr>
            <w:r>
              <w:rPr>
                <w:sz w:val="24"/>
              </w:rPr>
              <w:t>2.</w:t>
            </w:r>
            <w:r>
              <w:rPr>
                <w:spacing w:val="80"/>
                <w:sz w:val="24"/>
              </w:rPr>
              <w:t> </w:t>
            </w:r>
            <w:r>
              <w:rPr>
                <w:sz w:val="24"/>
              </w:rPr>
              <w:t>To assess </w:t>
            </w:r>
            <w:r>
              <w:rPr>
                <w:spacing w:val="-2"/>
                <w:sz w:val="24"/>
              </w:rPr>
              <w:t>households’ </w:t>
            </w:r>
            <w:r>
              <w:rPr>
                <w:sz w:val="24"/>
              </w:rPr>
              <w:t>sources of water supply across </w:t>
            </w:r>
            <w:r>
              <w:rPr>
                <w:spacing w:val="-2"/>
                <w:sz w:val="24"/>
              </w:rPr>
              <w:t>different </w:t>
            </w:r>
            <w:r>
              <w:rPr>
                <w:sz w:val="24"/>
              </w:rPr>
              <w:t>neighborhoods</w:t>
            </w:r>
            <w:r>
              <w:rPr>
                <w:spacing w:val="-15"/>
                <w:sz w:val="24"/>
              </w:rPr>
              <w:t> </w:t>
            </w:r>
            <w:r>
              <w:rPr>
                <w:sz w:val="24"/>
              </w:rPr>
              <w:t>in</w:t>
            </w:r>
          </w:p>
          <w:p>
            <w:pPr>
              <w:pStyle w:val="TableParagraph"/>
              <w:spacing w:line="259" w:lineRule="exact"/>
              <w:ind w:left="835"/>
              <w:rPr>
                <w:sz w:val="24"/>
              </w:rPr>
            </w:pPr>
            <w:r>
              <w:rPr>
                <w:sz w:val="24"/>
              </w:rPr>
              <w:t>the</w:t>
            </w:r>
            <w:r>
              <w:rPr>
                <w:spacing w:val="-1"/>
                <w:sz w:val="24"/>
              </w:rPr>
              <w:t> </w:t>
            </w:r>
            <w:r>
              <w:rPr>
                <w:sz w:val="24"/>
              </w:rPr>
              <w:t>study</w:t>
            </w:r>
            <w:r>
              <w:rPr>
                <w:spacing w:val="-4"/>
                <w:sz w:val="24"/>
              </w:rPr>
              <w:t> area</w:t>
            </w:r>
          </w:p>
        </w:tc>
        <w:tc>
          <w:tcPr>
            <w:tcW w:w="2111" w:type="dxa"/>
          </w:tcPr>
          <w:p>
            <w:pPr>
              <w:pStyle w:val="TableParagraph"/>
              <w:ind w:left="114" w:right="106"/>
              <w:jc w:val="both"/>
              <w:rPr>
                <w:sz w:val="24"/>
              </w:rPr>
            </w:pPr>
            <w:r>
              <w:rPr>
                <w:sz w:val="24"/>
              </w:rPr>
              <w:t>Household </w:t>
            </w:r>
            <w:r>
              <w:rPr>
                <w:sz w:val="24"/>
              </w:rPr>
              <w:t>water sources (improved and unimproved) for drinking and domestic uses</w:t>
            </w:r>
          </w:p>
        </w:tc>
        <w:tc>
          <w:tcPr>
            <w:tcW w:w="1974" w:type="dxa"/>
          </w:tcPr>
          <w:p>
            <w:pPr>
              <w:pStyle w:val="TableParagraph"/>
              <w:spacing w:line="271" w:lineRule="exact"/>
              <w:ind w:left="108"/>
              <w:rPr>
                <w:sz w:val="24"/>
              </w:rPr>
            </w:pPr>
            <w:r>
              <w:rPr>
                <w:spacing w:val="-2"/>
                <w:sz w:val="24"/>
              </w:rPr>
              <w:t>Questionnaire</w:t>
            </w:r>
          </w:p>
        </w:tc>
        <w:tc>
          <w:tcPr>
            <w:tcW w:w="1954" w:type="dxa"/>
          </w:tcPr>
          <w:p>
            <w:pPr>
              <w:pStyle w:val="TableParagraph"/>
              <w:ind w:left="235" w:right="482"/>
              <w:rPr>
                <w:sz w:val="24"/>
              </w:rPr>
            </w:pPr>
            <w:r>
              <w:rPr>
                <w:spacing w:val="-2"/>
                <w:sz w:val="24"/>
              </w:rPr>
              <w:t>Descriptive </w:t>
            </w:r>
            <w:r>
              <w:rPr>
                <w:sz w:val="24"/>
              </w:rPr>
              <w:t>statistics</w:t>
            </w:r>
            <w:r>
              <w:rPr>
                <w:spacing w:val="-15"/>
                <w:sz w:val="24"/>
              </w:rPr>
              <w:t> </w:t>
            </w:r>
            <w:r>
              <w:rPr>
                <w:sz w:val="24"/>
              </w:rPr>
              <w:t>and </w:t>
            </w:r>
            <w:r>
              <w:rPr>
                <w:spacing w:val="-2"/>
                <w:sz w:val="24"/>
              </w:rPr>
              <w:t>One-Way </w:t>
            </w:r>
            <w:r>
              <w:rPr>
                <w:sz w:val="24"/>
              </w:rPr>
              <w:t>Analysis of </w:t>
            </w:r>
            <w:r>
              <w:rPr>
                <w:spacing w:val="-2"/>
                <w:sz w:val="24"/>
              </w:rPr>
              <w:t>Variance (ANOVA)</w:t>
            </w:r>
          </w:p>
        </w:tc>
      </w:tr>
      <w:tr>
        <w:trPr>
          <w:trHeight w:val="1655" w:hRule="atLeast"/>
        </w:trPr>
        <w:tc>
          <w:tcPr>
            <w:tcW w:w="2845" w:type="dxa"/>
          </w:tcPr>
          <w:p>
            <w:pPr>
              <w:pStyle w:val="TableParagraph"/>
              <w:ind w:left="835" w:right="132" w:hanging="360"/>
              <w:rPr>
                <w:sz w:val="24"/>
              </w:rPr>
            </w:pPr>
            <w:r>
              <w:rPr>
                <w:sz w:val="24"/>
              </w:rPr>
              <w:t>3.</w:t>
            </w:r>
            <w:r>
              <w:rPr>
                <w:spacing w:val="80"/>
                <w:sz w:val="24"/>
              </w:rPr>
              <w:t> </w:t>
            </w:r>
            <w:r>
              <w:rPr>
                <w:sz w:val="24"/>
              </w:rPr>
              <w:t>To examine the level of water poverty at neighborhood</w:t>
            </w:r>
            <w:r>
              <w:rPr>
                <w:spacing w:val="-15"/>
                <w:sz w:val="24"/>
              </w:rPr>
              <w:t> </w:t>
            </w:r>
            <w:r>
              <w:rPr>
                <w:sz w:val="24"/>
              </w:rPr>
              <w:t>scale</w:t>
            </w:r>
          </w:p>
        </w:tc>
        <w:tc>
          <w:tcPr>
            <w:tcW w:w="2111" w:type="dxa"/>
          </w:tcPr>
          <w:p>
            <w:pPr>
              <w:pStyle w:val="TableParagraph"/>
              <w:ind w:left="114" w:right="445"/>
              <w:rPr>
                <w:sz w:val="24"/>
              </w:rPr>
            </w:pPr>
            <w:r>
              <w:rPr>
                <w:sz w:val="24"/>
              </w:rPr>
              <w:t>WPI</w:t>
            </w:r>
            <w:r>
              <w:rPr>
                <w:spacing w:val="-15"/>
                <w:sz w:val="24"/>
              </w:rPr>
              <w:t> </w:t>
            </w:r>
            <w:r>
              <w:rPr>
                <w:sz w:val="24"/>
              </w:rPr>
              <w:t>(resources, capacity, use, access and </w:t>
            </w:r>
            <w:r>
              <w:rPr>
                <w:spacing w:val="-2"/>
                <w:sz w:val="24"/>
              </w:rPr>
              <w:t>environment)</w:t>
            </w:r>
          </w:p>
        </w:tc>
        <w:tc>
          <w:tcPr>
            <w:tcW w:w="1974" w:type="dxa"/>
          </w:tcPr>
          <w:p>
            <w:pPr>
              <w:pStyle w:val="TableParagraph"/>
              <w:spacing w:line="271" w:lineRule="exact"/>
              <w:ind w:left="108"/>
              <w:rPr>
                <w:sz w:val="24"/>
              </w:rPr>
            </w:pPr>
            <w:r>
              <w:rPr>
                <w:spacing w:val="-2"/>
                <w:sz w:val="24"/>
              </w:rPr>
              <w:t>Questionnaire</w:t>
            </w:r>
          </w:p>
        </w:tc>
        <w:tc>
          <w:tcPr>
            <w:tcW w:w="1954" w:type="dxa"/>
          </w:tcPr>
          <w:p>
            <w:pPr>
              <w:pStyle w:val="TableParagraph"/>
              <w:ind w:left="235" w:right="143"/>
              <w:rPr>
                <w:sz w:val="24"/>
              </w:rPr>
            </w:pPr>
            <w:r>
              <w:rPr>
                <w:sz w:val="24"/>
              </w:rPr>
              <w:t>Linear Scaling </w:t>
            </w:r>
            <w:r>
              <w:rPr>
                <w:spacing w:val="-2"/>
                <w:sz w:val="24"/>
              </w:rPr>
              <w:t>Technique, Correlation, </w:t>
            </w:r>
            <w:r>
              <w:rPr>
                <w:sz w:val="24"/>
              </w:rPr>
              <w:t>PCA</w:t>
            </w:r>
            <w:r>
              <w:rPr>
                <w:spacing w:val="-15"/>
                <w:sz w:val="24"/>
              </w:rPr>
              <w:t> </w:t>
            </w:r>
            <w:r>
              <w:rPr>
                <w:sz w:val="24"/>
              </w:rPr>
              <w:t>and</w:t>
            </w:r>
            <w:r>
              <w:rPr>
                <w:spacing w:val="-15"/>
                <w:sz w:val="24"/>
              </w:rPr>
              <w:t> </w:t>
            </w:r>
            <w:r>
              <w:rPr>
                <w:sz w:val="24"/>
              </w:rPr>
              <w:t>Spider </w:t>
            </w:r>
            <w:r>
              <w:rPr>
                <w:spacing w:val="-4"/>
                <w:sz w:val="24"/>
              </w:rPr>
              <w:t>maps</w:t>
            </w:r>
          </w:p>
          <w:p>
            <w:pPr>
              <w:pStyle w:val="TableParagraph"/>
              <w:spacing w:line="261" w:lineRule="exact"/>
              <w:ind w:left="235"/>
              <w:rPr>
                <w:sz w:val="24"/>
              </w:rPr>
            </w:pPr>
            <w:r>
              <w:rPr>
                <w:spacing w:val="-2"/>
                <w:sz w:val="24"/>
              </w:rPr>
              <w:t>(Pentagrams)</w:t>
            </w:r>
          </w:p>
        </w:tc>
      </w:tr>
      <w:tr>
        <w:trPr>
          <w:trHeight w:val="2208" w:hRule="atLeast"/>
        </w:trPr>
        <w:tc>
          <w:tcPr>
            <w:tcW w:w="2845" w:type="dxa"/>
          </w:tcPr>
          <w:p>
            <w:pPr>
              <w:pStyle w:val="TableParagraph"/>
              <w:ind w:left="835" w:hanging="360"/>
              <w:rPr>
                <w:sz w:val="24"/>
              </w:rPr>
            </w:pPr>
            <w:r>
              <w:rPr>
                <w:sz w:val="24"/>
              </w:rPr>
              <w:t>4.</w:t>
            </w:r>
            <w:r>
              <w:rPr>
                <w:spacing w:val="80"/>
                <w:sz w:val="24"/>
              </w:rPr>
              <w:t> </w:t>
            </w:r>
            <w:r>
              <w:rPr>
                <w:sz w:val="24"/>
              </w:rPr>
              <w:t>To</w:t>
            </w:r>
            <w:r>
              <w:rPr>
                <w:spacing w:val="-9"/>
                <w:sz w:val="24"/>
              </w:rPr>
              <w:t> </w:t>
            </w:r>
            <w:r>
              <w:rPr>
                <w:sz w:val="24"/>
              </w:rPr>
              <w:t>compare</w:t>
            </w:r>
            <w:r>
              <w:rPr>
                <w:spacing w:val="-8"/>
                <w:sz w:val="24"/>
              </w:rPr>
              <w:t> </w:t>
            </w:r>
            <w:r>
              <w:rPr>
                <w:sz w:val="24"/>
              </w:rPr>
              <w:t>water poverty in </w:t>
            </w:r>
            <w:r>
              <w:rPr>
                <w:spacing w:val="-2"/>
                <w:sz w:val="24"/>
              </w:rPr>
              <w:t>neighbourhood </w:t>
            </w:r>
            <w:r>
              <w:rPr>
                <w:sz w:val="24"/>
              </w:rPr>
              <w:t>around the public mains with those </w:t>
            </w:r>
            <w:r>
              <w:rPr>
                <w:spacing w:val="-2"/>
                <w:sz w:val="24"/>
              </w:rPr>
              <w:t>neighborhoods </w:t>
            </w:r>
            <w:r>
              <w:rPr>
                <w:sz w:val="24"/>
              </w:rPr>
              <w:t>outside public</w:t>
            </w:r>
          </w:p>
          <w:p>
            <w:pPr>
              <w:pStyle w:val="TableParagraph"/>
              <w:spacing w:line="261" w:lineRule="exact"/>
              <w:ind w:left="835"/>
              <w:rPr>
                <w:sz w:val="24"/>
              </w:rPr>
            </w:pPr>
            <w:r>
              <w:rPr>
                <w:spacing w:val="-2"/>
                <w:sz w:val="24"/>
              </w:rPr>
              <w:t>mains</w:t>
            </w:r>
          </w:p>
        </w:tc>
        <w:tc>
          <w:tcPr>
            <w:tcW w:w="2111" w:type="dxa"/>
          </w:tcPr>
          <w:p>
            <w:pPr>
              <w:pStyle w:val="TableParagraph"/>
              <w:ind w:left="114" w:right="157"/>
              <w:rPr>
                <w:sz w:val="24"/>
              </w:rPr>
            </w:pPr>
            <w:r>
              <w:rPr>
                <w:sz w:val="24"/>
              </w:rPr>
              <w:t>Data from objective</w:t>
            </w:r>
            <w:r>
              <w:rPr>
                <w:spacing w:val="-15"/>
                <w:sz w:val="24"/>
              </w:rPr>
              <w:t> </w:t>
            </w:r>
            <w:r>
              <w:rPr>
                <w:sz w:val="24"/>
              </w:rPr>
              <w:t>three</w:t>
            </w:r>
            <w:r>
              <w:rPr>
                <w:spacing w:val="-15"/>
                <w:sz w:val="24"/>
              </w:rPr>
              <w:t> </w:t>
            </w:r>
            <w:r>
              <w:rPr>
                <w:sz w:val="24"/>
              </w:rPr>
              <w:t>(3) </w:t>
            </w:r>
            <w:r>
              <w:rPr>
                <w:spacing w:val="-2"/>
                <w:sz w:val="24"/>
              </w:rPr>
              <w:t>above</w:t>
            </w:r>
          </w:p>
        </w:tc>
        <w:tc>
          <w:tcPr>
            <w:tcW w:w="1974" w:type="dxa"/>
          </w:tcPr>
          <w:p>
            <w:pPr>
              <w:pStyle w:val="TableParagraph"/>
              <w:spacing w:line="271" w:lineRule="exact"/>
              <w:ind w:left="108"/>
              <w:rPr>
                <w:sz w:val="24"/>
              </w:rPr>
            </w:pPr>
            <w:r>
              <w:rPr>
                <w:spacing w:val="-2"/>
                <w:sz w:val="24"/>
              </w:rPr>
              <w:t>Questionnaire</w:t>
            </w:r>
          </w:p>
        </w:tc>
        <w:tc>
          <w:tcPr>
            <w:tcW w:w="1954" w:type="dxa"/>
          </w:tcPr>
          <w:p>
            <w:pPr>
              <w:pStyle w:val="TableParagraph"/>
              <w:ind w:left="235" w:right="241"/>
              <w:rPr>
                <w:sz w:val="24"/>
              </w:rPr>
            </w:pPr>
            <w:r>
              <w:rPr>
                <w:sz w:val="24"/>
              </w:rPr>
              <w:t>Independent</w:t>
            </w:r>
            <w:r>
              <w:rPr>
                <w:spacing w:val="-15"/>
                <w:sz w:val="24"/>
              </w:rPr>
              <w:t> </w:t>
            </w:r>
            <w:r>
              <w:rPr>
                <w:sz w:val="24"/>
              </w:rPr>
              <w:t>T- </w:t>
            </w:r>
            <w:r>
              <w:rPr>
                <w:spacing w:val="-4"/>
                <w:sz w:val="24"/>
              </w:rPr>
              <w:t>Test</w:t>
            </w:r>
          </w:p>
        </w:tc>
      </w:tr>
      <w:tr>
        <w:trPr>
          <w:trHeight w:val="1384" w:hRule="atLeast"/>
        </w:trPr>
        <w:tc>
          <w:tcPr>
            <w:tcW w:w="2845" w:type="dxa"/>
            <w:tcBorders>
              <w:bottom w:val="single" w:sz="8" w:space="0" w:color="000000"/>
            </w:tcBorders>
          </w:tcPr>
          <w:p>
            <w:pPr>
              <w:pStyle w:val="TableParagraph"/>
              <w:ind w:left="835" w:right="112" w:hanging="360"/>
              <w:rPr>
                <w:sz w:val="24"/>
              </w:rPr>
            </w:pPr>
            <w:r>
              <w:rPr>
                <w:sz w:val="24"/>
              </w:rPr>
              <w:t>5.</w:t>
            </w:r>
            <w:r>
              <w:rPr>
                <w:spacing w:val="80"/>
                <w:sz w:val="24"/>
              </w:rPr>
              <w:t> </w:t>
            </w:r>
            <w:r>
              <w:rPr>
                <w:sz w:val="24"/>
              </w:rPr>
              <w:t>To assess </w:t>
            </w:r>
            <w:r>
              <w:rPr>
                <w:spacing w:val="-2"/>
                <w:sz w:val="24"/>
              </w:rPr>
              <w:t>households’ </w:t>
            </w:r>
            <w:r>
              <w:rPr>
                <w:sz w:val="24"/>
              </w:rPr>
              <w:t>adaptation</w:t>
            </w:r>
            <w:r>
              <w:rPr>
                <w:spacing w:val="-15"/>
                <w:sz w:val="24"/>
              </w:rPr>
              <w:t> </w:t>
            </w:r>
            <w:r>
              <w:rPr>
                <w:sz w:val="24"/>
              </w:rPr>
              <w:t>to</w:t>
            </w:r>
            <w:r>
              <w:rPr>
                <w:spacing w:val="-15"/>
                <w:sz w:val="24"/>
              </w:rPr>
              <w:t> </w:t>
            </w:r>
            <w:r>
              <w:rPr>
                <w:sz w:val="24"/>
              </w:rPr>
              <w:t>water poverty in the</w:t>
            </w:r>
          </w:p>
          <w:p>
            <w:pPr>
              <w:pStyle w:val="TableParagraph"/>
              <w:spacing w:line="266" w:lineRule="exact"/>
              <w:ind w:left="835"/>
              <w:rPr>
                <w:sz w:val="24"/>
              </w:rPr>
            </w:pPr>
            <w:r>
              <w:rPr>
                <w:sz w:val="24"/>
              </w:rPr>
              <w:t>study</w:t>
            </w:r>
            <w:r>
              <w:rPr>
                <w:spacing w:val="-5"/>
                <w:sz w:val="24"/>
              </w:rPr>
              <w:t> </w:t>
            </w:r>
            <w:r>
              <w:rPr>
                <w:spacing w:val="-4"/>
                <w:sz w:val="24"/>
              </w:rPr>
              <w:t>area</w:t>
            </w:r>
          </w:p>
        </w:tc>
        <w:tc>
          <w:tcPr>
            <w:tcW w:w="2111" w:type="dxa"/>
            <w:tcBorders>
              <w:bottom w:val="single" w:sz="8" w:space="0" w:color="000000"/>
            </w:tcBorders>
          </w:tcPr>
          <w:p>
            <w:pPr>
              <w:pStyle w:val="TableParagraph"/>
              <w:ind w:left="114" w:right="238"/>
              <w:rPr>
                <w:sz w:val="24"/>
              </w:rPr>
            </w:pPr>
            <w:r>
              <w:rPr>
                <w:sz w:val="24"/>
              </w:rPr>
              <w:t>Household</w:t>
            </w:r>
            <w:r>
              <w:rPr>
                <w:spacing w:val="-15"/>
                <w:sz w:val="24"/>
              </w:rPr>
              <w:t> </w:t>
            </w:r>
            <w:r>
              <w:rPr>
                <w:sz w:val="24"/>
              </w:rPr>
              <w:t>coping </w:t>
            </w:r>
            <w:r>
              <w:rPr>
                <w:spacing w:val="-2"/>
                <w:sz w:val="24"/>
              </w:rPr>
              <w:t>measures</w:t>
            </w:r>
          </w:p>
        </w:tc>
        <w:tc>
          <w:tcPr>
            <w:tcW w:w="1974" w:type="dxa"/>
            <w:tcBorders>
              <w:bottom w:val="single" w:sz="8" w:space="0" w:color="000000"/>
            </w:tcBorders>
          </w:tcPr>
          <w:p>
            <w:pPr>
              <w:pStyle w:val="TableParagraph"/>
              <w:spacing w:line="271" w:lineRule="exact"/>
              <w:ind w:left="108"/>
              <w:rPr>
                <w:sz w:val="24"/>
              </w:rPr>
            </w:pPr>
            <w:r>
              <w:rPr>
                <w:spacing w:val="-2"/>
                <w:sz w:val="24"/>
              </w:rPr>
              <w:t>Questionnaire</w:t>
            </w:r>
          </w:p>
        </w:tc>
        <w:tc>
          <w:tcPr>
            <w:tcW w:w="1954" w:type="dxa"/>
            <w:tcBorders>
              <w:bottom w:val="single" w:sz="8" w:space="0" w:color="000000"/>
            </w:tcBorders>
          </w:tcPr>
          <w:p>
            <w:pPr>
              <w:pStyle w:val="TableParagraph"/>
              <w:ind w:left="235" w:right="480"/>
              <w:rPr>
                <w:sz w:val="24"/>
              </w:rPr>
            </w:pPr>
            <w:r>
              <w:rPr>
                <w:spacing w:val="-2"/>
                <w:sz w:val="24"/>
              </w:rPr>
              <w:t>Descriptive </w:t>
            </w:r>
            <w:r>
              <w:rPr>
                <w:sz w:val="24"/>
              </w:rPr>
              <w:t>statistics</w:t>
            </w:r>
            <w:r>
              <w:rPr>
                <w:spacing w:val="-15"/>
                <w:sz w:val="24"/>
              </w:rPr>
              <w:t> </w:t>
            </w:r>
            <w:r>
              <w:rPr>
                <w:sz w:val="24"/>
              </w:rPr>
              <w:t>and </w:t>
            </w:r>
            <w:r>
              <w:rPr>
                <w:spacing w:val="-2"/>
                <w:sz w:val="24"/>
              </w:rPr>
              <w:t>Relative Importance</w:t>
            </w:r>
          </w:p>
          <w:p>
            <w:pPr>
              <w:pStyle w:val="TableParagraph"/>
              <w:spacing w:line="266" w:lineRule="exact"/>
              <w:ind w:left="235"/>
              <w:rPr>
                <w:sz w:val="24"/>
              </w:rPr>
            </w:pPr>
            <w:r>
              <w:rPr>
                <w:spacing w:val="-2"/>
                <w:sz w:val="24"/>
              </w:rPr>
              <w:t>Index</w:t>
            </w:r>
          </w:p>
        </w:tc>
      </w:tr>
    </w:tbl>
    <w:p>
      <w:pPr>
        <w:pStyle w:val="BodyText"/>
        <w:spacing w:line="480" w:lineRule="auto" w:before="270"/>
        <w:ind w:left="267" w:right="729"/>
        <w:jc w:val="both"/>
      </w:pPr>
      <w:r>
        <w:rPr/>
        <w:t>For</w:t>
      </w:r>
      <w:r>
        <w:rPr>
          <w:spacing w:val="-15"/>
        </w:rPr>
        <w:t> </w:t>
      </w:r>
      <w:r>
        <w:rPr/>
        <w:t>objectives</w:t>
      </w:r>
      <w:r>
        <w:rPr>
          <w:spacing w:val="-15"/>
        </w:rPr>
        <w:t> </w:t>
      </w:r>
      <w:r>
        <w:rPr/>
        <w:t>three</w:t>
      </w:r>
      <w:r>
        <w:rPr>
          <w:spacing w:val="-15"/>
        </w:rPr>
        <w:t> </w:t>
      </w:r>
      <w:r>
        <w:rPr/>
        <w:t>(3)</w:t>
      </w:r>
      <w:r>
        <w:rPr>
          <w:spacing w:val="-15"/>
        </w:rPr>
        <w:t> </w:t>
      </w:r>
      <w:r>
        <w:rPr/>
        <w:t>and</w:t>
      </w:r>
      <w:r>
        <w:rPr>
          <w:spacing w:val="-15"/>
        </w:rPr>
        <w:t> </w:t>
      </w:r>
      <w:r>
        <w:rPr/>
        <w:t>four</w:t>
      </w:r>
      <w:r>
        <w:rPr>
          <w:spacing w:val="-15"/>
        </w:rPr>
        <w:t> </w:t>
      </w:r>
      <w:r>
        <w:rPr/>
        <w:t>(4),</w:t>
      </w:r>
      <w:r>
        <w:rPr>
          <w:spacing w:val="-15"/>
        </w:rPr>
        <w:t> </w:t>
      </w:r>
      <w:r>
        <w:rPr/>
        <w:t>the</w:t>
      </w:r>
      <w:r>
        <w:rPr>
          <w:spacing w:val="-15"/>
        </w:rPr>
        <w:t> </w:t>
      </w:r>
      <w:r>
        <w:rPr/>
        <w:t>type</w:t>
      </w:r>
      <w:r>
        <w:rPr>
          <w:spacing w:val="-15"/>
        </w:rPr>
        <w:t> </w:t>
      </w:r>
      <w:r>
        <w:rPr/>
        <w:t>of</w:t>
      </w:r>
      <w:r>
        <w:rPr>
          <w:spacing w:val="-15"/>
        </w:rPr>
        <w:t> </w:t>
      </w:r>
      <w:r>
        <w:rPr/>
        <w:t>data</w:t>
      </w:r>
      <w:r>
        <w:rPr>
          <w:spacing w:val="-15"/>
        </w:rPr>
        <w:t> </w:t>
      </w:r>
      <w:r>
        <w:rPr/>
        <w:t>required</w:t>
      </w:r>
      <w:r>
        <w:rPr>
          <w:spacing w:val="-15"/>
        </w:rPr>
        <w:t> </w:t>
      </w:r>
      <w:r>
        <w:rPr/>
        <w:t>was</w:t>
      </w:r>
      <w:r>
        <w:rPr>
          <w:spacing w:val="-15"/>
        </w:rPr>
        <w:t> </w:t>
      </w:r>
      <w:r>
        <w:rPr/>
        <w:t>on</w:t>
      </w:r>
      <w:r>
        <w:rPr>
          <w:spacing w:val="-15"/>
        </w:rPr>
        <w:t> </w:t>
      </w:r>
      <w:r>
        <w:rPr/>
        <w:t>water</w:t>
      </w:r>
      <w:r>
        <w:rPr>
          <w:spacing w:val="-15"/>
        </w:rPr>
        <w:t> </w:t>
      </w:r>
      <w:r>
        <w:rPr/>
        <w:t>poverty</w:t>
      </w:r>
      <w:r>
        <w:rPr>
          <w:spacing w:val="-15"/>
        </w:rPr>
        <w:t> </w:t>
      </w:r>
      <w:r>
        <w:rPr/>
        <w:t>indicators (WPI) such as information on the sources, use, access, capacity and environment. The data was also sourced through questionnaires administered to the households and the data was analyzed using the linear scaling technique, descriptive statistics, correlation method, principal component analysis and also the independent T-test. the analyzed data was then presented</w:t>
      </w:r>
      <w:r>
        <w:rPr>
          <w:spacing w:val="19"/>
        </w:rPr>
        <w:t> </w:t>
      </w:r>
      <w:r>
        <w:rPr/>
        <w:t>on</w:t>
      </w:r>
      <w:r>
        <w:rPr>
          <w:spacing w:val="21"/>
        </w:rPr>
        <w:t> </w:t>
      </w:r>
      <w:r>
        <w:rPr/>
        <w:t>tables,</w:t>
      </w:r>
      <w:r>
        <w:rPr>
          <w:spacing w:val="20"/>
        </w:rPr>
        <w:t> </w:t>
      </w:r>
      <w:r>
        <w:rPr/>
        <w:t>charts,</w:t>
      </w:r>
      <w:r>
        <w:rPr>
          <w:spacing w:val="21"/>
        </w:rPr>
        <w:t> </w:t>
      </w:r>
      <w:r>
        <w:rPr/>
        <w:t>maps</w:t>
      </w:r>
      <w:r>
        <w:rPr>
          <w:spacing w:val="21"/>
        </w:rPr>
        <w:t> </w:t>
      </w:r>
      <w:r>
        <w:rPr/>
        <w:t>and</w:t>
      </w:r>
      <w:r>
        <w:rPr>
          <w:spacing w:val="20"/>
        </w:rPr>
        <w:t> </w:t>
      </w:r>
      <w:r>
        <w:rPr/>
        <w:t>on</w:t>
      </w:r>
      <w:r>
        <w:rPr>
          <w:spacing w:val="21"/>
        </w:rPr>
        <w:t> </w:t>
      </w:r>
      <w:r>
        <w:rPr/>
        <w:t>pentagrams.</w:t>
      </w:r>
      <w:r>
        <w:rPr>
          <w:spacing w:val="21"/>
        </w:rPr>
        <w:t> </w:t>
      </w:r>
      <w:r>
        <w:rPr/>
        <w:t>And</w:t>
      </w:r>
      <w:r>
        <w:rPr>
          <w:spacing w:val="20"/>
        </w:rPr>
        <w:t> </w:t>
      </w:r>
      <w:r>
        <w:rPr/>
        <w:t>lastly</w:t>
      </w:r>
      <w:r>
        <w:rPr>
          <w:spacing w:val="14"/>
        </w:rPr>
        <w:t> </w:t>
      </w:r>
      <w:r>
        <w:rPr/>
        <w:t>for</w:t>
      </w:r>
      <w:r>
        <w:rPr>
          <w:spacing w:val="19"/>
        </w:rPr>
        <w:t> </w:t>
      </w:r>
      <w:r>
        <w:rPr/>
        <w:t>objective</w:t>
      </w:r>
      <w:r>
        <w:rPr>
          <w:spacing w:val="20"/>
        </w:rPr>
        <w:t> </w:t>
      </w:r>
      <w:r>
        <w:rPr/>
        <w:t>five</w:t>
      </w:r>
      <w:r>
        <w:rPr>
          <w:spacing w:val="19"/>
        </w:rPr>
        <w:t> </w:t>
      </w:r>
      <w:r>
        <w:rPr/>
        <w:t>(5)</w:t>
      </w:r>
      <w:r>
        <w:rPr>
          <w:spacing w:val="19"/>
        </w:rPr>
        <w:t> </w:t>
      </w:r>
      <w:r>
        <w:rPr>
          <w:spacing w:val="-5"/>
        </w:rPr>
        <w:t>the</w:t>
      </w:r>
    </w:p>
    <w:p>
      <w:pPr>
        <w:spacing w:after="0" w:line="480" w:lineRule="auto"/>
        <w:jc w:val="both"/>
        <w:sectPr>
          <w:pgSz w:w="12240" w:h="15840"/>
          <w:pgMar w:header="0" w:footer="1068" w:top="1340" w:bottom="1260" w:left="1720" w:right="680"/>
        </w:sectPr>
      </w:pPr>
    </w:p>
    <w:p>
      <w:pPr>
        <w:pStyle w:val="BodyText"/>
        <w:spacing w:line="480" w:lineRule="auto" w:before="63"/>
        <w:ind w:left="267" w:right="728"/>
        <w:jc w:val="both"/>
      </w:pPr>
      <w:r>
        <w:rPr/>
        <w:t>type of data required was on the various measures employed by households in coping with water poverty and the data was also collected using questionnaires and analyzed using descriptive statistics and relative importance index. The data analyzed were then presented in tables and charts.</w:t>
      </w:r>
    </w:p>
    <w:p>
      <w:pPr>
        <w:spacing w:after="0" w:line="480" w:lineRule="auto"/>
        <w:jc w:val="both"/>
        <w:sectPr>
          <w:pgSz w:w="12240" w:h="15840"/>
          <w:pgMar w:header="0" w:footer="1068" w:top="1340" w:bottom="1260" w:left="1720" w:right="680"/>
        </w:sectPr>
      </w:pPr>
    </w:p>
    <w:p>
      <w:pPr>
        <w:spacing w:before="70"/>
        <w:ind w:left="9" w:right="475" w:firstLine="0"/>
        <w:jc w:val="center"/>
        <w:rPr>
          <w:b/>
          <w:sz w:val="24"/>
        </w:rPr>
      </w:pPr>
      <w:r>
        <w:rPr>
          <w:b/>
          <w:sz w:val="24"/>
        </w:rPr>
        <w:t>CHAPTER</w:t>
      </w:r>
      <w:r>
        <w:rPr>
          <w:b/>
          <w:spacing w:val="-5"/>
          <w:sz w:val="24"/>
        </w:rPr>
        <w:t> </w:t>
      </w:r>
      <w:r>
        <w:rPr>
          <w:b/>
          <w:spacing w:val="-4"/>
          <w:sz w:val="24"/>
        </w:rPr>
        <w:t>FOUR</w:t>
      </w:r>
    </w:p>
    <w:p>
      <w:pPr>
        <w:pStyle w:val="BodyText"/>
        <w:spacing w:before="22"/>
        <w:rPr>
          <w:b/>
        </w:rPr>
      </w:pPr>
    </w:p>
    <w:p>
      <w:pPr>
        <w:pStyle w:val="ListParagraph"/>
        <w:numPr>
          <w:ilvl w:val="1"/>
          <w:numId w:val="10"/>
        </w:numPr>
        <w:tabs>
          <w:tab w:pos="3088" w:val="left" w:leader="none"/>
        </w:tabs>
        <w:spacing w:line="240" w:lineRule="auto" w:before="0" w:after="0"/>
        <w:ind w:left="3088" w:right="0" w:hanging="2821"/>
        <w:jc w:val="left"/>
        <w:rPr>
          <w:b/>
          <w:sz w:val="24"/>
        </w:rPr>
      </w:pPr>
      <w:r>
        <w:rPr>
          <w:b/>
          <w:sz w:val="24"/>
        </w:rPr>
        <w:t>RESULTS</w:t>
      </w:r>
      <w:r>
        <w:rPr>
          <w:b/>
          <w:spacing w:val="-1"/>
          <w:sz w:val="24"/>
        </w:rPr>
        <w:t> </w:t>
      </w:r>
      <w:r>
        <w:rPr>
          <w:b/>
          <w:sz w:val="24"/>
        </w:rPr>
        <w:t>AND </w:t>
      </w:r>
      <w:r>
        <w:rPr>
          <w:b/>
          <w:spacing w:val="-2"/>
          <w:sz w:val="24"/>
        </w:rPr>
        <w:t>DISCUSSIONS</w:t>
      </w:r>
    </w:p>
    <w:p>
      <w:pPr>
        <w:pStyle w:val="BodyText"/>
        <w:spacing w:before="22"/>
        <w:rPr>
          <w:b/>
        </w:rPr>
      </w:pPr>
    </w:p>
    <w:p>
      <w:pPr>
        <w:pStyle w:val="ListParagraph"/>
        <w:numPr>
          <w:ilvl w:val="1"/>
          <w:numId w:val="10"/>
        </w:numPr>
        <w:tabs>
          <w:tab w:pos="987" w:val="left" w:leader="none"/>
        </w:tabs>
        <w:spacing w:line="240" w:lineRule="auto" w:before="0" w:after="0"/>
        <w:ind w:left="987" w:right="0" w:hanging="720"/>
        <w:jc w:val="left"/>
        <w:rPr>
          <w:b/>
          <w:sz w:val="24"/>
        </w:rPr>
      </w:pPr>
      <w:r>
        <w:rPr>
          <w:b/>
          <w:sz w:val="24"/>
        </w:rPr>
        <w:t>Area</w:t>
      </w:r>
      <w:r>
        <w:rPr>
          <w:b/>
          <w:spacing w:val="-2"/>
          <w:sz w:val="24"/>
        </w:rPr>
        <w:t> </w:t>
      </w:r>
      <w:r>
        <w:rPr>
          <w:b/>
          <w:sz w:val="24"/>
        </w:rPr>
        <w:t>Coverage</w:t>
      </w:r>
      <w:r>
        <w:rPr>
          <w:b/>
          <w:spacing w:val="-2"/>
          <w:sz w:val="24"/>
        </w:rPr>
        <w:t> </w:t>
      </w:r>
      <w:r>
        <w:rPr>
          <w:b/>
          <w:sz w:val="24"/>
        </w:rPr>
        <w:t>of</w:t>
      </w:r>
      <w:r>
        <w:rPr>
          <w:b/>
          <w:spacing w:val="2"/>
          <w:sz w:val="24"/>
        </w:rPr>
        <w:t> </w:t>
      </w:r>
      <w:r>
        <w:rPr>
          <w:b/>
          <w:sz w:val="24"/>
        </w:rPr>
        <w:t>Public</w:t>
      </w:r>
      <w:r>
        <w:rPr>
          <w:b/>
          <w:spacing w:val="-3"/>
          <w:sz w:val="24"/>
        </w:rPr>
        <w:t> </w:t>
      </w:r>
      <w:r>
        <w:rPr>
          <w:b/>
          <w:sz w:val="24"/>
        </w:rPr>
        <w:t>Water</w:t>
      </w:r>
      <w:r>
        <w:rPr>
          <w:b/>
          <w:spacing w:val="-2"/>
          <w:sz w:val="24"/>
        </w:rPr>
        <w:t> </w:t>
      </w:r>
      <w:r>
        <w:rPr>
          <w:b/>
          <w:sz w:val="24"/>
        </w:rPr>
        <w:t>Supply</w:t>
      </w:r>
      <w:r>
        <w:rPr>
          <w:b/>
          <w:spacing w:val="3"/>
          <w:sz w:val="24"/>
        </w:rPr>
        <w:t> </w:t>
      </w:r>
      <w:r>
        <w:rPr>
          <w:b/>
          <w:sz w:val="24"/>
        </w:rPr>
        <w:t>in </w:t>
      </w:r>
      <w:r>
        <w:rPr>
          <w:b/>
          <w:spacing w:val="-4"/>
          <w:sz w:val="24"/>
        </w:rPr>
        <w:t>Minna</w:t>
      </w:r>
    </w:p>
    <w:p>
      <w:pPr>
        <w:pStyle w:val="BodyText"/>
        <w:spacing w:before="14"/>
        <w:rPr>
          <w:b/>
        </w:rPr>
      </w:pPr>
    </w:p>
    <w:p>
      <w:pPr>
        <w:pStyle w:val="BodyText"/>
        <w:spacing w:line="480" w:lineRule="auto"/>
        <w:ind w:left="267" w:right="728"/>
        <w:jc w:val="both"/>
      </w:pPr>
      <w:r>
        <w:rPr/>
        <w:t>Figure</w:t>
      </w:r>
      <w:r>
        <w:rPr>
          <w:spacing w:val="-1"/>
        </w:rPr>
        <w:t> </w:t>
      </w:r>
      <w:r>
        <w:rPr/>
        <w:t>4.1 provides the area</w:t>
      </w:r>
      <w:r>
        <w:rPr>
          <w:spacing w:val="-1"/>
        </w:rPr>
        <w:t> </w:t>
      </w:r>
      <w:r>
        <w:rPr/>
        <w:t>coverage</w:t>
      </w:r>
      <w:r>
        <w:rPr>
          <w:spacing w:val="-1"/>
        </w:rPr>
        <w:t> </w:t>
      </w:r>
      <w:r>
        <w:rPr/>
        <w:t>of</w:t>
      </w:r>
      <w:r>
        <w:rPr>
          <w:spacing w:val="-1"/>
        </w:rPr>
        <w:t> </w:t>
      </w:r>
      <w:r>
        <w:rPr/>
        <w:t>public</w:t>
      </w:r>
      <w:r>
        <w:rPr>
          <w:spacing w:val="-1"/>
        </w:rPr>
        <w:t> </w:t>
      </w:r>
      <w:r>
        <w:rPr/>
        <w:t>water</w:t>
      </w:r>
      <w:r>
        <w:rPr>
          <w:spacing w:val="-2"/>
        </w:rPr>
        <w:t> </w:t>
      </w:r>
      <w:r>
        <w:rPr/>
        <w:t>supply</w:t>
      </w:r>
      <w:r>
        <w:rPr>
          <w:spacing w:val="-5"/>
        </w:rPr>
        <w:t> </w:t>
      </w:r>
      <w:r>
        <w:rPr/>
        <w:t>in the</w:t>
      </w:r>
      <w:r>
        <w:rPr>
          <w:spacing w:val="-1"/>
        </w:rPr>
        <w:t> </w:t>
      </w:r>
      <w:r>
        <w:rPr/>
        <w:t>study</w:t>
      </w:r>
      <w:r>
        <w:rPr>
          <w:spacing w:val="-5"/>
        </w:rPr>
        <w:t> </w:t>
      </w:r>
      <w:r>
        <w:rPr/>
        <w:t>area. It shows that not all the sampled eight (8) neigbourhoods in the study were totally</w:t>
      </w:r>
      <w:r>
        <w:rPr>
          <w:spacing w:val="-3"/>
        </w:rPr>
        <w:t> </w:t>
      </w:r>
      <w:r>
        <w:rPr/>
        <w:t>within the coverage of public/improved</w:t>
      </w:r>
      <w:r>
        <w:rPr>
          <w:spacing w:val="-10"/>
        </w:rPr>
        <w:t> </w:t>
      </w:r>
      <w:r>
        <w:rPr/>
        <w:t>water</w:t>
      </w:r>
      <w:r>
        <w:rPr>
          <w:spacing w:val="-11"/>
        </w:rPr>
        <w:t> </w:t>
      </w:r>
      <w:r>
        <w:rPr/>
        <w:t>supply.</w:t>
      </w:r>
      <w:r>
        <w:rPr>
          <w:spacing w:val="-10"/>
        </w:rPr>
        <w:t> </w:t>
      </w:r>
      <w:r>
        <w:rPr/>
        <w:t>This</w:t>
      </w:r>
      <w:r>
        <w:rPr>
          <w:spacing w:val="-9"/>
        </w:rPr>
        <w:t> </w:t>
      </w:r>
      <w:r>
        <w:rPr/>
        <w:t>finding</w:t>
      </w:r>
      <w:r>
        <w:rPr>
          <w:spacing w:val="-12"/>
        </w:rPr>
        <w:t> </w:t>
      </w:r>
      <w:r>
        <w:rPr/>
        <w:t>on</w:t>
      </w:r>
      <w:r>
        <w:rPr>
          <w:spacing w:val="-10"/>
        </w:rPr>
        <w:t> </w:t>
      </w:r>
      <w:r>
        <w:rPr/>
        <w:t>the</w:t>
      </w:r>
      <w:r>
        <w:rPr>
          <w:spacing w:val="-8"/>
        </w:rPr>
        <w:t> </w:t>
      </w:r>
      <w:r>
        <w:rPr/>
        <w:t>limited</w:t>
      </w:r>
      <w:r>
        <w:rPr>
          <w:spacing w:val="-10"/>
        </w:rPr>
        <w:t> </w:t>
      </w:r>
      <w:r>
        <w:rPr/>
        <w:t>public</w:t>
      </w:r>
      <w:r>
        <w:rPr>
          <w:spacing w:val="-11"/>
        </w:rPr>
        <w:t> </w:t>
      </w:r>
      <w:r>
        <w:rPr/>
        <w:t>water</w:t>
      </w:r>
      <w:r>
        <w:rPr>
          <w:spacing w:val="-11"/>
        </w:rPr>
        <w:t> </w:t>
      </w:r>
      <w:r>
        <w:rPr/>
        <w:t>coverage</w:t>
      </w:r>
      <w:r>
        <w:rPr>
          <w:spacing w:val="-11"/>
        </w:rPr>
        <w:t> </w:t>
      </w:r>
      <w:r>
        <w:rPr/>
        <w:t>in</w:t>
      </w:r>
      <w:r>
        <w:rPr>
          <w:spacing w:val="-9"/>
        </w:rPr>
        <w:t> </w:t>
      </w:r>
      <w:r>
        <w:rPr/>
        <w:t>the</w:t>
      </w:r>
      <w:r>
        <w:rPr>
          <w:spacing w:val="-10"/>
        </w:rPr>
        <w:t> </w:t>
      </w:r>
      <w:r>
        <w:rPr/>
        <w:t>study area is at variance with the target of SGD goal 6.1 which recommended 100% improved water</w:t>
      </w:r>
      <w:r>
        <w:rPr>
          <w:spacing w:val="-10"/>
        </w:rPr>
        <w:t> </w:t>
      </w:r>
      <w:r>
        <w:rPr/>
        <w:t>coverage</w:t>
      </w:r>
      <w:r>
        <w:rPr>
          <w:spacing w:val="-10"/>
        </w:rPr>
        <w:t> </w:t>
      </w:r>
      <w:r>
        <w:rPr/>
        <w:t>for</w:t>
      </w:r>
      <w:r>
        <w:rPr>
          <w:spacing w:val="-10"/>
        </w:rPr>
        <w:t> </w:t>
      </w:r>
      <w:r>
        <w:rPr/>
        <w:t>all</w:t>
      </w:r>
      <w:r>
        <w:rPr>
          <w:spacing w:val="-9"/>
        </w:rPr>
        <w:t> </w:t>
      </w:r>
      <w:r>
        <w:rPr/>
        <w:t>un-served</w:t>
      </w:r>
      <w:r>
        <w:rPr>
          <w:spacing w:val="-9"/>
        </w:rPr>
        <w:t> </w:t>
      </w:r>
      <w:r>
        <w:rPr/>
        <w:t>urban</w:t>
      </w:r>
      <w:r>
        <w:rPr>
          <w:spacing w:val="-9"/>
        </w:rPr>
        <w:t> </w:t>
      </w:r>
      <w:r>
        <w:rPr/>
        <w:t>population</w:t>
      </w:r>
      <w:r>
        <w:rPr>
          <w:spacing w:val="-9"/>
        </w:rPr>
        <w:t> </w:t>
      </w:r>
      <w:r>
        <w:rPr/>
        <w:t>residing</w:t>
      </w:r>
      <w:r>
        <w:rPr>
          <w:spacing w:val="-11"/>
        </w:rPr>
        <w:t> </w:t>
      </w:r>
      <w:r>
        <w:rPr/>
        <w:t>in</w:t>
      </w:r>
      <w:r>
        <w:rPr>
          <w:spacing w:val="-9"/>
        </w:rPr>
        <w:t> </w:t>
      </w:r>
      <w:r>
        <w:rPr/>
        <w:t>urban</w:t>
      </w:r>
      <w:r>
        <w:rPr>
          <w:spacing w:val="-9"/>
        </w:rPr>
        <w:t> </w:t>
      </w:r>
      <w:r>
        <w:rPr/>
        <w:t>centres.</w:t>
      </w:r>
      <w:r>
        <w:rPr>
          <w:spacing w:val="-6"/>
        </w:rPr>
        <w:t> </w:t>
      </w:r>
      <w:r>
        <w:rPr/>
        <w:t>The</w:t>
      </w:r>
      <w:r>
        <w:rPr>
          <w:spacing w:val="-10"/>
        </w:rPr>
        <w:t> </w:t>
      </w:r>
      <w:r>
        <w:rPr/>
        <w:t>finding</w:t>
      </w:r>
      <w:r>
        <w:rPr>
          <w:spacing w:val="-10"/>
        </w:rPr>
        <w:t> </w:t>
      </w:r>
      <w:r>
        <w:rPr/>
        <w:t>also implied that some households in the study area are more likely to have low access to improved water sources, as the neighbourhoods are partly outside the reach of public water </w:t>
      </w:r>
      <w:r>
        <w:rPr>
          <w:spacing w:val="-2"/>
        </w:rPr>
        <w:t>coverage.</w:t>
      </w:r>
    </w:p>
    <w:p>
      <w:pPr>
        <w:pStyle w:val="BodyText"/>
        <w:spacing w:line="480" w:lineRule="auto" w:before="1"/>
        <w:ind w:left="267" w:right="701"/>
      </w:pPr>
      <w:r>
        <w:rPr/>
        <w:t>In</w:t>
      </w:r>
      <w:r>
        <w:rPr>
          <w:spacing w:val="-5"/>
        </w:rPr>
        <w:t> </w:t>
      </w:r>
      <w:r>
        <w:rPr/>
        <w:t>addition,</w:t>
      </w:r>
      <w:r>
        <w:rPr>
          <w:spacing w:val="-7"/>
        </w:rPr>
        <w:t> </w:t>
      </w:r>
      <w:r>
        <w:rPr/>
        <w:t>this</w:t>
      </w:r>
      <w:r>
        <w:rPr>
          <w:spacing w:val="-7"/>
        </w:rPr>
        <w:t> </w:t>
      </w:r>
      <w:r>
        <w:rPr/>
        <w:t>limited</w:t>
      </w:r>
      <w:r>
        <w:rPr>
          <w:spacing w:val="-8"/>
        </w:rPr>
        <w:t> </w:t>
      </w:r>
      <w:r>
        <w:rPr/>
        <w:t>public</w:t>
      </w:r>
      <w:r>
        <w:rPr>
          <w:spacing w:val="-8"/>
        </w:rPr>
        <w:t> </w:t>
      </w:r>
      <w:r>
        <w:rPr/>
        <w:t>water</w:t>
      </w:r>
      <w:r>
        <w:rPr>
          <w:spacing w:val="-6"/>
        </w:rPr>
        <w:t> </w:t>
      </w:r>
      <w:r>
        <w:rPr/>
        <w:t>supply</w:t>
      </w:r>
      <w:r>
        <w:rPr>
          <w:spacing w:val="-7"/>
        </w:rPr>
        <w:t> </w:t>
      </w:r>
      <w:r>
        <w:rPr/>
        <w:t>also</w:t>
      </w:r>
      <w:r>
        <w:rPr>
          <w:spacing w:val="-7"/>
        </w:rPr>
        <w:t> </w:t>
      </w:r>
      <w:r>
        <w:rPr/>
        <w:t>have</w:t>
      </w:r>
      <w:r>
        <w:rPr>
          <w:spacing w:val="-8"/>
        </w:rPr>
        <w:t> </w:t>
      </w:r>
      <w:r>
        <w:rPr/>
        <w:t>spatial</w:t>
      </w:r>
      <w:r>
        <w:rPr>
          <w:spacing w:val="-7"/>
        </w:rPr>
        <w:t> </w:t>
      </w:r>
      <w:r>
        <w:rPr/>
        <w:t>dimensions</w:t>
      </w:r>
      <w:r>
        <w:rPr>
          <w:spacing w:val="-5"/>
        </w:rPr>
        <w:t> </w:t>
      </w:r>
      <w:r>
        <w:rPr/>
        <w:t>across</w:t>
      </w:r>
      <w:r>
        <w:rPr>
          <w:spacing w:val="-8"/>
        </w:rPr>
        <w:t> </w:t>
      </w:r>
      <w:r>
        <w:rPr/>
        <w:t>the</w:t>
      </w:r>
      <w:r>
        <w:rPr>
          <w:spacing w:val="-8"/>
        </w:rPr>
        <w:t> </w:t>
      </w:r>
      <w:r>
        <w:rPr/>
        <w:t>eight</w:t>
      </w:r>
      <w:r>
        <w:rPr>
          <w:spacing w:val="-4"/>
        </w:rPr>
        <w:t> </w:t>
      </w:r>
      <w:r>
        <w:rPr/>
        <w:t>(8) neigbourhoods in the study area. For instance, spatial differences exist across the four (4)</w:t>
      </w:r>
      <w:r>
        <w:rPr>
          <w:spacing w:val="40"/>
        </w:rPr>
        <w:t> </w:t>
      </w:r>
      <w:r>
        <w:rPr/>
        <w:t>zones (north, south, east and west) of the study area. Visual explanations in Figure 4.1 and Table</w:t>
      </w:r>
      <w:r>
        <w:rPr>
          <w:spacing w:val="40"/>
        </w:rPr>
        <w:t> </w:t>
      </w:r>
      <w:r>
        <w:rPr/>
        <w:t>4.1</w:t>
      </w:r>
      <w:r>
        <w:rPr>
          <w:spacing w:val="40"/>
        </w:rPr>
        <w:t> </w:t>
      </w:r>
      <w:r>
        <w:rPr/>
        <w:t>showed</w:t>
      </w:r>
      <w:r>
        <w:rPr>
          <w:spacing w:val="40"/>
        </w:rPr>
        <w:t> </w:t>
      </w:r>
      <w:r>
        <w:rPr/>
        <w:t>that</w:t>
      </w:r>
      <w:r>
        <w:rPr>
          <w:spacing w:val="40"/>
        </w:rPr>
        <w:t> </w:t>
      </w:r>
      <w:r>
        <w:rPr/>
        <w:t>the</w:t>
      </w:r>
      <w:r>
        <w:rPr>
          <w:spacing w:val="40"/>
        </w:rPr>
        <w:t> </w:t>
      </w:r>
      <w:r>
        <w:rPr/>
        <w:t>4</w:t>
      </w:r>
      <w:r>
        <w:rPr>
          <w:spacing w:val="40"/>
        </w:rPr>
        <w:t> </w:t>
      </w:r>
      <w:r>
        <w:rPr/>
        <w:t>neigbourhoods</w:t>
      </w:r>
      <w:r>
        <w:rPr>
          <w:spacing w:val="40"/>
        </w:rPr>
        <w:t> </w:t>
      </w:r>
      <w:r>
        <w:rPr/>
        <w:t>of</w:t>
      </w:r>
      <w:r>
        <w:rPr>
          <w:spacing w:val="40"/>
        </w:rPr>
        <w:t> </w:t>
      </w:r>
      <w:r>
        <w:rPr/>
        <w:t>Dutsenkura</w:t>
      </w:r>
      <w:r>
        <w:rPr>
          <w:spacing w:val="39"/>
        </w:rPr>
        <w:t> </w:t>
      </w:r>
      <w:r>
        <w:rPr/>
        <w:t>(North),</w:t>
      </w:r>
      <w:r>
        <w:rPr>
          <w:spacing w:val="40"/>
        </w:rPr>
        <w:t> </w:t>
      </w:r>
      <w:r>
        <w:rPr/>
        <w:t>Tudun-Wada</w:t>
      </w:r>
      <w:r>
        <w:rPr>
          <w:spacing w:val="40"/>
        </w:rPr>
        <w:t> </w:t>
      </w:r>
      <w:r>
        <w:rPr/>
        <w:t>South (South),</w:t>
      </w:r>
      <w:r>
        <w:rPr>
          <w:spacing w:val="-14"/>
        </w:rPr>
        <w:t> </w:t>
      </w:r>
      <w:r>
        <w:rPr/>
        <w:t>F-Layout</w:t>
      </w:r>
      <w:r>
        <w:rPr>
          <w:spacing w:val="-13"/>
        </w:rPr>
        <w:t> </w:t>
      </w:r>
      <w:r>
        <w:rPr/>
        <w:t>(East)</w:t>
      </w:r>
      <w:r>
        <w:rPr>
          <w:spacing w:val="-9"/>
        </w:rPr>
        <w:t> </w:t>
      </w:r>
      <w:r>
        <w:rPr/>
        <w:t>and</w:t>
      </w:r>
      <w:r>
        <w:rPr>
          <w:spacing w:val="-12"/>
        </w:rPr>
        <w:t> </w:t>
      </w:r>
      <w:r>
        <w:rPr/>
        <w:t>Minna-Central</w:t>
      </w:r>
      <w:r>
        <w:rPr>
          <w:spacing w:val="-13"/>
        </w:rPr>
        <w:t> </w:t>
      </w:r>
      <w:r>
        <w:rPr/>
        <w:t>(West)</w:t>
      </w:r>
      <w:r>
        <w:rPr>
          <w:spacing w:val="-13"/>
        </w:rPr>
        <w:t> </w:t>
      </w:r>
      <w:r>
        <w:rPr/>
        <w:t>were</w:t>
      </w:r>
      <w:r>
        <w:rPr>
          <w:spacing w:val="-14"/>
        </w:rPr>
        <w:t> </w:t>
      </w:r>
      <w:r>
        <w:rPr/>
        <w:t>within</w:t>
      </w:r>
      <w:r>
        <w:rPr>
          <w:spacing w:val="-13"/>
        </w:rPr>
        <w:t> </w:t>
      </w:r>
      <w:r>
        <w:rPr/>
        <w:t>the</w:t>
      </w:r>
      <w:r>
        <w:rPr>
          <w:spacing w:val="-11"/>
        </w:rPr>
        <w:t> </w:t>
      </w:r>
      <w:r>
        <w:rPr/>
        <w:t>coverage</w:t>
      </w:r>
      <w:r>
        <w:rPr>
          <w:spacing w:val="-14"/>
        </w:rPr>
        <w:t> </w:t>
      </w:r>
      <w:r>
        <w:rPr/>
        <w:t>of</w:t>
      </w:r>
      <w:r>
        <w:rPr>
          <w:spacing w:val="-14"/>
        </w:rPr>
        <w:t> </w:t>
      </w:r>
      <w:r>
        <w:rPr/>
        <w:t>public</w:t>
      </w:r>
      <w:r>
        <w:rPr>
          <w:spacing w:val="-12"/>
        </w:rPr>
        <w:t> </w:t>
      </w:r>
      <w:r>
        <w:rPr/>
        <w:t>water supply by the Niger State Water and Sewerage Corporation (NSWSC). Conversely, the 4</w:t>
      </w:r>
      <w:r>
        <w:rPr>
          <w:spacing w:val="80"/>
        </w:rPr>
        <w:t> </w:t>
      </w:r>
      <w:r>
        <w:rPr/>
        <w:t>neighbourhoods</w:t>
      </w:r>
      <w:r>
        <w:rPr>
          <w:spacing w:val="80"/>
        </w:rPr>
        <w:t> </w:t>
      </w:r>
      <w:r>
        <w:rPr/>
        <w:t>of</w:t>
      </w:r>
      <w:r>
        <w:rPr>
          <w:spacing w:val="80"/>
        </w:rPr>
        <w:t> </w:t>
      </w:r>
      <w:r>
        <w:rPr/>
        <w:t>Tudun-Fulani</w:t>
      </w:r>
      <w:r>
        <w:rPr>
          <w:spacing w:val="80"/>
        </w:rPr>
        <w:t> </w:t>
      </w:r>
      <w:r>
        <w:rPr/>
        <w:t>(North),</w:t>
      </w:r>
      <w:r>
        <w:rPr>
          <w:spacing w:val="80"/>
        </w:rPr>
        <w:t> </w:t>
      </w:r>
      <w:r>
        <w:rPr/>
        <w:t>Saukakauta</w:t>
      </w:r>
      <w:r>
        <w:rPr>
          <w:spacing w:val="80"/>
        </w:rPr>
        <w:t> </w:t>
      </w:r>
      <w:r>
        <w:rPr/>
        <w:t>(South),</w:t>
      </w:r>
      <w:r>
        <w:rPr>
          <w:spacing w:val="80"/>
        </w:rPr>
        <w:t> </w:t>
      </w:r>
      <w:r>
        <w:rPr/>
        <w:t>Maitumbi</w:t>
      </w:r>
      <w:r>
        <w:rPr>
          <w:spacing w:val="80"/>
        </w:rPr>
        <w:t> </w:t>
      </w:r>
      <w:r>
        <w:rPr/>
        <w:t>(East)</w:t>
      </w:r>
      <w:r>
        <w:rPr>
          <w:spacing w:val="80"/>
        </w:rPr>
        <w:t> </w:t>
      </w:r>
      <w:r>
        <w:rPr/>
        <w:t>and Kpakungu (West) were partially outside formal public water supply mains of the NSWSC. Interestingly,</w:t>
      </w:r>
      <w:r>
        <w:rPr>
          <w:spacing w:val="-8"/>
        </w:rPr>
        <w:t> </w:t>
      </w:r>
      <w:r>
        <w:rPr/>
        <w:t>these</w:t>
      </w:r>
      <w:r>
        <w:rPr>
          <w:spacing w:val="-9"/>
        </w:rPr>
        <w:t> </w:t>
      </w:r>
      <w:r>
        <w:rPr/>
        <w:t>four</w:t>
      </w:r>
      <w:r>
        <w:rPr>
          <w:spacing w:val="-10"/>
        </w:rPr>
        <w:t> </w:t>
      </w:r>
      <w:r>
        <w:rPr/>
        <w:t>neigbourhoods</w:t>
      </w:r>
      <w:r>
        <w:rPr>
          <w:spacing w:val="-8"/>
        </w:rPr>
        <w:t> </w:t>
      </w:r>
      <w:r>
        <w:rPr/>
        <w:t>which</w:t>
      </w:r>
      <w:r>
        <w:rPr>
          <w:spacing w:val="-8"/>
        </w:rPr>
        <w:t> </w:t>
      </w:r>
      <w:r>
        <w:rPr/>
        <w:t>were</w:t>
      </w:r>
      <w:r>
        <w:rPr>
          <w:spacing w:val="-9"/>
        </w:rPr>
        <w:t> </w:t>
      </w:r>
      <w:r>
        <w:rPr/>
        <w:t>partly</w:t>
      </w:r>
      <w:r>
        <w:rPr>
          <w:spacing w:val="-13"/>
        </w:rPr>
        <w:t> </w:t>
      </w:r>
      <w:r>
        <w:rPr/>
        <w:t>outside</w:t>
      </w:r>
      <w:r>
        <w:rPr>
          <w:spacing w:val="-9"/>
        </w:rPr>
        <w:t> </w:t>
      </w:r>
      <w:r>
        <w:rPr/>
        <w:t>the</w:t>
      </w:r>
      <w:r>
        <w:rPr>
          <w:spacing w:val="-9"/>
        </w:rPr>
        <w:t> </w:t>
      </w:r>
      <w:r>
        <w:rPr/>
        <w:t>public</w:t>
      </w:r>
      <w:r>
        <w:rPr>
          <w:spacing w:val="-9"/>
        </w:rPr>
        <w:t> </w:t>
      </w:r>
      <w:r>
        <w:rPr/>
        <w:t>water</w:t>
      </w:r>
      <w:r>
        <w:rPr>
          <w:spacing w:val="-9"/>
        </w:rPr>
        <w:t> </w:t>
      </w:r>
      <w:r>
        <w:rPr/>
        <w:t>mains</w:t>
      </w:r>
      <w:r>
        <w:rPr>
          <w:spacing w:val="-8"/>
        </w:rPr>
        <w:t> </w:t>
      </w:r>
      <w:r>
        <w:rPr/>
        <w:t>are located at the fringe of Minna city- meaning that public water supply does not reach most</w:t>
      </w:r>
      <w:r>
        <w:rPr>
          <w:spacing w:val="40"/>
        </w:rPr>
        <w:t> </w:t>
      </w:r>
      <w:r>
        <w:rPr/>
        <w:t>households residing in these neighbourhoods.</w:t>
      </w:r>
    </w:p>
    <w:p>
      <w:pPr>
        <w:spacing w:after="0" w:line="480" w:lineRule="auto"/>
        <w:sectPr>
          <w:pgSz w:w="12240" w:h="15840"/>
          <w:pgMar w:header="0" w:footer="1068" w:top="1340" w:bottom="1260" w:left="1720" w:right="680"/>
        </w:sectPr>
      </w:pPr>
    </w:p>
    <w:p>
      <w:pPr>
        <w:pStyle w:val="BodyText"/>
        <w:ind w:left="280"/>
        <w:rPr>
          <w:sz w:val="20"/>
        </w:rPr>
      </w:pPr>
      <w:r>
        <w:rPr>
          <w:sz w:val="20"/>
        </w:rPr>
        <mc:AlternateContent>
          <mc:Choice Requires="wps">
            <w:drawing>
              <wp:inline distT="0" distB="0" distL="0" distR="0">
                <wp:extent cx="5527675" cy="6832600"/>
                <wp:effectExtent l="0" t="0" r="0" b="6350"/>
                <wp:docPr id="80" name="Group 80"/>
                <wp:cNvGraphicFramePr>
                  <a:graphicFrameLocks/>
                </wp:cNvGraphicFramePr>
                <a:graphic>
                  <a:graphicData uri="http://schemas.microsoft.com/office/word/2010/wordprocessingGroup">
                    <wpg:wgp>
                      <wpg:cNvPr id="80" name="Group 80"/>
                      <wpg:cNvGrpSpPr/>
                      <wpg:grpSpPr>
                        <a:xfrm>
                          <a:off x="0" y="0"/>
                          <a:ext cx="5527675" cy="6832600"/>
                          <a:chExt cx="5527675" cy="6832600"/>
                        </a:xfrm>
                      </wpg:grpSpPr>
                      <pic:pic>
                        <pic:nvPicPr>
                          <pic:cNvPr id="81" name="Image 81" descr="C:\Users\Mrs Foluke\Downloads\water_page-0001.jpg"/>
                          <pic:cNvPicPr/>
                        </pic:nvPicPr>
                        <pic:blipFill>
                          <a:blip r:embed="rId27" cstate="print"/>
                          <a:stretch>
                            <a:fillRect/>
                          </a:stretch>
                        </pic:blipFill>
                        <pic:spPr>
                          <a:xfrm>
                            <a:off x="44658" y="71264"/>
                            <a:ext cx="5398275" cy="6708976"/>
                          </a:xfrm>
                          <a:prstGeom prst="rect">
                            <a:avLst/>
                          </a:prstGeom>
                        </pic:spPr>
                      </pic:pic>
                      <wps:wsp>
                        <wps:cNvPr id="82" name="Graphic 82"/>
                        <wps:cNvSpPr/>
                        <wps:spPr>
                          <a:xfrm>
                            <a:off x="4572" y="4572"/>
                            <a:ext cx="5518785" cy="6823075"/>
                          </a:xfrm>
                          <a:custGeom>
                            <a:avLst/>
                            <a:gdLst/>
                            <a:ahLst/>
                            <a:cxnLst/>
                            <a:rect l="l" t="t" r="r" b="b"/>
                            <a:pathLst>
                              <a:path w="5518785" h="6823075">
                                <a:moveTo>
                                  <a:pt x="0" y="6822948"/>
                                </a:moveTo>
                                <a:lnTo>
                                  <a:pt x="5518404" y="6822948"/>
                                </a:lnTo>
                                <a:lnTo>
                                  <a:pt x="5518404" y="0"/>
                                </a:lnTo>
                                <a:lnTo>
                                  <a:pt x="0" y="0"/>
                                </a:lnTo>
                                <a:lnTo>
                                  <a:pt x="0" y="68229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5.25pt;height:538pt;mso-position-horizontal-relative:char;mso-position-vertical-relative:line" id="docshapegroup79" coordorigin="0,0" coordsize="8705,10760">
                <v:shape style="position:absolute;left:70;top:112;width:8502;height:10566" type="#_x0000_t75" id="docshape80" alt="C:\Users\Mrs Foluke\Downloads\water_page-0001.jpg" stroked="false">
                  <v:imagedata r:id="rId27" o:title=""/>
                </v:shape>
                <v:rect style="position:absolute;left:7;top:7;width:8691;height:10745" id="docshape81" filled="false" stroked="true" strokeweight=".72pt" strokecolor="#000000">
                  <v:stroke dashstyle="solid"/>
                </v:rect>
              </v:group>
            </w:pict>
          </mc:Fallback>
        </mc:AlternateContent>
      </w:r>
      <w:r>
        <w:rPr>
          <w:sz w:val="20"/>
        </w:rPr>
      </w:r>
    </w:p>
    <w:p>
      <w:pPr>
        <w:pStyle w:val="Heading1"/>
        <w:spacing w:line="273" w:lineRule="exact"/>
        <w:ind w:left="9" w:right="474"/>
        <w:jc w:val="center"/>
      </w:pPr>
      <w:r>
        <w:rPr/>
        <w:t>Figure</w:t>
      </w:r>
      <w:r>
        <w:rPr>
          <w:spacing w:val="-2"/>
        </w:rPr>
        <w:t> </w:t>
      </w:r>
      <w:r>
        <w:rPr/>
        <w:t>4.1:</w:t>
      </w:r>
      <w:r>
        <w:rPr>
          <w:spacing w:val="-1"/>
        </w:rPr>
        <w:t> </w:t>
      </w:r>
      <w:r>
        <w:rPr/>
        <w:t>Extent</w:t>
      </w:r>
      <w:r>
        <w:rPr>
          <w:spacing w:val="-1"/>
        </w:rPr>
        <w:t> </w:t>
      </w:r>
      <w:r>
        <w:rPr/>
        <w:t>of</w:t>
      </w:r>
      <w:r>
        <w:rPr>
          <w:spacing w:val="-1"/>
        </w:rPr>
        <w:t> </w:t>
      </w:r>
      <w:r>
        <w:rPr/>
        <w:t>Coverage</w:t>
      </w:r>
      <w:r>
        <w:rPr>
          <w:spacing w:val="-2"/>
        </w:rPr>
        <w:t> </w:t>
      </w:r>
      <w:r>
        <w:rPr/>
        <w:t>of</w:t>
      </w:r>
      <w:r>
        <w:rPr>
          <w:spacing w:val="2"/>
        </w:rPr>
        <w:t> </w:t>
      </w:r>
      <w:r>
        <w:rPr/>
        <w:t>Public</w:t>
      </w:r>
      <w:r>
        <w:rPr>
          <w:spacing w:val="-2"/>
        </w:rPr>
        <w:t> </w:t>
      </w:r>
      <w:r>
        <w:rPr/>
        <w:t>Water</w:t>
      </w:r>
      <w:r>
        <w:rPr>
          <w:spacing w:val="-2"/>
        </w:rPr>
        <w:t> </w:t>
      </w:r>
      <w:r>
        <w:rPr/>
        <w:t>in the</w:t>
      </w:r>
      <w:r>
        <w:rPr>
          <w:spacing w:val="-1"/>
        </w:rPr>
        <w:t> </w:t>
      </w:r>
      <w:r>
        <w:rPr/>
        <w:t>Study </w:t>
      </w:r>
      <w:r>
        <w:rPr>
          <w:spacing w:val="-4"/>
        </w:rPr>
        <w:t>Area</w:t>
      </w:r>
    </w:p>
    <w:p>
      <w:pPr>
        <w:pStyle w:val="BodyText"/>
        <w:spacing w:line="274" w:lineRule="exact"/>
        <w:ind w:left="9" w:right="472"/>
        <w:jc w:val="center"/>
      </w:pPr>
      <w:r>
        <w:rPr/>
        <w:t>Source:</w:t>
      </w:r>
      <w:r>
        <w:rPr>
          <w:spacing w:val="-3"/>
        </w:rPr>
        <w:t> </w:t>
      </w:r>
      <w:r>
        <w:rPr/>
        <w:t>Author’s</w:t>
      </w:r>
      <w:r>
        <w:rPr>
          <w:spacing w:val="-1"/>
        </w:rPr>
        <w:t> </w:t>
      </w:r>
      <w:r>
        <w:rPr/>
        <w:t>Field</w:t>
      </w:r>
      <w:r>
        <w:rPr>
          <w:spacing w:val="1"/>
        </w:rPr>
        <w:t> </w:t>
      </w:r>
      <w:r>
        <w:rPr/>
        <w:t>Work</w:t>
      </w:r>
      <w:r>
        <w:rPr>
          <w:spacing w:val="-1"/>
        </w:rPr>
        <w:t> </w:t>
      </w:r>
      <w:r>
        <w:rPr/>
        <w:t>(2021)</w:t>
      </w:r>
      <w:r>
        <w:rPr>
          <w:spacing w:val="-1"/>
        </w:rPr>
        <w:t> </w:t>
      </w:r>
      <w:r>
        <w:rPr/>
        <w:t>and</w:t>
      </w:r>
      <w:r>
        <w:rPr>
          <w:spacing w:val="-1"/>
        </w:rPr>
        <w:t> </w:t>
      </w:r>
      <w:r>
        <w:rPr/>
        <w:t>Niger</w:t>
      </w:r>
      <w:r>
        <w:rPr>
          <w:spacing w:val="-1"/>
        </w:rPr>
        <w:t> </w:t>
      </w:r>
      <w:r>
        <w:rPr/>
        <w:t>State</w:t>
      </w:r>
      <w:r>
        <w:rPr>
          <w:spacing w:val="-2"/>
        </w:rPr>
        <w:t> </w:t>
      </w:r>
      <w:r>
        <w:rPr/>
        <w:t>Water</w:t>
      </w:r>
      <w:r>
        <w:rPr>
          <w:spacing w:val="-1"/>
        </w:rPr>
        <w:t> </w:t>
      </w:r>
      <w:r>
        <w:rPr/>
        <w:t>Board</w:t>
      </w:r>
      <w:r>
        <w:rPr>
          <w:spacing w:val="-1"/>
        </w:rPr>
        <w:t> </w:t>
      </w:r>
      <w:r>
        <w:rPr>
          <w:spacing w:val="-2"/>
        </w:rPr>
        <w:t>(2019)</w:t>
      </w:r>
    </w:p>
    <w:p>
      <w:pPr>
        <w:spacing w:after="0" w:line="274" w:lineRule="exact"/>
        <w:jc w:val="center"/>
        <w:sectPr>
          <w:pgSz w:w="12240" w:h="15840"/>
          <w:pgMar w:header="0" w:footer="1068" w:top="1420" w:bottom="1260" w:left="1720" w:right="680"/>
        </w:sectPr>
      </w:pPr>
    </w:p>
    <w:p>
      <w:pPr>
        <w:spacing w:before="68" w:after="4"/>
        <w:ind w:left="267" w:right="0" w:firstLine="0"/>
        <w:jc w:val="both"/>
        <w:rPr>
          <w:b/>
          <w:sz w:val="24"/>
        </w:rPr>
      </w:pPr>
      <w:r>
        <w:rPr>
          <w:b/>
          <w:sz w:val="24"/>
        </w:rPr>
        <w:t>Table</w:t>
      </w:r>
      <w:r>
        <w:rPr>
          <w:b/>
          <w:spacing w:val="-2"/>
          <w:sz w:val="24"/>
        </w:rPr>
        <w:t> </w:t>
      </w:r>
      <w:r>
        <w:rPr>
          <w:b/>
          <w:sz w:val="24"/>
        </w:rPr>
        <w:t>4.12:</w:t>
      </w:r>
      <w:r>
        <w:rPr>
          <w:b/>
          <w:spacing w:val="-2"/>
          <w:sz w:val="24"/>
        </w:rPr>
        <w:t> </w:t>
      </w:r>
      <w:r>
        <w:rPr>
          <w:b/>
          <w:sz w:val="24"/>
        </w:rPr>
        <w:t>Neighbourhoods</w:t>
      </w:r>
      <w:r>
        <w:rPr>
          <w:b/>
          <w:spacing w:val="-2"/>
          <w:sz w:val="24"/>
        </w:rPr>
        <w:t> </w:t>
      </w:r>
      <w:r>
        <w:rPr>
          <w:b/>
          <w:sz w:val="24"/>
        </w:rPr>
        <w:t>and</w:t>
      </w:r>
      <w:r>
        <w:rPr>
          <w:b/>
          <w:spacing w:val="-3"/>
          <w:sz w:val="24"/>
        </w:rPr>
        <w:t> </w:t>
      </w:r>
      <w:r>
        <w:rPr>
          <w:b/>
          <w:sz w:val="24"/>
        </w:rPr>
        <w:t>Extent</w:t>
      </w:r>
      <w:r>
        <w:rPr>
          <w:b/>
          <w:spacing w:val="-2"/>
          <w:sz w:val="24"/>
        </w:rPr>
        <w:t> </w:t>
      </w:r>
      <w:r>
        <w:rPr>
          <w:b/>
          <w:sz w:val="24"/>
        </w:rPr>
        <w:t>of</w:t>
      </w:r>
      <w:r>
        <w:rPr>
          <w:b/>
          <w:spacing w:val="-2"/>
          <w:sz w:val="24"/>
        </w:rPr>
        <w:t> </w:t>
      </w:r>
      <w:r>
        <w:rPr>
          <w:b/>
          <w:sz w:val="24"/>
        </w:rPr>
        <w:t>Formal</w:t>
      </w:r>
      <w:r>
        <w:rPr>
          <w:b/>
          <w:spacing w:val="-2"/>
          <w:sz w:val="24"/>
        </w:rPr>
        <w:t> </w:t>
      </w:r>
      <w:r>
        <w:rPr>
          <w:b/>
          <w:sz w:val="24"/>
        </w:rPr>
        <w:t>Water</w:t>
      </w:r>
      <w:r>
        <w:rPr>
          <w:b/>
          <w:spacing w:val="-2"/>
          <w:sz w:val="24"/>
        </w:rPr>
        <w:t> Coverage</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2468"/>
        <w:gridCol w:w="1733"/>
        <w:gridCol w:w="3840"/>
      </w:tblGrid>
      <w:tr>
        <w:trPr>
          <w:trHeight w:val="275" w:hRule="atLeast"/>
        </w:trPr>
        <w:tc>
          <w:tcPr>
            <w:tcW w:w="626" w:type="dxa"/>
            <w:tcBorders>
              <w:top w:val="single" w:sz="8" w:space="0" w:color="000000"/>
              <w:bottom w:val="single" w:sz="8" w:space="0" w:color="000000"/>
            </w:tcBorders>
          </w:tcPr>
          <w:p>
            <w:pPr>
              <w:pStyle w:val="TableParagraph"/>
              <w:spacing w:line="255" w:lineRule="exact"/>
              <w:ind w:left="36" w:right="55"/>
              <w:jc w:val="center"/>
              <w:rPr>
                <w:b/>
                <w:sz w:val="24"/>
              </w:rPr>
            </w:pPr>
            <w:r>
              <w:rPr>
                <w:b/>
                <w:spacing w:val="-5"/>
                <w:sz w:val="24"/>
              </w:rPr>
              <w:t>S/N</w:t>
            </w:r>
          </w:p>
        </w:tc>
        <w:tc>
          <w:tcPr>
            <w:tcW w:w="2468" w:type="dxa"/>
            <w:tcBorders>
              <w:top w:val="single" w:sz="8" w:space="0" w:color="000000"/>
              <w:bottom w:val="single" w:sz="8" w:space="0" w:color="000000"/>
            </w:tcBorders>
          </w:tcPr>
          <w:p>
            <w:pPr>
              <w:pStyle w:val="TableParagraph"/>
              <w:spacing w:line="255" w:lineRule="exact"/>
              <w:ind w:left="137"/>
              <w:rPr>
                <w:b/>
                <w:sz w:val="24"/>
              </w:rPr>
            </w:pPr>
            <w:r>
              <w:rPr>
                <w:b/>
                <w:spacing w:val="-2"/>
                <w:sz w:val="24"/>
              </w:rPr>
              <w:t>Neighbourhood</w:t>
            </w:r>
          </w:p>
        </w:tc>
        <w:tc>
          <w:tcPr>
            <w:tcW w:w="1733" w:type="dxa"/>
            <w:tcBorders>
              <w:top w:val="single" w:sz="8" w:space="0" w:color="000000"/>
              <w:bottom w:val="single" w:sz="8" w:space="0" w:color="000000"/>
            </w:tcBorders>
          </w:tcPr>
          <w:p>
            <w:pPr>
              <w:pStyle w:val="TableParagraph"/>
              <w:spacing w:line="255" w:lineRule="exact"/>
              <w:ind w:left="66"/>
              <w:jc w:val="center"/>
              <w:rPr>
                <w:b/>
                <w:sz w:val="24"/>
              </w:rPr>
            </w:pPr>
            <w:r>
              <w:rPr>
                <w:b/>
                <w:spacing w:val="-2"/>
                <w:sz w:val="24"/>
              </w:rPr>
              <w:t>Location</w:t>
            </w:r>
          </w:p>
        </w:tc>
        <w:tc>
          <w:tcPr>
            <w:tcW w:w="3840" w:type="dxa"/>
            <w:tcBorders>
              <w:top w:val="single" w:sz="8" w:space="0" w:color="000000"/>
              <w:bottom w:val="single" w:sz="8" w:space="0" w:color="000000"/>
            </w:tcBorders>
          </w:tcPr>
          <w:p>
            <w:pPr>
              <w:pStyle w:val="TableParagraph"/>
              <w:spacing w:line="255" w:lineRule="exact"/>
              <w:ind w:right="215"/>
              <w:jc w:val="center"/>
              <w:rPr>
                <w:b/>
                <w:sz w:val="24"/>
              </w:rPr>
            </w:pPr>
            <w:r>
              <w:rPr>
                <w:b/>
                <w:sz w:val="24"/>
              </w:rPr>
              <w:t>Water</w:t>
            </w:r>
            <w:r>
              <w:rPr>
                <w:b/>
                <w:spacing w:val="-3"/>
                <w:sz w:val="24"/>
              </w:rPr>
              <w:t> </w:t>
            </w:r>
            <w:r>
              <w:rPr>
                <w:b/>
                <w:spacing w:val="-2"/>
                <w:sz w:val="24"/>
              </w:rPr>
              <w:t>Coverage</w:t>
            </w:r>
          </w:p>
        </w:tc>
      </w:tr>
      <w:tr>
        <w:trPr>
          <w:trHeight w:val="277" w:hRule="atLeast"/>
        </w:trPr>
        <w:tc>
          <w:tcPr>
            <w:tcW w:w="626" w:type="dxa"/>
            <w:tcBorders>
              <w:top w:val="single" w:sz="8" w:space="0" w:color="000000"/>
            </w:tcBorders>
          </w:tcPr>
          <w:p>
            <w:pPr>
              <w:pStyle w:val="TableParagraph"/>
              <w:spacing w:line="257" w:lineRule="exact"/>
              <w:ind w:left="55" w:right="19"/>
              <w:jc w:val="center"/>
              <w:rPr>
                <w:b/>
                <w:sz w:val="24"/>
              </w:rPr>
            </w:pPr>
            <w:r>
              <w:rPr>
                <w:b/>
                <w:spacing w:val="-10"/>
                <w:sz w:val="24"/>
              </w:rPr>
              <w:t>1</w:t>
            </w:r>
          </w:p>
        </w:tc>
        <w:tc>
          <w:tcPr>
            <w:tcW w:w="2468" w:type="dxa"/>
            <w:tcBorders>
              <w:top w:val="single" w:sz="8" w:space="0" w:color="000000"/>
            </w:tcBorders>
          </w:tcPr>
          <w:p>
            <w:pPr>
              <w:pStyle w:val="TableParagraph"/>
              <w:spacing w:line="257" w:lineRule="exact"/>
              <w:ind w:left="137"/>
              <w:rPr>
                <w:sz w:val="24"/>
              </w:rPr>
            </w:pPr>
            <w:r>
              <w:rPr>
                <w:spacing w:val="-2"/>
                <w:sz w:val="24"/>
              </w:rPr>
              <w:t>Dutsenkura</w:t>
            </w:r>
          </w:p>
        </w:tc>
        <w:tc>
          <w:tcPr>
            <w:tcW w:w="1733" w:type="dxa"/>
            <w:tcBorders>
              <w:top w:val="single" w:sz="8" w:space="0" w:color="000000"/>
            </w:tcBorders>
          </w:tcPr>
          <w:p>
            <w:pPr>
              <w:pStyle w:val="TableParagraph"/>
              <w:spacing w:line="257" w:lineRule="exact"/>
              <w:ind w:left="66" w:right="2"/>
              <w:jc w:val="center"/>
              <w:rPr>
                <w:sz w:val="24"/>
              </w:rPr>
            </w:pPr>
            <w:r>
              <w:rPr>
                <w:spacing w:val="-2"/>
                <w:sz w:val="24"/>
              </w:rPr>
              <w:t>North</w:t>
            </w:r>
          </w:p>
        </w:tc>
        <w:tc>
          <w:tcPr>
            <w:tcW w:w="3840" w:type="dxa"/>
            <w:tcBorders>
              <w:top w:val="single" w:sz="8" w:space="0" w:color="000000"/>
            </w:tcBorders>
          </w:tcPr>
          <w:p>
            <w:pPr>
              <w:pStyle w:val="TableParagraph"/>
              <w:spacing w:line="257" w:lineRule="exact"/>
              <w:ind w:left="3" w:right="215"/>
              <w:jc w:val="center"/>
              <w:rPr>
                <w:sz w:val="24"/>
              </w:rPr>
            </w:pPr>
            <w:r>
              <w:rPr>
                <w:sz w:val="24"/>
              </w:rPr>
              <w:t>Within</w:t>
            </w:r>
            <w:r>
              <w:rPr>
                <w:spacing w:val="-3"/>
                <w:sz w:val="24"/>
              </w:rPr>
              <w:t> </w:t>
            </w:r>
            <w:r>
              <w:rPr>
                <w:sz w:val="24"/>
              </w:rPr>
              <w:t>public </w:t>
            </w:r>
            <w:r>
              <w:rPr>
                <w:spacing w:val="-4"/>
                <w:sz w:val="24"/>
              </w:rPr>
              <w:t>mains</w:t>
            </w:r>
          </w:p>
        </w:tc>
      </w:tr>
      <w:tr>
        <w:trPr>
          <w:trHeight w:val="282" w:hRule="atLeast"/>
        </w:trPr>
        <w:tc>
          <w:tcPr>
            <w:tcW w:w="626" w:type="dxa"/>
          </w:tcPr>
          <w:p>
            <w:pPr>
              <w:pStyle w:val="TableParagraph"/>
              <w:spacing w:line="262" w:lineRule="exact"/>
              <w:ind w:left="55" w:right="19"/>
              <w:jc w:val="center"/>
              <w:rPr>
                <w:b/>
                <w:sz w:val="24"/>
              </w:rPr>
            </w:pPr>
            <w:r>
              <w:rPr>
                <w:b/>
                <w:spacing w:val="-10"/>
                <w:sz w:val="24"/>
              </w:rPr>
              <w:t>2</w:t>
            </w:r>
          </w:p>
        </w:tc>
        <w:tc>
          <w:tcPr>
            <w:tcW w:w="2468" w:type="dxa"/>
          </w:tcPr>
          <w:p>
            <w:pPr>
              <w:pStyle w:val="TableParagraph"/>
              <w:spacing w:line="262" w:lineRule="exact"/>
              <w:ind w:left="137"/>
              <w:rPr>
                <w:sz w:val="24"/>
              </w:rPr>
            </w:pPr>
            <w:r>
              <w:rPr>
                <w:spacing w:val="-2"/>
                <w:sz w:val="24"/>
              </w:rPr>
              <w:t>Tudun-Fulani</w:t>
            </w:r>
          </w:p>
        </w:tc>
        <w:tc>
          <w:tcPr>
            <w:tcW w:w="1733" w:type="dxa"/>
          </w:tcPr>
          <w:p>
            <w:pPr>
              <w:pStyle w:val="TableParagraph"/>
              <w:spacing w:line="262" w:lineRule="exact"/>
              <w:ind w:left="66" w:right="2"/>
              <w:jc w:val="center"/>
              <w:rPr>
                <w:sz w:val="24"/>
              </w:rPr>
            </w:pPr>
            <w:r>
              <w:rPr>
                <w:spacing w:val="-2"/>
                <w:sz w:val="24"/>
              </w:rPr>
              <w:t>North</w:t>
            </w:r>
          </w:p>
        </w:tc>
        <w:tc>
          <w:tcPr>
            <w:tcW w:w="3840" w:type="dxa"/>
          </w:tcPr>
          <w:p>
            <w:pPr>
              <w:pStyle w:val="TableParagraph"/>
              <w:spacing w:line="262" w:lineRule="exact"/>
              <w:ind w:right="215"/>
              <w:jc w:val="center"/>
              <w:rPr>
                <w:sz w:val="24"/>
              </w:rPr>
            </w:pPr>
            <w:r>
              <w:rPr>
                <w:sz w:val="24"/>
              </w:rPr>
              <w:t>Partially</w:t>
            </w:r>
            <w:r>
              <w:rPr>
                <w:spacing w:val="-5"/>
                <w:sz w:val="24"/>
              </w:rPr>
              <w:t> </w:t>
            </w:r>
            <w:r>
              <w:rPr>
                <w:sz w:val="24"/>
              </w:rPr>
              <w:t>outside</w:t>
            </w:r>
            <w:r>
              <w:rPr>
                <w:spacing w:val="-1"/>
                <w:sz w:val="24"/>
              </w:rPr>
              <w:t> </w:t>
            </w:r>
            <w:r>
              <w:rPr>
                <w:sz w:val="24"/>
              </w:rPr>
              <w:t>public</w:t>
            </w:r>
            <w:r>
              <w:rPr>
                <w:spacing w:val="2"/>
                <w:sz w:val="24"/>
              </w:rPr>
              <w:t> </w:t>
            </w:r>
            <w:r>
              <w:rPr>
                <w:spacing w:val="-2"/>
                <w:sz w:val="24"/>
              </w:rPr>
              <w:t>mains</w:t>
            </w:r>
          </w:p>
        </w:tc>
      </w:tr>
      <w:tr>
        <w:trPr>
          <w:trHeight w:val="282" w:hRule="atLeast"/>
        </w:trPr>
        <w:tc>
          <w:tcPr>
            <w:tcW w:w="626" w:type="dxa"/>
          </w:tcPr>
          <w:p>
            <w:pPr>
              <w:pStyle w:val="TableParagraph"/>
              <w:spacing w:line="259" w:lineRule="exact" w:before="3"/>
              <w:ind w:left="55" w:right="19"/>
              <w:jc w:val="center"/>
              <w:rPr>
                <w:b/>
                <w:sz w:val="24"/>
              </w:rPr>
            </w:pPr>
            <w:r>
              <w:rPr>
                <w:b/>
                <w:spacing w:val="-10"/>
                <w:sz w:val="24"/>
              </w:rPr>
              <w:t>3</w:t>
            </w:r>
          </w:p>
        </w:tc>
        <w:tc>
          <w:tcPr>
            <w:tcW w:w="2468" w:type="dxa"/>
          </w:tcPr>
          <w:p>
            <w:pPr>
              <w:pStyle w:val="TableParagraph"/>
              <w:spacing w:line="262" w:lineRule="exact"/>
              <w:ind w:left="137"/>
              <w:rPr>
                <w:sz w:val="24"/>
              </w:rPr>
            </w:pPr>
            <w:r>
              <w:rPr>
                <w:sz w:val="24"/>
              </w:rPr>
              <w:t>Tudun-Wada</w:t>
            </w:r>
            <w:r>
              <w:rPr>
                <w:spacing w:val="-3"/>
                <w:sz w:val="24"/>
              </w:rPr>
              <w:t> </w:t>
            </w:r>
            <w:r>
              <w:rPr>
                <w:spacing w:val="-2"/>
                <w:sz w:val="24"/>
              </w:rPr>
              <w:t>South</w:t>
            </w:r>
          </w:p>
        </w:tc>
        <w:tc>
          <w:tcPr>
            <w:tcW w:w="1733" w:type="dxa"/>
          </w:tcPr>
          <w:p>
            <w:pPr>
              <w:pStyle w:val="TableParagraph"/>
              <w:spacing w:line="262" w:lineRule="exact"/>
              <w:ind w:left="66"/>
              <w:jc w:val="center"/>
              <w:rPr>
                <w:sz w:val="24"/>
              </w:rPr>
            </w:pPr>
            <w:r>
              <w:rPr>
                <w:spacing w:val="-2"/>
                <w:sz w:val="24"/>
              </w:rPr>
              <w:t>South</w:t>
            </w:r>
          </w:p>
        </w:tc>
        <w:tc>
          <w:tcPr>
            <w:tcW w:w="3840" w:type="dxa"/>
          </w:tcPr>
          <w:p>
            <w:pPr>
              <w:pStyle w:val="TableParagraph"/>
              <w:spacing w:line="262" w:lineRule="exact"/>
              <w:ind w:left="3" w:right="215"/>
              <w:jc w:val="center"/>
              <w:rPr>
                <w:sz w:val="24"/>
              </w:rPr>
            </w:pPr>
            <w:r>
              <w:rPr>
                <w:sz w:val="24"/>
              </w:rPr>
              <w:t>Within</w:t>
            </w:r>
            <w:r>
              <w:rPr>
                <w:spacing w:val="-3"/>
                <w:sz w:val="24"/>
              </w:rPr>
              <w:t> </w:t>
            </w:r>
            <w:r>
              <w:rPr>
                <w:sz w:val="24"/>
              </w:rPr>
              <w:t>public </w:t>
            </w:r>
            <w:r>
              <w:rPr>
                <w:spacing w:val="-4"/>
                <w:sz w:val="24"/>
              </w:rPr>
              <w:t>mains</w:t>
            </w:r>
          </w:p>
        </w:tc>
      </w:tr>
      <w:tr>
        <w:trPr>
          <w:trHeight w:val="275" w:hRule="atLeast"/>
        </w:trPr>
        <w:tc>
          <w:tcPr>
            <w:tcW w:w="626" w:type="dxa"/>
          </w:tcPr>
          <w:p>
            <w:pPr>
              <w:pStyle w:val="TableParagraph"/>
              <w:spacing w:line="256" w:lineRule="exact"/>
              <w:ind w:left="55" w:right="19"/>
              <w:jc w:val="center"/>
              <w:rPr>
                <w:b/>
                <w:sz w:val="24"/>
              </w:rPr>
            </w:pPr>
            <w:r>
              <w:rPr>
                <w:b/>
                <w:spacing w:val="-10"/>
                <w:sz w:val="24"/>
              </w:rPr>
              <w:t>4</w:t>
            </w:r>
          </w:p>
        </w:tc>
        <w:tc>
          <w:tcPr>
            <w:tcW w:w="2468" w:type="dxa"/>
          </w:tcPr>
          <w:p>
            <w:pPr>
              <w:pStyle w:val="TableParagraph"/>
              <w:spacing w:line="256" w:lineRule="exact"/>
              <w:ind w:left="137"/>
              <w:rPr>
                <w:sz w:val="24"/>
              </w:rPr>
            </w:pPr>
            <w:r>
              <w:rPr>
                <w:spacing w:val="-2"/>
                <w:sz w:val="24"/>
              </w:rPr>
              <w:t>Saukakauta</w:t>
            </w:r>
          </w:p>
        </w:tc>
        <w:tc>
          <w:tcPr>
            <w:tcW w:w="1733" w:type="dxa"/>
          </w:tcPr>
          <w:p>
            <w:pPr>
              <w:pStyle w:val="TableParagraph"/>
              <w:spacing w:line="256" w:lineRule="exact"/>
              <w:ind w:left="66"/>
              <w:jc w:val="center"/>
              <w:rPr>
                <w:sz w:val="24"/>
              </w:rPr>
            </w:pPr>
            <w:r>
              <w:rPr>
                <w:spacing w:val="-2"/>
                <w:sz w:val="24"/>
              </w:rPr>
              <w:t>South</w:t>
            </w:r>
          </w:p>
        </w:tc>
        <w:tc>
          <w:tcPr>
            <w:tcW w:w="3840" w:type="dxa"/>
          </w:tcPr>
          <w:p>
            <w:pPr>
              <w:pStyle w:val="TableParagraph"/>
              <w:spacing w:line="256" w:lineRule="exact"/>
              <w:ind w:right="215"/>
              <w:jc w:val="center"/>
              <w:rPr>
                <w:sz w:val="24"/>
              </w:rPr>
            </w:pPr>
            <w:r>
              <w:rPr>
                <w:sz w:val="24"/>
              </w:rPr>
              <w:t>Partially</w:t>
            </w:r>
            <w:r>
              <w:rPr>
                <w:spacing w:val="-5"/>
                <w:sz w:val="24"/>
              </w:rPr>
              <w:t> </w:t>
            </w:r>
            <w:r>
              <w:rPr>
                <w:sz w:val="24"/>
              </w:rPr>
              <w:t>outside</w:t>
            </w:r>
            <w:r>
              <w:rPr>
                <w:spacing w:val="-1"/>
                <w:sz w:val="24"/>
              </w:rPr>
              <w:t> </w:t>
            </w:r>
            <w:r>
              <w:rPr>
                <w:sz w:val="24"/>
              </w:rPr>
              <w:t>public</w:t>
            </w:r>
            <w:r>
              <w:rPr>
                <w:spacing w:val="2"/>
                <w:sz w:val="24"/>
              </w:rPr>
              <w:t> </w:t>
            </w:r>
            <w:r>
              <w:rPr>
                <w:spacing w:val="-2"/>
                <w:sz w:val="24"/>
              </w:rPr>
              <w:t>mains</w:t>
            </w:r>
          </w:p>
        </w:tc>
      </w:tr>
      <w:tr>
        <w:trPr>
          <w:trHeight w:val="275" w:hRule="atLeast"/>
        </w:trPr>
        <w:tc>
          <w:tcPr>
            <w:tcW w:w="626" w:type="dxa"/>
          </w:tcPr>
          <w:p>
            <w:pPr>
              <w:pStyle w:val="TableParagraph"/>
              <w:spacing w:line="256" w:lineRule="exact"/>
              <w:ind w:left="55" w:right="19"/>
              <w:jc w:val="center"/>
              <w:rPr>
                <w:b/>
                <w:sz w:val="24"/>
              </w:rPr>
            </w:pPr>
            <w:r>
              <w:rPr>
                <w:b/>
                <w:spacing w:val="-10"/>
                <w:sz w:val="24"/>
              </w:rPr>
              <w:t>5</w:t>
            </w:r>
          </w:p>
        </w:tc>
        <w:tc>
          <w:tcPr>
            <w:tcW w:w="2468" w:type="dxa"/>
          </w:tcPr>
          <w:p>
            <w:pPr>
              <w:pStyle w:val="TableParagraph"/>
              <w:spacing w:line="256" w:lineRule="exact"/>
              <w:ind w:left="137"/>
              <w:rPr>
                <w:sz w:val="24"/>
              </w:rPr>
            </w:pPr>
            <w:r>
              <w:rPr>
                <w:spacing w:val="-2"/>
                <w:sz w:val="24"/>
              </w:rPr>
              <w:t>F-Layout</w:t>
            </w:r>
          </w:p>
        </w:tc>
        <w:tc>
          <w:tcPr>
            <w:tcW w:w="1733" w:type="dxa"/>
          </w:tcPr>
          <w:p>
            <w:pPr>
              <w:pStyle w:val="TableParagraph"/>
              <w:spacing w:line="256" w:lineRule="exact"/>
              <w:ind w:left="66"/>
              <w:jc w:val="center"/>
              <w:rPr>
                <w:sz w:val="24"/>
              </w:rPr>
            </w:pPr>
            <w:r>
              <w:rPr>
                <w:spacing w:val="-4"/>
                <w:sz w:val="24"/>
              </w:rPr>
              <w:t>East</w:t>
            </w:r>
          </w:p>
        </w:tc>
        <w:tc>
          <w:tcPr>
            <w:tcW w:w="3840" w:type="dxa"/>
          </w:tcPr>
          <w:p>
            <w:pPr>
              <w:pStyle w:val="TableParagraph"/>
              <w:spacing w:line="256" w:lineRule="exact"/>
              <w:ind w:left="3" w:right="215"/>
              <w:jc w:val="center"/>
              <w:rPr>
                <w:sz w:val="24"/>
              </w:rPr>
            </w:pPr>
            <w:r>
              <w:rPr>
                <w:sz w:val="24"/>
              </w:rPr>
              <w:t>Within</w:t>
            </w:r>
            <w:r>
              <w:rPr>
                <w:spacing w:val="-3"/>
                <w:sz w:val="24"/>
              </w:rPr>
              <w:t> </w:t>
            </w:r>
            <w:r>
              <w:rPr>
                <w:sz w:val="24"/>
              </w:rPr>
              <w:t>public </w:t>
            </w:r>
            <w:r>
              <w:rPr>
                <w:spacing w:val="-4"/>
                <w:sz w:val="24"/>
              </w:rPr>
              <w:t>mains</w:t>
            </w:r>
          </w:p>
        </w:tc>
      </w:tr>
      <w:tr>
        <w:trPr>
          <w:trHeight w:val="276" w:hRule="atLeast"/>
        </w:trPr>
        <w:tc>
          <w:tcPr>
            <w:tcW w:w="626" w:type="dxa"/>
          </w:tcPr>
          <w:p>
            <w:pPr>
              <w:pStyle w:val="TableParagraph"/>
              <w:spacing w:line="256" w:lineRule="exact"/>
              <w:ind w:left="55" w:right="19"/>
              <w:jc w:val="center"/>
              <w:rPr>
                <w:b/>
                <w:sz w:val="24"/>
              </w:rPr>
            </w:pPr>
            <w:r>
              <w:rPr>
                <w:b/>
                <w:spacing w:val="-10"/>
                <w:sz w:val="24"/>
              </w:rPr>
              <w:t>6</w:t>
            </w:r>
          </w:p>
        </w:tc>
        <w:tc>
          <w:tcPr>
            <w:tcW w:w="2468" w:type="dxa"/>
          </w:tcPr>
          <w:p>
            <w:pPr>
              <w:pStyle w:val="TableParagraph"/>
              <w:spacing w:line="256" w:lineRule="exact"/>
              <w:ind w:left="137"/>
              <w:rPr>
                <w:sz w:val="24"/>
              </w:rPr>
            </w:pPr>
            <w:r>
              <w:rPr>
                <w:spacing w:val="-2"/>
                <w:sz w:val="24"/>
              </w:rPr>
              <w:t>Maitumbi</w:t>
            </w:r>
          </w:p>
        </w:tc>
        <w:tc>
          <w:tcPr>
            <w:tcW w:w="1733" w:type="dxa"/>
          </w:tcPr>
          <w:p>
            <w:pPr>
              <w:pStyle w:val="TableParagraph"/>
              <w:spacing w:line="256" w:lineRule="exact"/>
              <w:ind w:left="66"/>
              <w:jc w:val="center"/>
              <w:rPr>
                <w:sz w:val="24"/>
              </w:rPr>
            </w:pPr>
            <w:r>
              <w:rPr>
                <w:spacing w:val="-4"/>
                <w:sz w:val="24"/>
              </w:rPr>
              <w:t>East</w:t>
            </w:r>
          </w:p>
        </w:tc>
        <w:tc>
          <w:tcPr>
            <w:tcW w:w="3840" w:type="dxa"/>
          </w:tcPr>
          <w:p>
            <w:pPr>
              <w:pStyle w:val="TableParagraph"/>
              <w:spacing w:line="256" w:lineRule="exact"/>
              <w:ind w:right="215"/>
              <w:jc w:val="center"/>
              <w:rPr>
                <w:sz w:val="24"/>
              </w:rPr>
            </w:pPr>
            <w:r>
              <w:rPr>
                <w:sz w:val="24"/>
              </w:rPr>
              <w:t>Partially</w:t>
            </w:r>
            <w:r>
              <w:rPr>
                <w:spacing w:val="-5"/>
                <w:sz w:val="24"/>
              </w:rPr>
              <w:t> </w:t>
            </w:r>
            <w:r>
              <w:rPr>
                <w:sz w:val="24"/>
              </w:rPr>
              <w:t>outside</w:t>
            </w:r>
            <w:r>
              <w:rPr>
                <w:spacing w:val="-1"/>
                <w:sz w:val="24"/>
              </w:rPr>
              <w:t> </w:t>
            </w:r>
            <w:r>
              <w:rPr>
                <w:sz w:val="24"/>
              </w:rPr>
              <w:t>public</w:t>
            </w:r>
            <w:r>
              <w:rPr>
                <w:spacing w:val="2"/>
                <w:sz w:val="24"/>
              </w:rPr>
              <w:t> </w:t>
            </w:r>
            <w:r>
              <w:rPr>
                <w:spacing w:val="-2"/>
                <w:sz w:val="24"/>
              </w:rPr>
              <w:t>mains</w:t>
            </w:r>
          </w:p>
        </w:tc>
      </w:tr>
      <w:tr>
        <w:trPr>
          <w:trHeight w:val="276" w:hRule="atLeast"/>
        </w:trPr>
        <w:tc>
          <w:tcPr>
            <w:tcW w:w="626" w:type="dxa"/>
          </w:tcPr>
          <w:p>
            <w:pPr>
              <w:pStyle w:val="TableParagraph"/>
              <w:spacing w:line="256" w:lineRule="exact"/>
              <w:ind w:left="55" w:right="19"/>
              <w:jc w:val="center"/>
              <w:rPr>
                <w:b/>
                <w:sz w:val="24"/>
              </w:rPr>
            </w:pPr>
            <w:r>
              <w:rPr>
                <w:b/>
                <w:spacing w:val="-10"/>
                <w:sz w:val="24"/>
              </w:rPr>
              <w:t>7</w:t>
            </w:r>
          </w:p>
        </w:tc>
        <w:tc>
          <w:tcPr>
            <w:tcW w:w="2468" w:type="dxa"/>
          </w:tcPr>
          <w:p>
            <w:pPr>
              <w:pStyle w:val="TableParagraph"/>
              <w:spacing w:line="256" w:lineRule="exact"/>
              <w:ind w:left="137"/>
              <w:rPr>
                <w:sz w:val="24"/>
              </w:rPr>
            </w:pPr>
            <w:r>
              <w:rPr>
                <w:spacing w:val="-2"/>
                <w:sz w:val="24"/>
              </w:rPr>
              <w:t>Minna-Central</w:t>
            </w:r>
          </w:p>
        </w:tc>
        <w:tc>
          <w:tcPr>
            <w:tcW w:w="1733" w:type="dxa"/>
          </w:tcPr>
          <w:p>
            <w:pPr>
              <w:pStyle w:val="TableParagraph"/>
              <w:spacing w:line="256" w:lineRule="exact"/>
              <w:ind w:left="66"/>
              <w:jc w:val="center"/>
              <w:rPr>
                <w:sz w:val="24"/>
              </w:rPr>
            </w:pPr>
            <w:r>
              <w:rPr>
                <w:spacing w:val="-4"/>
                <w:sz w:val="24"/>
              </w:rPr>
              <w:t>West</w:t>
            </w:r>
          </w:p>
        </w:tc>
        <w:tc>
          <w:tcPr>
            <w:tcW w:w="3840" w:type="dxa"/>
          </w:tcPr>
          <w:p>
            <w:pPr>
              <w:pStyle w:val="TableParagraph"/>
              <w:spacing w:line="256" w:lineRule="exact"/>
              <w:ind w:left="3" w:right="215"/>
              <w:jc w:val="center"/>
              <w:rPr>
                <w:sz w:val="24"/>
              </w:rPr>
            </w:pPr>
            <w:r>
              <w:rPr>
                <w:sz w:val="24"/>
              </w:rPr>
              <w:t>Within</w:t>
            </w:r>
            <w:r>
              <w:rPr>
                <w:spacing w:val="-3"/>
                <w:sz w:val="24"/>
              </w:rPr>
              <w:t> </w:t>
            </w:r>
            <w:r>
              <w:rPr>
                <w:sz w:val="24"/>
              </w:rPr>
              <w:t>public </w:t>
            </w:r>
            <w:r>
              <w:rPr>
                <w:spacing w:val="-4"/>
                <w:sz w:val="24"/>
              </w:rPr>
              <w:t>mains</w:t>
            </w:r>
          </w:p>
        </w:tc>
      </w:tr>
      <w:tr>
        <w:trPr>
          <w:trHeight w:val="276" w:hRule="atLeast"/>
        </w:trPr>
        <w:tc>
          <w:tcPr>
            <w:tcW w:w="626" w:type="dxa"/>
            <w:tcBorders>
              <w:bottom w:val="single" w:sz="8" w:space="0" w:color="000000"/>
            </w:tcBorders>
          </w:tcPr>
          <w:p>
            <w:pPr>
              <w:pStyle w:val="TableParagraph"/>
              <w:spacing w:line="256" w:lineRule="exact"/>
              <w:ind w:left="55" w:right="19"/>
              <w:jc w:val="center"/>
              <w:rPr>
                <w:b/>
                <w:sz w:val="24"/>
              </w:rPr>
            </w:pPr>
            <w:r>
              <w:rPr>
                <w:b/>
                <w:spacing w:val="-10"/>
                <w:sz w:val="24"/>
              </w:rPr>
              <w:t>8</w:t>
            </w:r>
          </w:p>
        </w:tc>
        <w:tc>
          <w:tcPr>
            <w:tcW w:w="2468" w:type="dxa"/>
            <w:tcBorders>
              <w:bottom w:val="single" w:sz="8" w:space="0" w:color="000000"/>
            </w:tcBorders>
          </w:tcPr>
          <w:p>
            <w:pPr>
              <w:pStyle w:val="TableParagraph"/>
              <w:spacing w:line="256" w:lineRule="exact"/>
              <w:ind w:left="137"/>
              <w:rPr>
                <w:sz w:val="24"/>
              </w:rPr>
            </w:pPr>
            <w:r>
              <w:rPr>
                <w:spacing w:val="-2"/>
                <w:sz w:val="24"/>
              </w:rPr>
              <w:t>Kpakungu</w:t>
            </w:r>
          </w:p>
        </w:tc>
        <w:tc>
          <w:tcPr>
            <w:tcW w:w="1733" w:type="dxa"/>
            <w:tcBorders>
              <w:bottom w:val="single" w:sz="8" w:space="0" w:color="000000"/>
            </w:tcBorders>
          </w:tcPr>
          <w:p>
            <w:pPr>
              <w:pStyle w:val="TableParagraph"/>
              <w:spacing w:line="256" w:lineRule="exact"/>
              <w:ind w:left="66"/>
              <w:jc w:val="center"/>
              <w:rPr>
                <w:sz w:val="24"/>
              </w:rPr>
            </w:pPr>
            <w:r>
              <w:rPr>
                <w:spacing w:val="-4"/>
                <w:sz w:val="24"/>
              </w:rPr>
              <w:t>West</w:t>
            </w:r>
          </w:p>
        </w:tc>
        <w:tc>
          <w:tcPr>
            <w:tcW w:w="3840" w:type="dxa"/>
            <w:tcBorders>
              <w:bottom w:val="single" w:sz="8" w:space="0" w:color="000000"/>
            </w:tcBorders>
          </w:tcPr>
          <w:p>
            <w:pPr>
              <w:pStyle w:val="TableParagraph"/>
              <w:spacing w:line="256" w:lineRule="exact"/>
              <w:ind w:right="215"/>
              <w:jc w:val="center"/>
              <w:rPr>
                <w:sz w:val="24"/>
              </w:rPr>
            </w:pPr>
            <w:r>
              <w:rPr>
                <w:sz w:val="24"/>
              </w:rPr>
              <w:t>Partially</w:t>
            </w:r>
            <w:r>
              <w:rPr>
                <w:spacing w:val="-5"/>
                <w:sz w:val="24"/>
              </w:rPr>
              <w:t> </w:t>
            </w:r>
            <w:r>
              <w:rPr>
                <w:sz w:val="24"/>
              </w:rPr>
              <w:t>outside</w:t>
            </w:r>
            <w:r>
              <w:rPr>
                <w:spacing w:val="-1"/>
                <w:sz w:val="24"/>
              </w:rPr>
              <w:t> </w:t>
            </w:r>
            <w:r>
              <w:rPr>
                <w:sz w:val="24"/>
              </w:rPr>
              <w:t>public</w:t>
            </w:r>
            <w:r>
              <w:rPr>
                <w:spacing w:val="2"/>
                <w:sz w:val="24"/>
              </w:rPr>
              <w:t> </w:t>
            </w:r>
            <w:r>
              <w:rPr>
                <w:spacing w:val="-2"/>
                <w:sz w:val="24"/>
              </w:rPr>
              <w:t>mains</w:t>
            </w:r>
          </w:p>
        </w:tc>
      </w:tr>
    </w:tbl>
    <w:p>
      <w:pPr>
        <w:pStyle w:val="BodyText"/>
        <w:spacing w:before="1"/>
        <w:rPr>
          <w:b/>
        </w:rPr>
      </w:pPr>
    </w:p>
    <w:p>
      <w:pPr>
        <w:pStyle w:val="ListParagraph"/>
        <w:numPr>
          <w:ilvl w:val="1"/>
          <w:numId w:val="10"/>
        </w:numPr>
        <w:tabs>
          <w:tab w:pos="987" w:val="left" w:leader="none"/>
        </w:tabs>
        <w:spacing w:line="240" w:lineRule="auto" w:before="0" w:after="0"/>
        <w:ind w:left="987" w:right="0" w:hanging="720"/>
        <w:jc w:val="left"/>
        <w:rPr>
          <w:b/>
          <w:sz w:val="24"/>
        </w:rPr>
      </w:pPr>
      <w:r>
        <w:rPr>
          <w:b/>
          <w:sz w:val="24"/>
        </w:rPr>
        <w:t>Households’</w:t>
      </w:r>
      <w:r>
        <w:rPr>
          <w:b/>
          <w:spacing w:val="-2"/>
          <w:sz w:val="24"/>
        </w:rPr>
        <w:t> </w:t>
      </w:r>
      <w:r>
        <w:rPr>
          <w:b/>
          <w:sz w:val="24"/>
        </w:rPr>
        <w:t>Water</w:t>
      </w:r>
      <w:r>
        <w:rPr>
          <w:b/>
          <w:spacing w:val="-2"/>
          <w:sz w:val="24"/>
        </w:rPr>
        <w:t> Sources</w:t>
      </w:r>
    </w:p>
    <w:p>
      <w:pPr>
        <w:pStyle w:val="BodyText"/>
        <w:spacing w:before="22"/>
        <w:rPr>
          <w:b/>
        </w:rPr>
      </w:pPr>
    </w:p>
    <w:p>
      <w:pPr>
        <w:pStyle w:val="ListParagraph"/>
        <w:numPr>
          <w:ilvl w:val="2"/>
          <w:numId w:val="10"/>
        </w:numPr>
        <w:tabs>
          <w:tab w:pos="987" w:val="left" w:leader="none"/>
        </w:tabs>
        <w:spacing w:line="240" w:lineRule="auto" w:before="0" w:after="0"/>
        <w:ind w:left="987" w:right="0" w:hanging="720"/>
        <w:jc w:val="left"/>
        <w:rPr>
          <w:b/>
          <w:sz w:val="24"/>
        </w:rPr>
      </w:pPr>
      <w:r>
        <w:rPr>
          <w:b/>
          <w:sz w:val="24"/>
        </w:rPr>
        <w:t>Households’</w:t>
      </w:r>
      <w:r>
        <w:rPr>
          <w:b/>
          <w:spacing w:val="-3"/>
          <w:sz w:val="24"/>
        </w:rPr>
        <w:t> </w:t>
      </w:r>
      <w:r>
        <w:rPr>
          <w:b/>
          <w:sz w:val="24"/>
        </w:rPr>
        <w:t>water</w:t>
      </w:r>
      <w:r>
        <w:rPr>
          <w:b/>
          <w:spacing w:val="-2"/>
          <w:sz w:val="24"/>
        </w:rPr>
        <w:t> </w:t>
      </w:r>
      <w:r>
        <w:rPr>
          <w:b/>
          <w:sz w:val="24"/>
        </w:rPr>
        <w:t>sources</w:t>
      </w:r>
      <w:r>
        <w:rPr>
          <w:b/>
          <w:spacing w:val="-2"/>
          <w:sz w:val="24"/>
        </w:rPr>
        <w:t> </w:t>
      </w:r>
      <w:r>
        <w:rPr>
          <w:b/>
          <w:sz w:val="24"/>
        </w:rPr>
        <w:t>for</w:t>
      </w:r>
      <w:r>
        <w:rPr>
          <w:b/>
          <w:spacing w:val="-2"/>
          <w:sz w:val="24"/>
        </w:rPr>
        <w:t> </w:t>
      </w:r>
      <w:r>
        <w:rPr>
          <w:b/>
          <w:sz w:val="24"/>
        </w:rPr>
        <w:t>drinking</w:t>
      </w:r>
      <w:r>
        <w:rPr>
          <w:b/>
          <w:spacing w:val="-3"/>
          <w:sz w:val="24"/>
        </w:rPr>
        <w:t> </w:t>
      </w:r>
      <w:r>
        <w:rPr>
          <w:b/>
          <w:spacing w:val="-2"/>
          <w:sz w:val="24"/>
        </w:rPr>
        <w:t>purpose</w:t>
      </w:r>
    </w:p>
    <w:p>
      <w:pPr>
        <w:pStyle w:val="BodyText"/>
        <w:spacing w:before="14"/>
        <w:rPr>
          <w:b/>
        </w:rPr>
      </w:pPr>
    </w:p>
    <w:p>
      <w:pPr>
        <w:pStyle w:val="BodyText"/>
        <w:spacing w:line="480" w:lineRule="auto" w:before="1"/>
        <w:ind w:left="267" w:right="727"/>
        <w:jc w:val="both"/>
      </w:pPr>
      <w:r>
        <w:rPr/>
        <w:t>Table</w:t>
      </w:r>
      <w:r>
        <w:rPr>
          <w:spacing w:val="-8"/>
        </w:rPr>
        <w:t> </w:t>
      </w:r>
      <w:r>
        <w:rPr/>
        <w:t>4.2</w:t>
      </w:r>
      <w:r>
        <w:rPr>
          <w:spacing w:val="-7"/>
        </w:rPr>
        <w:t> </w:t>
      </w:r>
      <w:r>
        <w:rPr/>
        <w:t>provides</w:t>
      </w:r>
      <w:r>
        <w:rPr>
          <w:spacing w:val="-7"/>
        </w:rPr>
        <w:t> </w:t>
      </w:r>
      <w:r>
        <w:rPr/>
        <w:t>the</w:t>
      </w:r>
      <w:r>
        <w:rPr>
          <w:spacing w:val="-6"/>
        </w:rPr>
        <w:t> </w:t>
      </w:r>
      <w:r>
        <w:rPr/>
        <w:t>various</w:t>
      </w:r>
      <w:r>
        <w:rPr>
          <w:spacing w:val="-7"/>
        </w:rPr>
        <w:t> </w:t>
      </w:r>
      <w:r>
        <w:rPr/>
        <w:t>water</w:t>
      </w:r>
      <w:r>
        <w:rPr>
          <w:spacing w:val="-6"/>
        </w:rPr>
        <w:t> </w:t>
      </w:r>
      <w:r>
        <w:rPr/>
        <w:t>delivery</w:t>
      </w:r>
      <w:r>
        <w:rPr>
          <w:spacing w:val="-10"/>
        </w:rPr>
        <w:t> </w:t>
      </w:r>
      <w:r>
        <w:rPr/>
        <w:t>sources</w:t>
      </w:r>
      <w:r>
        <w:rPr>
          <w:spacing w:val="-7"/>
        </w:rPr>
        <w:t> </w:t>
      </w:r>
      <w:r>
        <w:rPr/>
        <w:t>employed</w:t>
      </w:r>
      <w:r>
        <w:rPr>
          <w:spacing w:val="-5"/>
        </w:rPr>
        <w:t> </w:t>
      </w:r>
      <w:r>
        <w:rPr/>
        <w:t>by</w:t>
      </w:r>
      <w:r>
        <w:rPr>
          <w:spacing w:val="-10"/>
        </w:rPr>
        <w:t> </w:t>
      </w:r>
      <w:r>
        <w:rPr/>
        <w:t>all</w:t>
      </w:r>
      <w:r>
        <w:rPr>
          <w:spacing w:val="-7"/>
        </w:rPr>
        <w:t> </w:t>
      </w:r>
      <w:r>
        <w:rPr/>
        <w:t>the</w:t>
      </w:r>
      <w:r>
        <w:rPr>
          <w:spacing w:val="-8"/>
        </w:rPr>
        <w:t> </w:t>
      </w:r>
      <w:r>
        <w:rPr/>
        <w:t>respondents</w:t>
      </w:r>
      <w:r>
        <w:rPr>
          <w:spacing w:val="-7"/>
        </w:rPr>
        <w:t> </w:t>
      </w:r>
      <w:r>
        <w:rPr/>
        <w:t>in</w:t>
      </w:r>
      <w:r>
        <w:rPr>
          <w:spacing w:val="-7"/>
        </w:rPr>
        <w:t> </w:t>
      </w:r>
      <w:r>
        <w:rPr/>
        <w:t>the study</w:t>
      </w:r>
      <w:r>
        <w:rPr>
          <w:spacing w:val="-10"/>
        </w:rPr>
        <w:t> </w:t>
      </w:r>
      <w:r>
        <w:rPr/>
        <w:t>area.</w:t>
      </w:r>
      <w:r>
        <w:rPr>
          <w:spacing w:val="-3"/>
        </w:rPr>
        <w:t> </w:t>
      </w:r>
      <w:r>
        <w:rPr/>
        <w:t>As</w:t>
      </w:r>
      <w:r>
        <w:rPr>
          <w:spacing w:val="-5"/>
        </w:rPr>
        <w:t> </w:t>
      </w:r>
      <w:r>
        <w:rPr/>
        <w:t>observed</w:t>
      </w:r>
      <w:r>
        <w:rPr>
          <w:spacing w:val="-5"/>
        </w:rPr>
        <w:t> </w:t>
      </w:r>
      <w:r>
        <w:rPr/>
        <w:t>in</w:t>
      </w:r>
      <w:r>
        <w:rPr>
          <w:spacing w:val="-4"/>
        </w:rPr>
        <w:t> </w:t>
      </w:r>
      <w:r>
        <w:rPr/>
        <w:t>the</w:t>
      </w:r>
      <w:r>
        <w:rPr>
          <w:spacing w:val="-5"/>
        </w:rPr>
        <w:t> </w:t>
      </w:r>
      <w:r>
        <w:rPr/>
        <w:t>Table,</w:t>
      </w:r>
      <w:r>
        <w:rPr>
          <w:spacing w:val="-5"/>
        </w:rPr>
        <w:t> </w:t>
      </w:r>
      <w:r>
        <w:rPr/>
        <w:t>substantial</w:t>
      </w:r>
      <w:r>
        <w:rPr>
          <w:spacing w:val="-4"/>
        </w:rPr>
        <w:t> </w:t>
      </w:r>
      <w:r>
        <w:rPr/>
        <w:t>differences</w:t>
      </w:r>
      <w:r>
        <w:rPr>
          <w:spacing w:val="-3"/>
        </w:rPr>
        <w:t> </w:t>
      </w:r>
      <w:r>
        <w:rPr/>
        <w:t>exist</w:t>
      </w:r>
      <w:r>
        <w:rPr>
          <w:spacing w:val="-4"/>
        </w:rPr>
        <w:t> </w:t>
      </w:r>
      <w:r>
        <w:rPr/>
        <w:t>in</w:t>
      </w:r>
      <w:r>
        <w:rPr>
          <w:spacing w:val="-4"/>
        </w:rPr>
        <w:t> </w:t>
      </w:r>
      <w:r>
        <w:rPr/>
        <w:t>water</w:t>
      </w:r>
      <w:r>
        <w:rPr>
          <w:spacing w:val="-6"/>
        </w:rPr>
        <w:t> </w:t>
      </w:r>
      <w:r>
        <w:rPr/>
        <w:t>delivery</w:t>
      </w:r>
      <w:r>
        <w:rPr>
          <w:spacing w:val="-10"/>
        </w:rPr>
        <w:t> </w:t>
      </w:r>
      <w:r>
        <w:rPr/>
        <w:t>channels used by the 359 respondents in the provision of drinking water. For example, while pipe water (into dwelling, plot and from neighbor) cumulatively supplies only 15% of the surveyed</w:t>
      </w:r>
      <w:r>
        <w:rPr>
          <w:spacing w:val="-3"/>
        </w:rPr>
        <w:t> </w:t>
      </w:r>
      <w:r>
        <w:rPr/>
        <w:t>respondents</w:t>
      </w:r>
      <w:r>
        <w:rPr>
          <w:spacing w:val="-5"/>
        </w:rPr>
        <w:t> </w:t>
      </w:r>
      <w:r>
        <w:rPr/>
        <w:t>based</w:t>
      </w:r>
      <w:r>
        <w:rPr>
          <w:spacing w:val="-6"/>
        </w:rPr>
        <w:t> </w:t>
      </w:r>
      <w:r>
        <w:rPr/>
        <w:t>on</w:t>
      </w:r>
      <w:r>
        <w:rPr>
          <w:spacing w:val="-6"/>
        </w:rPr>
        <w:t> </w:t>
      </w:r>
      <w:r>
        <w:rPr/>
        <w:t>their</w:t>
      </w:r>
      <w:r>
        <w:rPr>
          <w:spacing w:val="-4"/>
        </w:rPr>
        <w:t> </w:t>
      </w:r>
      <w:r>
        <w:rPr/>
        <w:t>total</w:t>
      </w:r>
      <w:r>
        <w:rPr>
          <w:spacing w:val="-5"/>
        </w:rPr>
        <w:t> </w:t>
      </w:r>
      <w:r>
        <w:rPr/>
        <w:t>responses</w:t>
      </w:r>
      <w:r>
        <w:rPr>
          <w:spacing w:val="-6"/>
        </w:rPr>
        <w:t> </w:t>
      </w:r>
      <w:r>
        <w:rPr/>
        <w:t>(N=988)</w:t>
      </w:r>
      <w:r>
        <w:rPr>
          <w:spacing w:val="-7"/>
        </w:rPr>
        <w:t> </w:t>
      </w:r>
      <w:r>
        <w:rPr/>
        <w:t>only</w:t>
      </w:r>
      <w:r>
        <w:rPr>
          <w:spacing w:val="-7"/>
        </w:rPr>
        <w:t> </w:t>
      </w:r>
      <w:r>
        <w:rPr/>
        <w:t>8.5%</w:t>
      </w:r>
      <w:r>
        <w:rPr>
          <w:spacing w:val="-4"/>
        </w:rPr>
        <w:t> </w:t>
      </w:r>
      <w:r>
        <w:rPr/>
        <w:t>of</w:t>
      </w:r>
      <w:r>
        <w:rPr>
          <w:spacing w:val="-3"/>
        </w:rPr>
        <w:t> </w:t>
      </w:r>
      <w:r>
        <w:rPr/>
        <w:t>respondents</w:t>
      </w:r>
      <w:r>
        <w:rPr>
          <w:spacing w:val="-5"/>
        </w:rPr>
        <w:t> </w:t>
      </w:r>
      <w:r>
        <w:rPr/>
        <w:t>used public</w:t>
      </w:r>
      <w:r>
        <w:rPr>
          <w:spacing w:val="-8"/>
        </w:rPr>
        <w:t> </w:t>
      </w:r>
      <w:r>
        <w:rPr/>
        <w:t>tap</w:t>
      </w:r>
      <w:r>
        <w:rPr>
          <w:spacing w:val="-7"/>
        </w:rPr>
        <w:t> </w:t>
      </w:r>
      <w:r>
        <w:rPr/>
        <w:t>in</w:t>
      </w:r>
      <w:r>
        <w:rPr>
          <w:spacing w:val="-7"/>
        </w:rPr>
        <w:t> </w:t>
      </w:r>
      <w:r>
        <w:rPr/>
        <w:t>the</w:t>
      </w:r>
      <w:r>
        <w:rPr>
          <w:spacing w:val="-8"/>
        </w:rPr>
        <w:t> </w:t>
      </w:r>
      <w:r>
        <w:rPr/>
        <w:t>study</w:t>
      </w:r>
      <w:r>
        <w:rPr>
          <w:spacing w:val="-10"/>
        </w:rPr>
        <w:t> </w:t>
      </w:r>
      <w:r>
        <w:rPr/>
        <w:t>area.</w:t>
      </w:r>
      <w:r>
        <w:rPr>
          <w:spacing w:val="-5"/>
        </w:rPr>
        <w:t> </w:t>
      </w:r>
      <w:r>
        <w:rPr/>
        <w:t>In</w:t>
      </w:r>
      <w:r>
        <w:rPr>
          <w:spacing w:val="-5"/>
        </w:rPr>
        <w:t> </w:t>
      </w:r>
      <w:r>
        <w:rPr/>
        <w:t>addition,</w:t>
      </w:r>
      <w:r>
        <w:rPr>
          <w:spacing w:val="-7"/>
        </w:rPr>
        <w:t> </w:t>
      </w:r>
      <w:r>
        <w:rPr/>
        <w:t>only</w:t>
      </w:r>
      <w:r>
        <w:rPr>
          <w:spacing w:val="-7"/>
        </w:rPr>
        <w:t> </w:t>
      </w:r>
      <w:r>
        <w:rPr/>
        <w:t>4.30%</w:t>
      </w:r>
      <w:r>
        <w:rPr>
          <w:spacing w:val="-8"/>
        </w:rPr>
        <w:t> </w:t>
      </w:r>
      <w:r>
        <w:rPr/>
        <w:t>of</w:t>
      </w:r>
      <w:r>
        <w:rPr>
          <w:spacing w:val="-8"/>
        </w:rPr>
        <w:t> </w:t>
      </w:r>
      <w:r>
        <w:rPr/>
        <w:t>the</w:t>
      </w:r>
      <w:r>
        <w:rPr>
          <w:spacing w:val="-5"/>
        </w:rPr>
        <w:t> </w:t>
      </w:r>
      <w:r>
        <w:rPr/>
        <w:t>respondents</w:t>
      </w:r>
      <w:r>
        <w:rPr>
          <w:spacing w:val="-6"/>
        </w:rPr>
        <w:t> </w:t>
      </w:r>
      <w:r>
        <w:rPr/>
        <w:t>reported</w:t>
      </w:r>
      <w:r>
        <w:rPr>
          <w:spacing w:val="-7"/>
        </w:rPr>
        <w:t> </w:t>
      </w:r>
      <w:r>
        <w:rPr/>
        <w:t>using</w:t>
      </w:r>
      <w:r>
        <w:rPr>
          <w:spacing w:val="-7"/>
        </w:rPr>
        <w:t> </w:t>
      </w:r>
      <w:r>
        <w:rPr/>
        <w:t>public protected borehole, while 6.40% of the respondents cited using private covered dug well as their main water source.</w:t>
      </w:r>
    </w:p>
    <w:p>
      <w:pPr>
        <w:pStyle w:val="BodyText"/>
      </w:pPr>
    </w:p>
    <w:p>
      <w:pPr>
        <w:pStyle w:val="BodyText"/>
        <w:spacing w:line="480" w:lineRule="auto"/>
        <w:ind w:left="267" w:right="730"/>
        <w:jc w:val="both"/>
      </w:pPr>
      <w:r>
        <w:rPr/>
        <w:t>Furthermore, 14.10% of the respondents reported the use of rainwater harvest, 3.50% cited using</w:t>
      </w:r>
      <w:r>
        <w:rPr>
          <w:spacing w:val="-2"/>
        </w:rPr>
        <w:t> </w:t>
      </w:r>
      <w:r>
        <w:rPr/>
        <w:t>public</w:t>
      </w:r>
      <w:r>
        <w:rPr>
          <w:spacing w:val="-1"/>
        </w:rPr>
        <w:t> </w:t>
      </w:r>
      <w:r>
        <w:rPr/>
        <w:t>open borehole,</w:t>
      </w:r>
      <w:r>
        <w:rPr>
          <w:spacing w:val="-1"/>
        </w:rPr>
        <w:t> </w:t>
      </w:r>
      <w:r>
        <w:rPr/>
        <w:t>9.50%</w:t>
      </w:r>
      <w:r>
        <w:rPr>
          <w:spacing w:val="-1"/>
        </w:rPr>
        <w:t> </w:t>
      </w:r>
      <w:r>
        <w:rPr/>
        <w:t>used bottled water, 1.20% used water</w:t>
      </w:r>
      <w:r>
        <w:rPr>
          <w:spacing w:val="-2"/>
        </w:rPr>
        <w:t> </w:t>
      </w:r>
      <w:r>
        <w:rPr/>
        <w:t>tanker</w:t>
      </w:r>
      <w:r>
        <w:rPr>
          <w:spacing w:val="-1"/>
        </w:rPr>
        <w:t> </w:t>
      </w:r>
      <w:r>
        <w:rPr/>
        <w:t>truck while 8.20%</w:t>
      </w:r>
      <w:r>
        <w:rPr>
          <w:spacing w:val="-15"/>
        </w:rPr>
        <w:t> </w:t>
      </w:r>
      <w:r>
        <w:rPr/>
        <w:t>employed</w:t>
      </w:r>
      <w:r>
        <w:rPr>
          <w:spacing w:val="-15"/>
        </w:rPr>
        <w:t> </w:t>
      </w:r>
      <w:r>
        <w:rPr/>
        <w:t>water</w:t>
      </w:r>
      <w:r>
        <w:rPr>
          <w:spacing w:val="-15"/>
        </w:rPr>
        <w:t> </w:t>
      </w:r>
      <w:r>
        <w:rPr/>
        <w:t>vendors.</w:t>
      </w:r>
      <w:r>
        <w:rPr>
          <w:spacing w:val="-15"/>
        </w:rPr>
        <w:t> </w:t>
      </w:r>
      <w:r>
        <w:rPr/>
        <w:t>Less</w:t>
      </w:r>
      <w:r>
        <w:rPr>
          <w:spacing w:val="-15"/>
        </w:rPr>
        <w:t> </w:t>
      </w:r>
      <w:r>
        <w:rPr/>
        <w:t>than</w:t>
      </w:r>
      <w:r>
        <w:rPr>
          <w:spacing w:val="-15"/>
        </w:rPr>
        <w:t> </w:t>
      </w:r>
      <w:r>
        <w:rPr/>
        <w:t>1%</w:t>
      </w:r>
      <w:r>
        <w:rPr>
          <w:spacing w:val="-15"/>
        </w:rPr>
        <w:t> </w:t>
      </w:r>
      <w:r>
        <w:rPr/>
        <w:t>of</w:t>
      </w:r>
      <w:r>
        <w:rPr>
          <w:spacing w:val="-15"/>
        </w:rPr>
        <w:t> </w:t>
      </w:r>
      <w:r>
        <w:rPr/>
        <w:t>surveyed</w:t>
      </w:r>
      <w:r>
        <w:rPr>
          <w:spacing w:val="-15"/>
        </w:rPr>
        <w:t> </w:t>
      </w:r>
      <w:r>
        <w:rPr/>
        <w:t>respondents</w:t>
      </w:r>
      <w:r>
        <w:rPr>
          <w:spacing w:val="-15"/>
        </w:rPr>
        <w:t> </w:t>
      </w:r>
      <w:r>
        <w:rPr/>
        <w:t>reported</w:t>
      </w:r>
      <w:r>
        <w:rPr>
          <w:spacing w:val="-15"/>
        </w:rPr>
        <w:t> </w:t>
      </w:r>
      <w:r>
        <w:rPr/>
        <w:t>using</w:t>
      </w:r>
      <w:r>
        <w:rPr>
          <w:spacing w:val="-15"/>
        </w:rPr>
        <w:t> </w:t>
      </w:r>
      <w:r>
        <w:rPr/>
        <w:t>private unprotected dug wells (0.50%), river and stream (0.20%) and dugout and shallow well (0.60%) as their water source. However, sachet water is the principal water source for drinking purpose in the study area as reported by 28% of the respondents.</w:t>
      </w:r>
    </w:p>
    <w:p>
      <w:pPr>
        <w:spacing w:after="0" w:line="480" w:lineRule="auto"/>
        <w:jc w:val="both"/>
        <w:sectPr>
          <w:pgSz w:w="12240" w:h="15840"/>
          <w:pgMar w:header="0" w:footer="1068" w:top="1340" w:bottom="1260" w:left="1720" w:right="680"/>
        </w:sectPr>
      </w:pPr>
    </w:p>
    <w:p>
      <w:pPr>
        <w:pStyle w:val="Heading1"/>
        <w:spacing w:before="68" w:after="4"/>
        <w:jc w:val="both"/>
      </w:pPr>
      <w:r>
        <w:rPr/>
        <w:t>Table</w:t>
      </w:r>
      <w:r>
        <w:rPr>
          <w:spacing w:val="-2"/>
        </w:rPr>
        <w:t> </w:t>
      </w:r>
      <w:r>
        <w:rPr/>
        <w:t>4.2:</w:t>
      </w:r>
      <w:r>
        <w:rPr>
          <w:spacing w:val="-1"/>
        </w:rPr>
        <w:t> </w:t>
      </w:r>
      <w:r>
        <w:rPr/>
        <w:t>Frequency</w:t>
      </w:r>
      <w:r>
        <w:rPr>
          <w:spacing w:val="-1"/>
        </w:rPr>
        <w:t> </w:t>
      </w:r>
      <w:r>
        <w:rPr/>
        <w:t>and</w:t>
      </w:r>
      <w:r>
        <w:rPr>
          <w:spacing w:val="-1"/>
        </w:rPr>
        <w:t> </w:t>
      </w:r>
      <w:r>
        <w:rPr/>
        <w:t>Percentage</w:t>
      </w:r>
      <w:r>
        <w:rPr>
          <w:spacing w:val="-3"/>
        </w:rPr>
        <w:t> </w:t>
      </w:r>
      <w:r>
        <w:rPr/>
        <w:t>of</w:t>
      </w:r>
      <w:r>
        <w:rPr>
          <w:spacing w:val="-1"/>
        </w:rPr>
        <w:t> </w:t>
      </w:r>
      <w:r>
        <w:rPr/>
        <w:t>Households</w:t>
      </w:r>
      <w:r>
        <w:rPr>
          <w:spacing w:val="-1"/>
        </w:rPr>
        <w:t> </w:t>
      </w:r>
      <w:r>
        <w:rPr/>
        <w:t>by</w:t>
      </w:r>
      <w:r>
        <w:rPr>
          <w:spacing w:val="-4"/>
        </w:rPr>
        <w:t> </w:t>
      </w:r>
      <w:r>
        <w:rPr/>
        <w:t>Source</w:t>
      </w:r>
      <w:r>
        <w:rPr>
          <w:spacing w:val="-2"/>
        </w:rPr>
        <w:t> </w:t>
      </w:r>
      <w:r>
        <w:rPr/>
        <w:t>of Drinking</w:t>
      </w:r>
      <w:r>
        <w:rPr>
          <w:spacing w:val="-1"/>
        </w:rPr>
        <w:t> </w:t>
      </w:r>
      <w:r>
        <w:rPr>
          <w:spacing w:val="-2"/>
        </w:rPr>
        <w:t>Water</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3"/>
        <w:gridCol w:w="3478"/>
        <w:gridCol w:w="3031"/>
        <w:gridCol w:w="1603"/>
      </w:tblGrid>
      <w:tr>
        <w:trPr>
          <w:trHeight w:val="275" w:hRule="atLeast"/>
        </w:trPr>
        <w:tc>
          <w:tcPr>
            <w:tcW w:w="633" w:type="dxa"/>
            <w:tcBorders>
              <w:top w:val="single" w:sz="8" w:space="0" w:color="000000"/>
              <w:bottom w:val="single" w:sz="8" w:space="0" w:color="000000"/>
            </w:tcBorders>
          </w:tcPr>
          <w:p>
            <w:pPr>
              <w:pStyle w:val="TableParagraph"/>
              <w:spacing w:line="255" w:lineRule="exact"/>
              <w:ind w:left="122"/>
              <w:rPr>
                <w:b/>
                <w:sz w:val="24"/>
              </w:rPr>
            </w:pPr>
            <w:r>
              <w:rPr>
                <w:b/>
                <w:spacing w:val="-5"/>
                <w:sz w:val="24"/>
              </w:rPr>
              <w:t>S/N</w:t>
            </w:r>
          </w:p>
        </w:tc>
        <w:tc>
          <w:tcPr>
            <w:tcW w:w="3478" w:type="dxa"/>
            <w:tcBorders>
              <w:top w:val="single" w:sz="8" w:space="0" w:color="000000"/>
              <w:bottom w:val="single" w:sz="8" w:space="0" w:color="000000"/>
            </w:tcBorders>
          </w:tcPr>
          <w:p>
            <w:pPr>
              <w:pStyle w:val="TableParagraph"/>
              <w:spacing w:line="255" w:lineRule="exact"/>
              <w:ind w:left="137"/>
              <w:rPr>
                <w:b/>
                <w:sz w:val="24"/>
              </w:rPr>
            </w:pPr>
            <w:r>
              <w:rPr>
                <w:b/>
                <w:sz w:val="24"/>
              </w:rPr>
              <w:t>Water</w:t>
            </w:r>
            <w:r>
              <w:rPr>
                <w:b/>
                <w:spacing w:val="-2"/>
                <w:sz w:val="24"/>
              </w:rPr>
              <w:t> </w:t>
            </w:r>
            <w:r>
              <w:rPr>
                <w:b/>
                <w:sz w:val="24"/>
              </w:rPr>
              <w:t>sources</w:t>
            </w:r>
            <w:r>
              <w:rPr>
                <w:b/>
                <w:spacing w:val="-1"/>
                <w:sz w:val="24"/>
              </w:rPr>
              <w:t> </w:t>
            </w:r>
            <w:r>
              <w:rPr>
                <w:b/>
                <w:sz w:val="24"/>
              </w:rPr>
              <w:t>for</w:t>
            </w:r>
            <w:r>
              <w:rPr>
                <w:b/>
                <w:spacing w:val="-1"/>
                <w:sz w:val="24"/>
              </w:rPr>
              <w:t> </w:t>
            </w:r>
            <w:r>
              <w:rPr>
                <w:b/>
                <w:spacing w:val="-2"/>
                <w:sz w:val="24"/>
              </w:rPr>
              <w:t>Drinking</w:t>
            </w:r>
          </w:p>
        </w:tc>
        <w:tc>
          <w:tcPr>
            <w:tcW w:w="3031" w:type="dxa"/>
            <w:tcBorders>
              <w:top w:val="single" w:sz="8" w:space="0" w:color="000000"/>
              <w:bottom w:val="single" w:sz="8" w:space="0" w:color="000000"/>
            </w:tcBorders>
          </w:tcPr>
          <w:p>
            <w:pPr>
              <w:pStyle w:val="TableParagraph"/>
              <w:spacing w:line="255" w:lineRule="exact"/>
              <w:ind w:left="24" w:right="3"/>
              <w:jc w:val="center"/>
              <w:rPr>
                <w:b/>
                <w:sz w:val="24"/>
              </w:rPr>
            </w:pPr>
            <w:r>
              <w:rPr>
                <w:b/>
                <w:sz w:val="24"/>
              </w:rPr>
              <w:t>*Frequency</w:t>
            </w:r>
            <w:r>
              <w:rPr>
                <w:b/>
                <w:spacing w:val="-3"/>
                <w:sz w:val="24"/>
              </w:rPr>
              <w:t> </w:t>
            </w:r>
            <w:r>
              <w:rPr>
                <w:b/>
                <w:sz w:val="24"/>
              </w:rPr>
              <w:t>of</w:t>
            </w:r>
            <w:r>
              <w:rPr>
                <w:b/>
                <w:spacing w:val="-1"/>
                <w:sz w:val="24"/>
              </w:rPr>
              <w:t> </w:t>
            </w:r>
            <w:r>
              <w:rPr>
                <w:b/>
                <w:spacing w:val="-2"/>
                <w:sz w:val="24"/>
              </w:rPr>
              <w:t>Responses</w:t>
            </w:r>
          </w:p>
        </w:tc>
        <w:tc>
          <w:tcPr>
            <w:tcW w:w="1603" w:type="dxa"/>
            <w:tcBorders>
              <w:top w:val="single" w:sz="8" w:space="0" w:color="000000"/>
              <w:bottom w:val="single" w:sz="8" w:space="0" w:color="000000"/>
            </w:tcBorders>
          </w:tcPr>
          <w:p>
            <w:pPr>
              <w:pStyle w:val="TableParagraph"/>
              <w:spacing w:line="255" w:lineRule="exact"/>
              <w:ind w:left="74"/>
              <w:jc w:val="center"/>
              <w:rPr>
                <w:b/>
                <w:sz w:val="24"/>
              </w:rPr>
            </w:pPr>
            <w:r>
              <w:rPr>
                <w:b/>
                <w:sz w:val="24"/>
              </w:rPr>
              <w:t>Percent</w:t>
            </w:r>
            <w:r>
              <w:rPr>
                <w:b/>
                <w:spacing w:val="-5"/>
                <w:sz w:val="24"/>
              </w:rPr>
              <w:t> (%)</w:t>
            </w:r>
          </w:p>
        </w:tc>
      </w:tr>
      <w:tr>
        <w:trPr>
          <w:trHeight w:val="277" w:hRule="atLeast"/>
        </w:trPr>
        <w:tc>
          <w:tcPr>
            <w:tcW w:w="633" w:type="dxa"/>
            <w:tcBorders>
              <w:top w:val="single" w:sz="8" w:space="0" w:color="000000"/>
            </w:tcBorders>
          </w:tcPr>
          <w:p>
            <w:pPr>
              <w:pStyle w:val="TableParagraph"/>
              <w:spacing w:line="257" w:lineRule="exact"/>
              <w:ind w:left="122"/>
              <w:rPr>
                <w:b/>
                <w:sz w:val="24"/>
              </w:rPr>
            </w:pPr>
            <w:r>
              <w:rPr>
                <w:b/>
                <w:spacing w:val="-10"/>
                <w:sz w:val="24"/>
              </w:rPr>
              <w:t>1</w:t>
            </w:r>
          </w:p>
        </w:tc>
        <w:tc>
          <w:tcPr>
            <w:tcW w:w="3478" w:type="dxa"/>
            <w:tcBorders>
              <w:top w:val="single" w:sz="8" w:space="0" w:color="000000"/>
            </w:tcBorders>
          </w:tcPr>
          <w:p>
            <w:pPr>
              <w:pStyle w:val="TableParagraph"/>
              <w:spacing w:line="257" w:lineRule="exact"/>
              <w:ind w:left="137"/>
              <w:rPr>
                <w:sz w:val="24"/>
              </w:rPr>
            </w:pPr>
            <w:r>
              <w:rPr>
                <w:sz w:val="24"/>
              </w:rPr>
              <w:t>Piped into </w:t>
            </w:r>
            <w:r>
              <w:rPr>
                <w:spacing w:val="-2"/>
                <w:sz w:val="24"/>
              </w:rPr>
              <w:t>dwelling</w:t>
            </w:r>
          </w:p>
        </w:tc>
        <w:tc>
          <w:tcPr>
            <w:tcW w:w="3031" w:type="dxa"/>
            <w:tcBorders>
              <w:top w:val="single" w:sz="8" w:space="0" w:color="000000"/>
            </w:tcBorders>
          </w:tcPr>
          <w:p>
            <w:pPr>
              <w:pStyle w:val="TableParagraph"/>
              <w:spacing w:line="257" w:lineRule="exact"/>
              <w:ind w:left="24"/>
              <w:jc w:val="center"/>
              <w:rPr>
                <w:sz w:val="24"/>
              </w:rPr>
            </w:pPr>
            <w:r>
              <w:rPr>
                <w:spacing w:val="-5"/>
                <w:sz w:val="24"/>
              </w:rPr>
              <w:t>48</w:t>
            </w:r>
          </w:p>
        </w:tc>
        <w:tc>
          <w:tcPr>
            <w:tcW w:w="1603" w:type="dxa"/>
            <w:tcBorders>
              <w:top w:val="single" w:sz="8" w:space="0" w:color="000000"/>
            </w:tcBorders>
          </w:tcPr>
          <w:p>
            <w:pPr>
              <w:pStyle w:val="TableParagraph"/>
              <w:spacing w:line="257" w:lineRule="exact"/>
              <w:ind w:left="74" w:right="1"/>
              <w:jc w:val="center"/>
              <w:rPr>
                <w:sz w:val="24"/>
              </w:rPr>
            </w:pPr>
            <w:r>
              <w:rPr>
                <w:spacing w:val="-4"/>
                <w:sz w:val="24"/>
              </w:rPr>
              <w:t>4.90</w:t>
            </w:r>
          </w:p>
        </w:tc>
      </w:tr>
      <w:tr>
        <w:trPr>
          <w:trHeight w:val="275" w:hRule="atLeast"/>
        </w:trPr>
        <w:tc>
          <w:tcPr>
            <w:tcW w:w="633" w:type="dxa"/>
          </w:tcPr>
          <w:p>
            <w:pPr>
              <w:pStyle w:val="TableParagraph"/>
              <w:spacing w:line="256" w:lineRule="exact"/>
              <w:ind w:left="122"/>
              <w:rPr>
                <w:b/>
                <w:sz w:val="24"/>
              </w:rPr>
            </w:pPr>
            <w:r>
              <w:rPr>
                <w:b/>
                <w:spacing w:val="-10"/>
                <w:sz w:val="24"/>
              </w:rPr>
              <w:t>2</w:t>
            </w:r>
          </w:p>
        </w:tc>
        <w:tc>
          <w:tcPr>
            <w:tcW w:w="3478" w:type="dxa"/>
          </w:tcPr>
          <w:p>
            <w:pPr>
              <w:pStyle w:val="TableParagraph"/>
              <w:spacing w:line="256" w:lineRule="exact"/>
              <w:ind w:left="137"/>
              <w:rPr>
                <w:sz w:val="24"/>
              </w:rPr>
            </w:pPr>
            <w:r>
              <w:rPr>
                <w:sz w:val="24"/>
              </w:rPr>
              <w:t>Piped</w:t>
            </w:r>
            <w:r>
              <w:rPr>
                <w:spacing w:val="-2"/>
                <w:sz w:val="24"/>
              </w:rPr>
              <w:t> </w:t>
            </w:r>
            <w:r>
              <w:rPr>
                <w:sz w:val="24"/>
              </w:rPr>
              <w:t>into</w:t>
            </w:r>
            <w:r>
              <w:rPr>
                <w:spacing w:val="2"/>
                <w:sz w:val="24"/>
              </w:rPr>
              <w:t> </w:t>
            </w:r>
            <w:r>
              <w:rPr>
                <w:spacing w:val="-2"/>
                <w:sz w:val="24"/>
              </w:rPr>
              <w:t>yard/plot/compound</w:t>
            </w:r>
          </w:p>
        </w:tc>
        <w:tc>
          <w:tcPr>
            <w:tcW w:w="3031" w:type="dxa"/>
          </w:tcPr>
          <w:p>
            <w:pPr>
              <w:pStyle w:val="TableParagraph"/>
              <w:spacing w:line="256" w:lineRule="exact"/>
              <w:ind w:left="24"/>
              <w:jc w:val="center"/>
              <w:rPr>
                <w:sz w:val="24"/>
              </w:rPr>
            </w:pPr>
            <w:r>
              <w:rPr>
                <w:spacing w:val="-5"/>
                <w:sz w:val="24"/>
              </w:rPr>
              <w:t>62</w:t>
            </w:r>
          </w:p>
        </w:tc>
        <w:tc>
          <w:tcPr>
            <w:tcW w:w="1603" w:type="dxa"/>
          </w:tcPr>
          <w:p>
            <w:pPr>
              <w:pStyle w:val="TableParagraph"/>
              <w:spacing w:line="256" w:lineRule="exact"/>
              <w:ind w:left="74" w:right="1"/>
              <w:jc w:val="center"/>
              <w:rPr>
                <w:sz w:val="24"/>
              </w:rPr>
            </w:pPr>
            <w:r>
              <w:rPr>
                <w:spacing w:val="-4"/>
                <w:sz w:val="24"/>
              </w:rPr>
              <w:t>6.30</w:t>
            </w:r>
          </w:p>
        </w:tc>
      </w:tr>
      <w:tr>
        <w:trPr>
          <w:trHeight w:val="276" w:hRule="atLeast"/>
        </w:trPr>
        <w:tc>
          <w:tcPr>
            <w:tcW w:w="633" w:type="dxa"/>
          </w:tcPr>
          <w:p>
            <w:pPr>
              <w:pStyle w:val="TableParagraph"/>
              <w:spacing w:line="256" w:lineRule="exact"/>
              <w:ind w:left="122"/>
              <w:rPr>
                <w:b/>
                <w:sz w:val="24"/>
              </w:rPr>
            </w:pPr>
            <w:r>
              <w:rPr>
                <w:b/>
                <w:spacing w:val="-10"/>
                <w:sz w:val="24"/>
              </w:rPr>
              <w:t>3</w:t>
            </w:r>
          </w:p>
        </w:tc>
        <w:tc>
          <w:tcPr>
            <w:tcW w:w="3478" w:type="dxa"/>
          </w:tcPr>
          <w:p>
            <w:pPr>
              <w:pStyle w:val="TableParagraph"/>
              <w:spacing w:line="256" w:lineRule="exact"/>
              <w:ind w:left="137"/>
              <w:rPr>
                <w:sz w:val="24"/>
              </w:rPr>
            </w:pPr>
            <w:r>
              <w:rPr>
                <w:sz w:val="24"/>
              </w:rPr>
              <w:t>Piped</w:t>
            </w:r>
            <w:r>
              <w:rPr>
                <w:spacing w:val="-1"/>
                <w:sz w:val="24"/>
              </w:rPr>
              <w:t> </w:t>
            </w:r>
            <w:r>
              <w:rPr>
                <w:sz w:val="24"/>
              </w:rPr>
              <w:t>water</w:t>
            </w:r>
            <w:r>
              <w:rPr>
                <w:spacing w:val="-3"/>
                <w:sz w:val="24"/>
              </w:rPr>
              <w:t> </w:t>
            </w:r>
            <w:r>
              <w:rPr>
                <w:sz w:val="24"/>
              </w:rPr>
              <w:t>from </w:t>
            </w:r>
            <w:r>
              <w:rPr>
                <w:spacing w:val="-2"/>
                <w:sz w:val="24"/>
              </w:rPr>
              <w:t>neighbor</w:t>
            </w:r>
          </w:p>
        </w:tc>
        <w:tc>
          <w:tcPr>
            <w:tcW w:w="3031" w:type="dxa"/>
          </w:tcPr>
          <w:p>
            <w:pPr>
              <w:pStyle w:val="TableParagraph"/>
              <w:spacing w:line="256" w:lineRule="exact"/>
              <w:ind w:left="24"/>
              <w:jc w:val="center"/>
              <w:rPr>
                <w:sz w:val="24"/>
              </w:rPr>
            </w:pPr>
            <w:r>
              <w:rPr>
                <w:spacing w:val="-5"/>
                <w:sz w:val="24"/>
              </w:rPr>
              <w:t>38</w:t>
            </w:r>
          </w:p>
        </w:tc>
        <w:tc>
          <w:tcPr>
            <w:tcW w:w="1603" w:type="dxa"/>
          </w:tcPr>
          <w:p>
            <w:pPr>
              <w:pStyle w:val="TableParagraph"/>
              <w:spacing w:line="256" w:lineRule="exact"/>
              <w:ind w:left="74" w:right="1"/>
              <w:jc w:val="center"/>
              <w:rPr>
                <w:sz w:val="24"/>
              </w:rPr>
            </w:pPr>
            <w:r>
              <w:rPr>
                <w:spacing w:val="-4"/>
                <w:sz w:val="24"/>
              </w:rPr>
              <w:t>3.80</w:t>
            </w:r>
          </w:p>
        </w:tc>
      </w:tr>
      <w:tr>
        <w:trPr>
          <w:trHeight w:val="276" w:hRule="atLeast"/>
        </w:trPr>
        <w:tc>
          <w:tcPr>
            <w:tcW w:w="633" w:type="dxa"/>
          </w:tcPr>
          <w:p>
            <w:pPr>
              <w:pStyle w:val="TableParagraph"/>
              <w:spacing w:line="256" w:lineRule="exact"/>
              <w:ind w:left="122"/>
              <w:rPr>
                <w:b/>
                <w:sz w:val="24"/>
              </w:rPr>
            </w:pPr>
            <w:r>
              <w:rPr>
                <w:b/>
                <w:spacing w:val="-10"/>
                <w:sz w:val="24"/>
              </w:rPr>
              <w:t>4</w:t>
            </w:r>
          </w:p>
        </w:tc>
        <w:tc>
          <w:tcPr>
            <w:tcW w:w="3478" w:type="dxa"/>
          </w:tcPr>
          <w:p>
            <w:pPr>
              <w:pStyle w:val="TableParagraph"/>
              <w:spacing w:line="256" w:lineRule="exact"/>
              <w:ind w:left="137"/>
              <w:rPr>
                <w:sz w:val="24"/>
              </w:rPr>
            </w:pPr>
            <w:r>
              <w:rPr>
                <w:sz w:val="24"/>
              </w:rPr>
              <w:t>Public</w:t>
            </w:r>
            <w:r>
              <w:rPr>
                <w:spacing w:val="-1"/>
                <w:sz w:val="24"/>
              </w:rPr>
              <w:t> </w:t>
            </w:r>
            <w:r>
              <w:rPr>
                <w:spacing w:val="-5"/>
                <w:sz w:val="24"/>
              </w:rPr>
              <w:t>tap</w:t>
            </w:r>
          </w:p>
        </w:tc>
        <w:tc>
          <w:tcPr>
            <w:tcW w:w="3031" w:type="dxa"/>
          </w:tcPr>
          <w:p>
            <w:pPr>
              <w:pStyle w:val="TableParagraph"/>
              <w:spacing w:line="256" w:lineRule="exact"/>
              <w:ind w:left="24"/>
              <w:jc w:val="center"/>
              <w:rPr>
                <w:sz w:val="24"/>
              </w:rPr>
            </w:pPr>
            <w:r>
              <w:rPr>
                <w:spacing w:val="-5"/>
                <w:sz w:val="24"/>
              </w:rPr>
              <w:t>84</w:t>
            </w:r>
          </w:p>
        </w:tc>
        <w:tc>
          <w:tcPr>
            <w:tcW w:w="1603" w:type="dxa"/>
          </w:tcPr>
          <w:p>
            <w:pPr>
              <w:pStyle w:val="TableParagraph"/>
              <w:spacing w:line="256" w:lineRule="exact"/>
              <w:ind w:left="74" w:right="1"/>
              <w:jc w:val="center"/>
              <w:rPr>
                <w:sz w:val="24"/>
              </w:rPr>
            </w:pPr>
            <w:r>
              <w:rPr>
                <w:spacing w:val="-4"/>
                <w:sz w:val="24"/>
              </w:rPr>
              <w:t>8.50</w:t>
            </w:r>
          </w:p>
        </w:tc>
      </w:tr>
      <w:tr>
        <w:trPr>
          <w:trHeight w:val="275" w:hRule="atLeast"/>
        </w:trPr>
        <w:tc>
          <w:tcPr>
            <w:tcW w:w="633" w:type="dxa"/>
          </w:tcPr>
          <w:p>
            <w:pPr>
              <w:pStyle w:val="TableParagraph"/>
              <w:spacing w:line="256" w:lineRule="exact"/>
              <w:ind w:left="122"/>
              <w:rPr>
                <w:b/>
                <w:sz w:val="24"/>
              </w:rPr>
            </w:pPr>
            <w:r>
              <w:rPr>
                <w:b/>
                <w:spacing w:val="-10"/>
                <w:sz w:val="24"/>
              </w:rPr>
              <w:t>5</w:t>
            </w:r>
          </w:p>
        </w:tc>
        <w:tc>
          <w:tcPr>
            <w:tcW w:w="3478" w:type="dxa"/>
          </w:tcPr>
          <w:p>
            <w:pPr>
              <w:pStyle w:val="TableParagraph"/>
              <w:spacing w:line="256" w:lineRule="exact"/>
              <w:ind w:left="137"/>
              <w:rPr>
                <w:sz w:val="24"/>
              </w:rPr>
            </w:pPr>
            <w:r>
              <w:rPr>
                <w:sz w:val="24"/>
              </w:rPr>
              <w:t>Public</w:t>
            </w:r>
            <w:r>
              <w:rPr>
                <w:spacing w:val="-3"/>
                <w:sz w:val="24"/>
              </w:rPr>
              <w:t> </w:t>
            </w:r>
            <w:r>
              <w:rPr>
                <w:sz w:val="24"/>
              </w:rPr>
              <w:t>covered</w:t>
            </w:r>
            <w:r>
              <w:rPr>
                <w:spacing w:val="-2"/>
                <w:sz w:val="24"/>
              </w:rPr>
              <w:t> borehole</w:t>
            </w:r>
          </w:p>
        </w:tc>
        <w:tc>
          <w:tcPr>
            <w:tcW w:w="3031" w:type="dxa"/>
          </w:tcPr>
          <w:p>
            <w:pPr>
              <w:pStyle w:val="TableParagraph"/>
              <w:spacing w:line="256" w:lineRule="exact"/>
              <w:ind w:left="24"/>
              <w:jc w:val="center"/>
              <w:rPr>
                <w:sz w:val="24"/>
              </w:rPr>
            </w:pPr>
            <w:r>
              <w:rPr>
                <w:spacing w:val="-5"/>
                <w:sz w:val="24"/>
              </w:rPr>
              <w:t>42</w:t>
            </w:r>
          </w:p>
        </w:tc>
        <w:tc>
          <w:tcPr>
            <w:tcW w:w="1603" w:type="dxa"/>
          </w:tcPr>
          <w:p>
            <w:pPr>
              <w:pStyle w:val="TableParagraph"/>
              <w:spacing w:line="256" w:lineRule="exact"/>
              <w:ind w:left="74" w:right="1"/>
              <w:jc w:val="center"/>
              <w:rPr>
                <w:sz w:val="24"/>
              </w:rPr>
            </w:pPr>
            <w:r>
              <w:rPr>
                <w:spacing w:val="-4"/>
                <w:sz w:val="24"/>
              </w:rPr>
              <w:t>4.30</w:t>
            </w:r>
          </w:p>
        </w:tc>
      </w:tr>
      <w:tr>
        <w:trPr>
          <w:trHeight w:val="275" w:hRule="atLeast"/>
        </w:trPr>
        <w:tc>
          <w:tcPr>
            <w:tcW w:w="633" w:type="dxa"/>
          </w:tcPr>
          <w:p>
            <w:pPr>
              <w:pStyle w:val="TableParagraph"/>
              <w:spacing w:line="256" w:lineRule="exact"/>
              <w:ind w:left="122"/>
              <w:rPr>
                <w:b/>
                <w:sz w:val="24"/>
              </w:rPr>
            </w:pPr>
            <w:r>
              <w:rPr>
                <w:b/>
                <w:spacing w:val="-10"/>
                <w:sz w:val="24"/>
              </w:rPr>
              <w:t>6</w:t>
            </w:r>
          </w:p>
        </w:tc>
        <w:tc>
          <w:tcPr>
            <w:tcW w:w="3478" w:type="dxa"/>
          </w:tcPr>
          <w:p>
            <w:pPr>
              <w:pStyle w:val="TableParagraph"/>
              <w:spacing w:line="256" w:lineRule="exact"/>
              <w:ind w:left="137"/>
              <w:rPr>
                <w:sz w:val="24"/>
              </w:rPr>
            </w:pPr>
            <w:r>
              <w:rPr>
                <w:sz w:val="24"/>
              </w:rPr>
              <w:t>Private</w:t>
            </w:r>
            <w:r>
              <w:rPr>
                <w:spacing w:val="-4"/>
                <w:sz w:val="24"/>
              </w:rPr>
              <w:t> </w:t>
            </w:r>
            <w:r>
              <w:rPr>
                <w:sz w:val="24"/>
              </w:rPr>
              <w:t>covered</w:t>
            </w:r>
            <w:r>
              <w:rPr>
                <w:spacing w:val="-1"/>
                <w:sz w:val="24"/>
              </w:rPr>
              <w:t> </w:t>
            </w:r>
            <w:r>
              <w:rPr>
                <w:sz w:val="24"/>
              </w:rPr>
              <w:t>dug</w:t>
            </w:r>
            <w:r>
              <w:rPr>
                <w:spacing w:val="-3"/>
                <w:sz w:val="24"/>
              </w:rPr>
              <w:t> </w:t>
            </w:r>
            <w:r>
              <w:rPr>
                <w:spacing w:val="-4"/>
                <w:sz w:val="24"/>
              </w:rPr>
              <w:t>well</w:t>
            </w:r>
          </w:p>
        </w:tc>
        <w:tc>
          <w:tcPr>
            <w:tcW w:w="3031" w:type="dxa"/>
          </w:tcPr>
          <w:p>
            <w:pPr>
              <w:pStyle w:val="TableParagraph"/>
              <w:spacing w:line="256" w:lineRule="exact"/>
              <w:ind w:left="24"/>
              <w:jc w:val="center"/>
              <w:rPr>
                <w:sz w:val="24"/>
              </w:rPr>
            </w:pPr>
            <w:r>
              <w:rPr>
                <w:spacing w:val="-5"/>
                <w:sz w:val="24"/>
              </w:rPr>
              <w:t>63</w:t>
            </w:r>
          </w:p>
        </w:tc>
        <w:tc>
          <w:tcPr>
            <w:tcW w:w="1603" w:type="dxa"/>
          </w:tcPr>
          <w:p>
            <w:pPr>
              <w:pStyle w:val="TableParagraph"/>
              <w:spacing w:line="256" w:lineRule="exact"/>
              <w:ind w:left="74" w:right="1"/>
              <w:jc w:val="center"/>
              <w:rPr>
                <w:sz w:val="24"/>
              </w:rPr>
            </w:pPr>
            <w:r>
              <w:rPr>
                <w:spacing w:val="-4"/>
                <w:sz w:val="24"/>
              </w:rPr>
              <w:t>6.40</w:t>
            </w:r>
          </w:p>
        </w:tc>
      </w:tr>
      <w:tr>
        <w:trPr>
          <w:trHeight w:val="274" w:hRule="atLeast"/>
        </w:trPr>
        <w:tc>
          <w:tcPr>
            <w:tcW w:w="633" w:type="dxa"/>
          </w:tcPr>
          <w:p>
            <w:pPr>
              <w:pStyle w:val="TableParagraph"/>
              <w:spacing w:line="255" w:lineRule="exact"/>
              <w:ind w:left="122"/>
              <w:rPr>
                <w:b/>
                <w:sz w:val="24"/>
              </w:rPr>
            </w:pPr>
            <w:r>
              <w:rPr>
                <w:b/>
                <w:spacing w:val="-10"/>
                <w:sz w:val="24"/>
              </w:rPr>
              <w:t>7</w:t>
            </w:r>
          </w:p>
        </w:tc>
        <w:tc>
          <w:tcPr>
            <w:tcW w:w="3478" w:type="dxa"/>
          </w:tcPr>
          <w:p>
            <w:pPr>
              <w:pStyle w:val="TableParagraph"/>
              <w:spacing w:line="255" w:lineRule="exact"/>
              <w:ind w:left="137"/>
              <w:rPr>
                <w:sz w:val="24"/>
              </w:rPr>
            </w:pPr>
            <w:r>
              <w:rPr>
                <w:sz w:val="24"/>
              </w:rPr>
              <w:t>Rain</w:t>
            </w:r>
            <w:r>
              <w:rPr>
                <w:spacing w:val="-1"/>
                <w:sz w:val="24"/>
              </w:rPr>
              <w:t> </w:t>
            </w:r>
            <w:r>
              <w:rPr>
                <w:spacing w:val="-2"/>
                <w:sz w:val="24"/>
              </w:rPr>
              <w:t>water</w:t>
            </w:r>
          </w:p>
        </w:tc>
        <w:tc>
          <w:tcPr>
            <w:tcW w:w="3031" w:type="dxa"/>
          </w:tcPr>
          <w:p>
            <w:pPr>
              <w:pStyle w:val="TableParagraph"/>
              <w:spacing w:line="255" w:lineRule="exact"/>
              <w:ind w:left="24"/>
              <w:jc w:val="center"/>
              <w:rPr>
                <w:sz w:val="24"/>
              </w:rPr>
            </w:pPr>
            <w:r>
              <w:rPr>
                <w:spacing w:val="-5"/>
                <w:sz w:val="24"/>
              </w:rPr>
              <w:t>139</w:t>
            </w:r>
          </w:p>
        </w:tc>
        <w:tc>
          <w:tcPr>
            <w:tcW w:w="1603" w:type="dxa"/>
          </w:tcPr>
          <w:p>
            <w:pPr>
              <w:pStyle w:val="TableParagraph"/>
              <w:spacing w:line="255" w:lineRule="exact"/>
              <w:ind w:left="74" w:right="1"/>
              <w:jc w:val="center"/>
              <w:rPr>
                <w:sz w:val="24"/>
              </w:rPr>
            </w:pPr>
            <w:r>
              <w:rPr>
                <w:spacing w:val="-2"/>
                <w:sz w:val="24"/>
              </w:rPr>
              <w:t>14.10</w:t>
            </w:r>
          </w:p>
        </w:tc>
      </w:tr>
      <w:tr>
        <w:trPr>
          <w:trHeight w:val="274" w:hRule="atLeast"/>
        </w:trPr>
        <w:tc>
          <w:tcPr>
            <w:tcW w:w="633" w:type="dxa"/>
          </w:tcPr>
          <w:p>
            <w:pPr>
              <w:pStyle w:val="TableParagraph"/>
              <w:spacing w:line="255" w:lineRule="exact"/>
              <w:ind w:left="122"/>
              <w:rPr>
                <w:b/>
                <w:sz w:val="24"/>
              </w:rPr>
            </w:pPr>
            <w:r>
              <w:rPr>
                <w:b/>
                <w:spacing w:val="-10"/>
                <w:sz w:val="24"/>
              </w:rPr>
              <w:t>8</w:t>
            </w:r>
          </w:p>
        </w:tc>
        <w:tc>
          <w:tcPr>
            <w:tcW w:w="3478" w:type="dxa"/>
          </w:tcPr>
          <w:p>
            <w:pPr>
              <w:pStyle w:val="TableParagraph"/>
              <w:spacing w:line="255" w:lineRule="exact"/>
              <w:ind w:left="137"/>
              <w:rPr>
                <w:sz w:val="24"/>
              </w:rPr>
            </w:pPr>
            <w:r>
              <w:rPr>
                <w:sz w:val="24"/>
              </w:rPr>
              <w:t>Public</w:t>
            </w:r>
            <w:r>
              <w:rPr>
                <w:spacing w:val="-2"/>
                <w:sz w:val="24"/>
              </w:rPr>
              <w:t> </w:t>
            </w:r>
            <w:r>
              <w:rPr>
                <w:sz w:val="24"/>
              </w:rPr>
              <w:t>open </w:t>
            </w:r>
            <w:r>
              <w:rPr>
                <w:spacing w:val="-2"/>
                <w:sz w:val="24"/>
              </w:rPr>
              <w:t>borehole</w:t>
            </w:r>
          </w:p>
        </w:tc>
        <w:tc>
          <w:tcPr>
            <w:tcW w:w="3031" w:type="dxa"/>
          </w:tcPr>
          <w:p>
            <w:pPr>
              <w:pStyle w:val="TableParagraph"/>
              <w:spacing w:line="255" w:lineRule="exact"/>
              <w:ind w:left="24"/>
              <w:jc w:val="center"/>
              <w:rPr>
                <w:sz w:val="24"/>
              </w:rPr>
            </w:pPr>
            <w:r>
              <w:rPr>
                <w:spacing w:val="-10"/>
                <w:sz w:val="24"/>
              </w:rPr>
              <w:t>3</w:t>
            </w:r>
          </w:p>
        </w:tc>
        <w:tc>
          <w:tcPr>
            <w:tcW w:w="1603" w:type="dxa"/>
          </w:tcPr>
          <w:p>
            <w:pPr>
              <w:pStyle w:val="TableParagraph"/>
              <w:spacing w:line="255" w:lineRule="exact"/>
              <w:ind w:left="74" w:right="1"/>
              <w:jc w:val="center"/>
              <w:rPr>
                <w:sz w:val="24"/>
              </w:rPr>
            </w:pPr>
            <w:r>
              <w:rPr>
                <w:spacing w:val="-4"/>
                <w:sz w:val="24"/>
              </w:rPr>
              <w:t>3.50</w:t>
            </w:r>
          </w:p>
        </w:tc>
      </w:tr>
      <w:tr>
        <w:trPr>
          <w:trHeight w:val="275" w:hRule="atLeast"/>
        </w:trPr>
        <w:tc>
          <w:tcPr>
            <w:tcW w:w="633" w:type="dxa"/>
          </w:tcPr>
          <w:p>
            <w:pPr>
              <w:pStyle w:val="TableParagraph"/>
              <w:spacing w:line="256" w:lineRule="exact"/>
              <w:ind w:left="122"/>
              <w:rPr>
                <w:b/>
                <w:sz w:val="24"/>
              </w:rPr>
            </w:pPr>
            <w:r>
              <w:rPr>
                <w:b/>
                <w:spacing w:val="-10"/>
                <w:sz w:val="24"/>
              </w:rPr>
              <w:t>9</w:t>
            </w:r>
          </w:p>
        </w:tc>
        <w:tc>
          <w:tcPr>
            <w:tcW w:w="3478" w:type="dxa"/>
          </w:tcPr>
          <w:p>
            <w:pPr>
              <w:pStyle w:val="TableParagraph"/>
              <w:spacing w:line="256" w:lineRule="exact"/>
              <w:ind w:left="137"/>
              <w:rPr>
                <w:sz w:val="24"/>
              </w:rPr>
            </w:pPr>
            <w:r>
              <w:rPr>
                <w:sz w:val="24"/>
              </w:rPr>
              <w:t>Bottled</w:t>
            </w:r>
            <w:r>
              <w:rPr>
                <w:spacing w:val="-4"/>
                <w:sz w:val="24"/>
              </w:rPr>
              <w:t> </w:t>
            </w:r>
            <w:r>
              <w:rPr>
                <w:spacing w:val="-2"/>
                <w:sz w:val="24"/>
              </w:rPr>
              <w:t>water</w:t>
            </w:r>
          </w:p>
        </w:tc>
        <w:tc>
          <w:tcPr>
            <w:tcW w:w="3031" w:type="dxa"/>
          </w:tcPr>
          <w:p>
            <w:pPr>
              <w:pStyle w:val="TableParagraph"/>
              <w:spacing w:line="256" w:lineRule="exact"/>
              <w:ind w:left="24"/>
              <w:jc w:val="center"/>
              <w:rPr>
                <w:sz w:val="24"/>
              </w:rPr>
            </w:pPr>
            <w:r>
              <w:rPr>
                <w:spacing w:val="-5"/>
                <w:sz w:val="24"/>
              </w:rPr>
              <w:t>94</w:t>
            </w:r>
          </w:p>
        </w:tc>
        <w:tc>
          <w:tcPr>
            <w:tcW w:w="1603" w:type="dxa"/>
          </w:tcPr>
          <w:p>
            <w:pPr>
              <w:pStyle w:val="TableParagraph"/>
              <w:spacing w:line="256" w:lineRule="exact"/>
              <w:ind w:left="74" w:right="1"/>
              <w:jc w:val="center"/>
              <w:rPr>
                <w:sz w:val="24"/>
              </w:rPr>
            </w:pPr>
            <w:r>
              <w:rPr>
                <w:spacing w:val="-4"/>
                <w:sz w:val="24"/>
              </w:rPr>
              <w:t>9.50</w:t>
            </w:r>
          </w:p>
        </w:tc>
      </w:tr>
      <w:tr>
        <w:trPr>
          <w:trHeight w:val="276" w:hRule="atLeast"/>
        </w:trPr>
        <w:tc>
          <w:tcPr>
            <w:tcW w:w="633" w:type="dxa"/>
          </w:tcPr>
          <w:p>
            <w:pPr>
              <w:pStyle w:val="TableParagraph"/>
              <w:spacing w:line="256" w:lineRule="exact"/>
              <w:ind w:left="122"/>
              <w:rPr>
                <w:b/>
                <w:sz w:val="24"/>
              </w:rPr>
            </w:pPr>
            <w:r>
              <w:rPr>
                <w:b/>
                <w:spacing w:val="-5"/>
                <w:sz w:val="24"/>
              </w:rPr>
              <w:t>10</w:t>
            </w:r>
          </w:p>
        </w:tc>
        <w:tc>
          <w:tcPr>
            <w:tcW w:w="3478" w:type="dxa"/>
          </w:tcPr>
          <w:p>
            <w:pPr>
              <w:pStyle w:val="TableParagraph"/>
              <w:spacing w:line="256" w:lineRule="exact"/>
              <w:ind w:left="137"/>
              <w:rPr>
                <w:sz w:val="24"/>
              </w:rPr>
            </w:pPr>
            <w:r>
              <w:rPr>
                <w:sz w:val="24"/>
              </w:rPr>
              <w:t>Private</w:t>
            </w:r>
            <w:r>
              <w:rPr>
                <w:spacing w:val="-4"/>
                <w:sz w:val="24"/>
              </w:rPr>
              <w:t> </w:t>
            </w:r>
            <w:r>
              <w:rPr>
                <w:sz w:val="24"/>
              </w:rPr>
              <w:t>unprotected</w:t>
            </w:r>
            <w:r>
              <w:rPr>
                <w:spacing w:val="-2"/>
                <w:sz w:val="24"/>
              </w:rPr>
              <w:t> </w:t>
            </w:r>
            <w:r>
              <w:rPr>
                <w:sz w:val="24"/>
              </w:rPr>
              <w:t>dug</w:t>
            </w:r>
            <w:r>
              <w:rPr>
                <w:spacing w:val="-2"/>
                <w:sz w:val="24"/>
              </w:rPr>
              <w:t> </w:t>
            </w:r>
            <w:r>
              <w:rPr>
                <w:spacing w:val="-4"/>
                <w:sz w:val="24"/>
              </w:rPr>
              <w:t>well</w:t>
            </w:r>
          </w:p>
        </w:tc>
        <w:tc>
          <w:tcPr>
            <w:tcW w:w="3031" w:type="dxa"/>
          </w:tcPr>
          <w:p>
            <w:pPr>
              <w:pStyle w:val="TableParagraph"/>
              <w:spacing w:line="256" w:lineRule="exact"/>
              <w:ind w:left="24"/>
              <w:jc w:val="center"/>
              <w:rPr>
                <w:sz w:val="24"/>
              </w:rPr>
            </w:pPr>
            <w:r>
              <w:rPr>
                <w:spacing w:val="-10"/>
                <w:sz w:val="24"/>
              </w:rPr>
              <w:t>5</w:t>
            </w:r>
          </w:p>
        </w:tc>
        <w:tc>
          <w:tcPr>
            <w:tcW w:w="1603" w:type="dxa"/>
          </w:tcPr>
          <w:p>
            <w:pPr>
              <w:pStyle w:val="TableParagraph"/>
              <w:spacing w:line="256" w:lineRule="exact"/>
              <w:ind w:left="74" w:right="1"/>
              <w:jc w:val="center"/>
              <w:rPr>
                <w:sz w:val="24"/>
              </w:rPr>
            </w:pPr>
            <w:r>
              <w:rPr>
                <w:spacing w:val="-4"/>
                <w:sz w:val="24"/>
              </w:rPr>
              <w:t>0.50</w:t>
            </w:r>
          </w:p>
        </w:tc>
      </w:tr>
      <w:tr>
        <w:trPr>
          <w:trHeight w:val="276" w:hRule="atLeast"/>
        </w:trPr>
        <w:tc>
          <w:tcPr>
            <w:tcW w:w="633" w:type="dxa"/>
          </w:tcPr>
          <w:p>
            <w:pPr>
              <w:pStyle w:val="TableParagraph"/>
              <w:spacing w:line="256" w:lineRule="exact"/>
              <w:ind w:left="122"/>
              <w:rPr>
                <w:b/>
                <w:sz w:val="24"/>
              </w:rPr>
            </w:pPr>
            <w:r>
              <w:rPr>
                <w:b/>
                <w:spacing w:val="-5"/>
                <w:sz w:val="24"/>
              </w:rPr>
              <w:t>11</w:t>
            </w:r>
          </w:p>
        </w:tc>
        <w:tc>
          <w:tcPr>
            <w:tcW w:w="3478" w:type="dxa"/>
          </w:tcPr>
          <w:p>
            <w:pPr>
              <w:pStyle w:val="TableParagraph"/>
              <w:spacing w:line="256" w:lineRule="exact"/>
              <w:ind w:left="137"/>
              <w:rPr>
                <w:sz w:val="24"/>
              </w:rPr>
            </w:pPr>
            <w:r>
              <w:rPr>
                <w:sz w:val="24"/>
              </w:rPr>
              <w:t>Tanker</w:t>
            </w:r>
            <w:r>
              <w:rPr>
                <w:spacing w:val="-5"/>
                <w:sz w:val="24"/>
              </w:rPr>
              <w:t> </w:t>
            </w:r>
            <w:r>
              <w:rPr>
                <w:spacing w:val="-2"/>
                <w:sz w:val="24"/>
              </w:rPr>
              <w:t>truck</w:t>
            </w:r>
          </w:p>
        </w:tc>
        <w:tc>
          <w:tcPr>
            <w:tcW w:w="3031" w:type="dxa"/>
          </w:tcPr>
          <w:p>
            <w:pPr>
              <w:pStyle w:val="TableParagraph"/>
              <w:spacing w:line="256" w:lineRule="exact"/>
              <w:ind w:left="24"/>
              <w:jc w:val="center"/>
              <w:rPr>
                <w:sz w:val="24"/>
              </w:rPr>
            </w:pPr>
            <w:r>
              <w:rPr>
                <w:spacing w:val="-5"/>
                <w:sz w:val="24"/>
              </w:rPr>
              <w:t>12</w:t>
            </w:r>
          </w:p>
        </w:tc>
        <w:tc>
          <w:tcPr>
            <w:tcW w:w="1603" w:type="dxa"/>
          </w:tcPr>
          <w:p>
            <w:pPr>
              <w:pStyle w:val="TableParagraph"/>
              <w:spacing w:line="256" w:lineRule="exact"/>
              <w:ind w:left="74" w:right="1"/>
              <w:jc w:val="center"/>
              <w:rPr>
                <w:sz w:val="24"/>
              </w:rPr>
            </w:pPr>
            <w:r>
              <w:rPr>
                <w:spacing w:val="-4"/>
                <w:sz w:val="24"/>
              </w:rPr>
              <w:t>1.20</w:t>
            </w:r>
          </w:p>
        </w:tc>
      </w:tr>
      <w:tr>
        <w:trPr>
          <w:trHeight w:val="276" w:hRule="atLeast"/>
        </w:trPr>
        <w:tc>
          <w:tcPr>
            <w:tcW w:w="633" w:type="dxa"/>
          </w:tcPr>
          <w:p>
            <w:pPr>
              <w:pStyle w:val="TableParagraph"/>
              <w:spacing w:line="256" w:lineRule="exact"/>
              <w:ind w:left="122"/>
              <w:rPr>
                <w:b/>
                <w:sz w:val="24"/>
              </w:rPr>
            </w:pPr>
            <w:r>
              <w:rPr>
                <w:b/>
                <w:spacing w:val="-5"/>
                <w:sz w:val="24"/>
              </w:rPr>
              <w:t>12</w:t>
            </w:r>
          </w:p>
        </w:tc>
        <w:tc>
          <w:tcPr>
            <w:tcW w:w="3478" w:type="dxa"/>
          </w:tcPr>
          <w:p>
            <w:pPr>
              <w:pStyle w:val="TableParagraph"/>
              <w:spacing w:line="256" w:lineRule="exact"/>
              <w:ind w:left="137"/>
              <w:rPr>
                <w:sz w:val="24"/>
              </w:rPr>
            </w:pPr>
            <w:r>
              <w:rPr>
                <w:sz w:val="24"/>
              </w:rPr>
              <w:t>Water</w:t>
            </w:r>
            <w:r>
              <w:rPr>
                <w:spacing w:val="-3"/>
                <w:sz w:val="24"/>
              </w:rPr>
              <w:t> </w:t>
            </w:r>
            <w:r>
              <w:rPr>
                <w:sz w:val="24"/>
              </w:rPr>
              <w:t>vendor/Cart</w:t>
            </w:r>
            <w:r>
              <w:rPr>
                <w:spacing w:val="-1"/>
                <w:sz w:val="24"/>
              </w:rPr>
              <w:t> </w:t>
            </w:r>
            <w:r>
              <w:rPr>
                <w:sz w:val="24"/>
              </w:rPr>
              <w:t>with</w:t>
            </w:r>
            <w:r>
              <w:rPr>
                <w:spacing w:val="-1"/>
                <w:sz w:val="24"/>
              </w:rPr>
              <w:t> </w:t>
            </w:r>
            <w:r>
              <w:rPr>
                <w:spacing w:val="-4"/>
                <w:sz w:val="24"/>
              </w:rPr>
              <w:t>tank</w:t>
            </w:r>
          </w:p>
        </w:tc>
        <w:tc>
          <w:tcPr>
            <w:tcW w:w="3031" w:type="dxa"/>
          </w:tcPr>
          <w:p>
            <w:pPr>
              <w:pStyle w:val="TableParagraph"/>
              <w:spacing w:line="256" w:lineRule="exact"/>
              <w:ind w:left="24"/>
              <w:jc w:val="center"/>
              <w:rPr>
                <w:sz w:val="24"/>
              </w:rPr>
            </w:pPr>
            <w:r>
              <w:rPr>
                <w:spacing w:val="-5"/>
                <w:sz w:val="24"/>
              </w:rPr>
              <w:t>81</w:t>
            </w:r>
          </w:p>
        </w:tc>
        <w:tc>
          <w:tcPr>
            <w:tcW w:w="1603" w:type="dxa"/>
          </w:tcPr>
          <w:p>
            <w:pPr>
              <w:pStyle w:val="TableParagraph"/>
              <w:spacing w:line="256" w:lineRule="exact"/>
              <w:ind w:left="74" w:right="1"/>
              <w:jc w:val="center"/>
              <w:rPr>
                <w:sz w:val="24"/>
              </w:rPr>
            </w:pPr>
            <w:r>
              <w:rPr>
                <w:spacing w:val="-4"/>
                <w:sz w:val="24"/>
              </w:rPr>
              <w:t>8.20</w:t>
            </w:r>
          </w:p>
        </w:tc>
      </w:tr>
      <w:tr>
        <w:trPr>
          <w:trHeight w:val="275" w:hRule="atLeast"/>
        </w:trPr>
        <w:tc>
          <w:tcPr>
            <w:tcW w:w="633" w:type="dxa"/>
          </w:tcPr>
          <w:p>
            <w:pPr>
              <w:pStyle w:val="TableParagraph"/>
              <w:spacing w:line="256" w:lineRule="exact"/>
              <w:ind w:left="122"/>
              <w:rPr>
                <w:b/>
                <w:sz w:val="24"/>
              </w:rPr>
            </w:pPr>
            <w:r>
              <w:rPr>
                <w:b/>
                <w:spacing w:val="-5"/>
                <w:sz w:val="24"/>
              </w:rPr>
              <w:t>13</w:t>
            </w:r>
          </w:p>
        </w:tc>
        <w:tc>
          <w:tcPr>
            <w:tcW w:w="3478" w:type="dxa"/>
          </w:tcPr>
          <w:p>
            <w:pPr>
              <w:pStyle w:val="TableParagraph"/>
              <w:spacing w:line="256" w:lineRule="exact"/>
              <w:ind w:left="137"/>
              <w:rPr>
                <w:sz w:val="24"/>
              </w:rPr>
            </w:pPr>
            <w:r>
              <w:rPr>
                <w:sz w:val="24"/>
              </w:rPr>
              <w:t>River</w:t>
            </w:r>
            <w:r>
              <w:rPr>
                <w:spacing w:val="-2"/>
                <w:sz w:val="24"/>
              </w:rPr>
              <w:t> </w:t>
            </w:r>
            <w:r>
              <w:rPr>
                <w:sz w:val="24"/>
              </w:rPr>
              <w:t>and</w:t>
            </w:r>
            <w:r>
              <w:rPr>
                <w:spacing w:val="-1"/>
                <w:sz w:val="24"/>
              </w:rPr>
              <w:t> </w:t>
            </w:r>
            <w:r>
              <w:rPr>
                <w:spacing w:val="-2"/>
                <w:sz w:val="24"/>
              </w:rPr>
              <w:t>stream</w:t>
            </w:r>
          </w:p>
        </w:tc>
        <w:tc>
          <w:tcPr>
            <w:tcW w:w="3031" w:type="dxa"/>
          </w:tcPr>
          <w:p>
            <w:pPr>
              <w:pStyle w:val="TableParagraph"/>
              <w:spacing w:line="256" w:lineRule="exact"/>
              <w:ind w:left="24"/>
              <w:jc w:val="center"/>
              <w:rPr>
                <w:sz w:val="24"/>
              </w:rPr>
            </w:pPr>
            <w:r>
              <w:rPr>
                <w:spacing w:val="-10"/>
                <w:sz w:val="24"/>
              </w:rPr>
              <w:t>2</w:t>
            </w:r>
          </w:p>
        </w:tc>
        <w:tc>
          <w:tcPr>
            <w:tcW w:w="1603" w:type="dxa"/>
          </w:tcPr>
          <w:p>
            <w:pPr>
              <w:pStyle w:val="TableParagraph"/>
              <w:spacing w:line="256" w:lineRule="exact"/>
              <w:ind w:left="74" w:right="1"/>
              <w:jc w:val="center"/>
              <w:rPr>
                <w:sz w:val="24"/>
              </w:rPr>
            </w:pPr>
            <w:r>
              <w:rPr>
                <w:spacing w:val="-4"/>
                <w:sz w:val="24"/>
              </w:rPr>
              <w:t>0.20</w:t>
            </w:r>
          </w:p>
        </w:tc>
      </w:tr>
      <w:tr>
        <w:trPr>
          <w:trHeight w:val="276" w:hRule="atLeast"/>
        </w:trPr>
        <w:tc>
          <w:tcPr>
            <w:tcW w:w="633" w:type="dxa"/>
          </w:tcPr>
          <w:p>
            <w:pPr>
              <w:pStyle w:val="TableParagraph"/>
              <w:spacing w:line="256" w:lineRule="exact"/>
              <w:ind w:left="122"/>
              <w:rPr>
                <w:b/>
                <w:sz w:val="24"/>
              </w:rPr>
            </w:pPr>
            <w:r>
              <w:rPr>
                <w:b/>
                <w:spacing w:val="-5"/>
                <w:sz w:val="24"/>
              </w:rPr>
              <w:t>14</w:t>
            </w:r>
          </w:p>
        </w:tc>
        <w:tc>
          <w:tcPr>
            <w:tcW w:w="3478" w:type="dxa"/>
          </w:tcPr>
          <w:p>
            <w:pPr>
              <w:pStyle w:val="TableParagraph"/>
              <w:spacing w:line="256" w:lineRule="exact"/>
              <w:ind w:left="137"/>
              <w:rPr>
                <w:sz w:val="24"/>
              </w:rPr>
            </w:pPr>
            <w:r>
              <w:rPr>
                <w:sz w:val="24"/>
              </w:rPr>
              <w:t>Pond</w:t>
            </w:r>
            <w:r>
              <w:rPr>
                <w:spacing w:val="-1"/>
                <w:sz w:val="24"/>
              </w:rPr>
              <w:t> </w:t>
            </w:r>
            <w:r>
              <w:rPr>
                <w:sz w:val="24"/>
              </w:rPr>
              <w:t>and </w:t>
            </w:r>
            <w:r>
              <w:rPr>
                <w:spacing w:val="-4"/>
                <w:sz w:val="24"/>
              </w:rPr>
              <w:t>lake</w:t>
            </w:r>
          </w:p>
        </w:tc>
        <w:tc>
          <w:tcPr>
            <w:tcW w:w="3031" w:type="dxa"/>
          </w:tcPr>
          <w:p>
            <w:pPr>
              <w:pStyle w:val="TableParagraph"/>
              <w:spacing w:line="256" w:lineRule="exact"/>
              <w:ind w:left="24"/>
              <w:jc w:val="center"/>
              <w:rPr>
                <w:sz w:val="24"/>
              </w:rPr>
            </w:pPr>
            <w:r>
              <w:rPr>
                <w:spacing w:val="-10"/>
                <w:sz w:val="24"/>
              </w:rPr>
              <w:t>0</w:t>
            </w:r>
          </w:p>
        </w:tc>
        <w:tc>
          <w:tcPr>
            <w:tcW w:w="1603" w:type="dxa"/>
          </w:tcPr>
          <w:p>
            <w:pPr>
              <w:pStyle w:val="TableParagraph"/>
              <w:spacing w:line="256" w:lineRule="exact"/>
              <w:ind w:left="74" w:right="1"/>
              <w:jc w:val="center"/>
              <w:rPr>
                <w:sz w:val="24"/>
              </w:rPr>
            </w:pPr>
            <w:r>
              <w:rPr>
                <w:spacing w:val="-4"/>
                <w:sz w:val="24"/>
              </w:rPr>
              <w:t>0.00</w:t>
            </w:r>
          </w:p>
        </w:tc>
      </w:tr>
      <w:tr>
        <w:trPr>
          <w:trHeight w:val="275" w:hRule="atLeast"/>
        </w:trPr>
        <w:tc>
          <w:tcPr>
            <w:tcW w:w="633" w:type="dxa"/>
          </w:tcPr>
          <w:p>
            <w:pPr>
              <w:pStyle w:val="TableParagraph"/>
              <w:spacing w:line="256" w:lineRule="exact"/>
              <w:ind w:left="122"/>
              <w:rPr>
                <w:b/>
                <w:sz w:val="24"/>
              </w:rPr>
            </w:pPr>
            <w:r>
              <w:rPr>
                <w:b/>
                <w:spacing w:val="-5"/>
                <w:sz w:val="24"/>
              </w:rPr>
              <w:t>15</w:t>
            </w:r>
          </w:p>
        </w:tc>
        <w:tc>
          <w:tcPr>
            <w:tcW w:w="3478" w:type="dxa"/>
          </w:tcPr>
          <w:p>
            <w:pPr>
              <w:pStyle w:val="TableParagraph"/>
              <w:spacing w:line="256" w:lineRule="exact"/>
              <w:ind w:left="137"/>
              <w:rPr>
                <w:sz w:val="24"/>
              </w:rPr>
            </w:pPr>
            <w:r>
              <w:rPr>
                <w:sz w:val="24"/>
              </w:rPr>
              <w:t>Dugout</w:t>
            </w:r>
            <w:r>
              <w:rPr>
                <w:spacing w:val="-3"/>
                <w:sz w:val="24"/>
              </w:rPr>
              <w:t> </w:t>
            </w:r>
            <w:r>
              <w:rPr>
                <w:sz w:val="24"/>
              </w:rPr>
              <w:t>and</w:t>
            </w:r>
            <w:r>
              <w:rPr>
                <w:spacing w:val="-1"/>
                <w:sz w:val="24"/>
              </w:rPr>
              <w:t> </w:t>
            </w:r>
            <w:r>
              <w:rPr>
                <w:sz w:val="24"/>
              </w:rPr>
              <w:t>shallow</w:t>
            </w:r>
            <w:r>
              <w:rPr>
                <w:spacing w:val="-1"/>
                <w:sz w:val="24"/>
              </w:rPr>
              <w:t> </w:t>
            </w:r>
            <w:r>
              <w:rPr>
                <w:spacing w:val="-4"/>
                <w:sz w:val="24"/>
              </w:rPr>
              <w:t>well</w:t>
            </w:r>
          </w:p>
        </w:tc>
        <w:tc>
          <w:tcPr>
            <w:tcW w:w="3031" w:type="dxa"/>
          </w:tcPr>
          <w:p>
            <w:pPr>
              <w:pStyle w:val="TableParagraph"/>
              <w:spacing w:line="256" w:lineRule="exact"/>
              <w:ind w:left="24"/>
              <w:jc w:val="center"/>
              <w:rPr>
                <w:sz w:val="24"/>
              </w:rPr>
            </w:pPr>
            <w:r>
              <w:rPr>
                <w:spacing w:val="-10"/>
                <w:sz w:val="24"/>
              </w:rPr>
              <w:t>6</w:t>
            </w:r>
          </w:p>
        </w:tc>
        <w:tc>
          <w:tcPr>
            <w:tcW w:w="1603" w:type="dxa"/>
          </w:tcPr>
          <w:p>
            <w:pPr>
              <w:pStyle w:val="TableParagraph"/>
              <w:spacing w:line="256" w:lineRule="exact"/>
              <w:ind w:left="74" w:right="1"/>
              <w:jc w:val="center"/>
              <w:rPr>
                <w:sz w:val="24"/>
              </w:rPr>
            </w:pPr>
            <w:r>
              <w:rPr>
                <w:spacing w:val="-4"/>
                <w:sz w:val="24"/>
              </w:rPr>
              <w:t>0.60</w:t>
            </w:r>
          </w:p>
        </w:tc>
      </w:tr>
      <w:tr>
        <w:trPr>
          <w:trHeight w:val="276" w:hRule="atLeast"/>
        </w:trPr>
        <w:tc>
          <w:tcPr>
            <w:tcW w:w="633" w:type="dxa"/>
          </w:tcPr>
          <w:p>
            <w:pPr>
              <w:pStyle w:val="TableParagraph"/>
              <w:spacing w:line="256" w:lineRule="exact"/>
              <w:ind w:left="122"/>
              <w:rPr>
                <w:b/>
                <w:sz w:val="24"/>
              </w:rPr>
            </w:pPr>
            <w:r>
              <w:rPr>
                <w:b/>
                <w:spacing w:val="-5"/>
                <w:sz w:val="24"/>
              </w:rPr>
              <w:t>16</w:t>
            </w:r>
          </w:p>
        </w:tc>
        <w:tc>
          <w:tcPr>
            <w:tcW w:w="3478" w:type="dxa"/>
          </w:tcPr>
          <w:p>
            <w:pPr>
              <w:pStyle w:val="TableParagraph"/>
              <w:spacing w:line="256" w:lineRule="exact"/>
              <w:ind w:left="137"/>
              <w:rPr>
                <w:sz w:val="24"/>
              </w:rPr>
            </w:pPr>
            <w:r>
              <w:rPr>
                <w:spacing w:val="-5"/>
                <w:sz w:val="24"/>
              </w:rPr>
              <w:t>Dam</w:t>
            </w:r>
          </w:p>
        </w:tc>
        <w:tc>
          <w:tcPr>
            <w:tcW w:w="3031" w:type="dxa"/>
          </w:tcPr>
          <w:p>
            <w:pPr>
              <w:pStyle w:val="TableParagraph"/>
              <w:spacing w:line="256" w:lineRule="exact"/>
              <w:ind w:left="24"/>
              <w:jc w:val="center"/>
              <w:rPr>
                <w:sz w:val="24"/>
              </w:rPr>
            </w:pPr>
            <w:r>
              <w:rPr>
                <w:spacing w:val="-10"/>
                <w:sz w:val="24"/>
              </w:rPr>
              <w:t>0</w:t>
            </w:r>
          </w:p>
        </w:tc>
        <w:tc>
          <w:tcPr>
            <w:tcW w:w="1603" w:type="dxa"/>
          </w:tcPr>
          <w:p>
            <w:pPr>
              <w:pStyle w:val="TableParagraph"/>
              <w:spacing w:line="256" w:lineRule="exact"/>
              <w:ind w:left="74" w:right="1"/>
              <w:jc w:val="center"/>
              <w:rPr>
                <w:sz w:val="24"/>
              </w:rPr>
            </w:pPr>
            <w:r>
              <w:rPr>
                <w:spacing w:val="-4"/>
                <w:sz w:val="24"/>
              </w:rPr>
              <w:t>0.00</w:t>
            </w:r>
          </w:p>
        </w:tc>
      </w:tr>
      <w:tr>
        <w:trPr>
          <w:trHeight w:val="275" w:hRule="atLeast"/>
        </w:trPr>
        <w:tc>
          <w:tcPr>
            <w:tcW w:w="633" w:type="dxa"/>
          </w:tcPr>
          <w:p>
            <w:pPr>
              <w:pStyle w:val="TableParagraph"/>
              <w:spacing w:line="256" w:lineRule="exact"/>
              <w:ind w:left="122"/>
              <w:rPr>
                <w:b/>
                <w:sz w:val="24"/>
              </w:rPr>
            </w:pPr>
            <w:r>
              <w:rPr>
                <w:b/>
                <w:spacing w:val="-5"/>
                <w:sz w:val="24"/>
              </w:rPr>
              <w:t>17</w:t>
            </w:r>
          </w:p>
        </w:tc>
        <w:tc>
          <w:tcPr>
            <w:tcW w:w="3478" w:type="dxa"/>
          </w:tcPr>
          <w:p>
            <w:pPr>
              <w:pStyle w:val="TableParagraph"/>
              <w:spacing w:line="256" w:lineRule="exact"/>
              <w:ind w:left="137"/>
              <w:rPr>
                <w:sz w:val="24"/>
              </w:rPr>
            </w:pPr>
            <w:r>
              <w:rPr>
                <w:sz w:val="24"/>
              </w:rPr>
              <w:t>Sachet</w:t>
            </w:r>
            <w:r>
              <w:rPr>
                <w:spacing w:val="-5"/>
                <w:sz w:val="24"/>
              </w:rPr>
              <w:t> </w:t>
            </w:r>
            <w:r>
              <w:rPr>
                <w:spacing w:val="-2"/>
                <w:sz w:val="24"/>
              </w:rPr>
              <w:t>water</w:t>
            </w:r>
          </w:p>
        </w:tc>
        <w:tc>
          <w:tcPr>
            <w:tcW w:w="3031" w:type="dxa"/>
          </w:tcPr>
          <w:p>
            <w:pPr>
              <w:pStyle w:val="TableParagraph"/>
              <w:spacing w:line="256" w:lineRule="exact"/>
              <w:ind w:left="24"/>
              <w:jc w:val="center"/>
              <w:rPr>
                <w:sz w:val="24"/>
              </w:rPr>
            </w:pPr>
            <w:r>
              <w:rPr>
                <w:spacing w:val="-5"/>
                <w:sz w:val="24"/>
              </w:rPr>
              <w:t>277</w:t>
            </w:r>
          </w:p>
        </w:tc>
        <w:tc>
          <w:tcPr>
            <w:tcW w:w="1603" w:type="dxa"/>
          </w:tcPr>
          <w:p>
            <w:pPr>
              <w:pStyle w:val="TableParagraph"/>
              <w:spacing w:line="256" w:lineRule="exact"/>
              <w:ind w:left="74" w:right="1"/>
              <w:jc w:val="center"/>
              <w:rPr>
                <w:sz w:val="24"/>
              </w:rPr>
            </w:pPr>
            <w:r>
              <w:rPr>
                <w:spacing w:val="-2"/>
                <w:sz w:val="24"/>
              </w:rPr>
              <w:t>28.00</w:t>
            </w:r>
          </w:p>
        </w:tc>
      </w:tr>
      <w:tr>
        <w:trPr>
          <w:trHeight w:val="273" w:hRule="atLeast"/>
        </w:trPr>
        <w:tc>
          <w:tcPr>
            <w:tcW w:w="633" w:type="dxa"/>
          </w:tcPr>
          <w:p>
            <w:pPr>
              <w:pStyle w:val="TableParagraph"/>
              <w:rPr>
                <w:sz w:val="20"/>
              </w:rPr>
            </w:pPr>
          </w:p>
        </w:tc>
        <w:tc>
          <w:tcPr>
            <w:tcW w:w="3478" w:type="dxa"/>
          </w:tcPr>
          <w:p>
            <w:pPr>
              <w:pStyle w:val="TableParagraph"/>
              <w:spacing w:line="254" w:lineRule="exact"/>
              <w:ind w:left="137"/>
              <w:rPr>
                <w:sz w:val="24"/>
              </w:rPr>
            </w:pPr>
            <w:r>
              <w:rPr>
                <w:sz w:val="24"/>
              </w:rPr>
              <w:t>Respondents</w:t>
            </w:r>
            <w:r>
              <w:rPr>
                <w:spacing w:val="-1"/>
                <w:sz w:val="24"/>
              </w:rPr>
              <w:t> </w:t>
            </w:r>
            <w:r>
              <w:rPr>
                <w:sz w:val="24"/>
              </w:rPr>
              <w:t>with</w:t>
            </w:r>
            <w:r>
              <w:rPr>
                <w:spacing w:val="-1"/>
                <w:sz w:val="24"/>
              </w:rPr>
              <w:t> </w:t>
            </w:r>
            <w:r>
              <w:rPr>
                <w:sz w:val="24"/>
              </w:rPr>
              <w:t>pipe</w:t>
            </w:r>
            <w:r>
              <w:rPr>
                <w:spacing w:val="-1"/>
                <w:sz w:val="24"/>
              </w:rPr>
              <w:t> </w:t>
            </w:r>
            <w:r>
              <w:rPr>
                <w:spacing w:val="-2"/>
                <w:sz w:val="24"/>
              </w:rPr>
              <w:t>water</w:t>
            </w:r>
          </w:p>
        </w:tc>
        <w:tc>
          <w:tcPr>
            <w:tcW w:w="3031" w:type="dxa"/>
          </w:tcPr>
          <w:p>
            <w:pPr>
              <w:pStyle w:val="TableParagraph"/>
              <w:rPr>
                <w:sz w:val="20"/>
              </w:rPr>
            </w:pPr>
          </w:p>
        </w:tc>
        <w:tc>
          <w:tcPr>
            <w:tcW w:w="1603" w:type="dxa"/>
          </w:tcPr>
          <w:p>
            <w:pPr>
              <w:pStyle w:val="TableParagraph"/>
              <w:spacing w:line="254" w:lineRule="exact"/>
              <w:ind w:left="74" w:right="3"/>
              <w:jc w:val="center"/>
              <w:rPr>
                <w:sz w:val="24"/>
              </w:rPr>
            </w:pPr>
            <w:r>
              <w:rPr>
                <w:spacing w:val="-2"/>
                <w:sz w:val="24"/>
              </w:rPr>
              <w:t>15.00%</w:t>
            </w:r>
          </w:p>
        </w:tc>
      </w:tr>
      <w:tr>
        <w:trPr>
          <w:trHeight w:val="276" w:hRule="atLeast"/>
        </w:trPr>
        <w:tc>
          <w:tcPr>
            <w:tcW w:w="633" w:type="dxa"/>
          </w:tcPr>
          <w:p>
            <w:pPr>
              <w:pStyle w:val="TableParagraph"/>
              <w:rPr>
                <w:sz w:val="20"/>
              </w:rPr>
            </w:pPr>
          </w:p>
        </w:tc>
        <w:tc>
          <w:tcPr>
            <w:tcW w:w="3478" w:type="dxa"/>
          </w:tcPr>
          <w:p>
            <w:pPr>
              <w:pStyle w:val="TableParagraph"/>
              <w:spacing w:line="256" w:lineRule="exact"/>
              <w:ind w:left="137"/>
              <w:rPr>
                <w:sz w:val="24"/>
              </w:rPr>
            </w:pPr>
            <w:r>
              <w:rPr>
                <w:sz w:val="24"/>
              </w:rPr>
              <w:t>**Water</w:t>
            </w:r>
            <w:r>
              <w:rPr>
                <w:spacing w:val="-4"/>
                <w:sz w:val="24"/>
              </w:rPr>
              <w:t> </w:t>
            </w:r>
            <w:r>
              <w:rPr>
                <w:sz w:val="24"/>
              </w:rPr>
              <w:t>from</w:t>
            </w:r>
            <w:r>
              <w:rPr>
                <w:spacing w:val="-1"/>
                <w:sz w:val="24"/>
              </w:rPr>
              <w:t> </w:t>
            </w:r>
            <w:r>
              <w:rPr>
                <w:sz w:val="24"/>
              </w:rPr>
              <w:t>improved</w:t>
            </w:r>
            <w:r>
              <w:rPr>
                <w:spacing w:val="1"/>
                <w:sz w:val="24"/>
              </w:rPr>
              <w:t> </w:t>
            </w:r>
            <w:r>
              <w:rPr>
                <w:spacing w:val="-2"/>
                <w:sz w:val="24"/>
              </w:rPr>
              <w:t>sources</w:t>
            </w:r>
          </w:p>
        </w:tc>
        <w:tc>
          <w:tcPr>
            <w:tcW w:w="3031" w:type="dxa"/>
          </w:tcPr>
          <w:p>
            <w:pPr>
              <w:pStyle w:val="TableParagraph"/>
              <w:rPr>
                <w:sz w:val="20"/>
              </w:rPr>
            </w:pPr>
          </w:p>
        </w:tc>
        <w:tc>
          <w:tcPr>
            <w:tcW w:w="1603" w:type="dxa"/>
          </w:tcPr>
          <w:p>
            <w:pPr>
              <w:pStyle w:val="TableParagraph"/>
              <w:spacing w:line="256" w:lineRule="exact"/>
              <w:ind w:left="74" w:right="3"/>
              <w:jc w:val="center"/>
              <w:rPr>
                <w:sz w:val="24"/>
              </w:rPr>
            </w:pPr>
            <w:r>
              <w:rPr>
                <w:spacing w:val="-2"/>
                <w:sz w:val="24"/>
              </w:rPr>
              <w:t>48.30%</w:t>
            </w:r>
          </w:p>
        </w:tc>
      </w:tr>
      <w:tr>
        <w:trPr>
          <w:trHeight w:val="275" w:hRule="atLeast"/>
        </w:trPr>
        <w:tc>
          <w:tcPr>
            <w:tcW w:w="633" w:type="dxa"/>
          </w:tcPr>
          <w:p>
            <w:pPr>
              <w:pStyle w:val="TableParagraph"/>
              <w:rPr>
                <w:sz w:val="20"/>
              </w:rPr>
            </w:pPr>
          </w:p>
        </w:tc>
        <w:tc>
          <w:tcPr>
            <w:tcW w:w="3478" w:type="dxa"/>
          </w:tcPr>
          <w:p>
            <w:pPr>
              <w:pStyle w:val="TableParagraph"/>
              <w:spacing w:line="256" w:lineRule="exact"/>
              <w:ind w:left="137"/>
              <w:rPr>
                <w:sz w:val="24"/>
              </w:rPr>
            </w:pPr>
            <w:r>
              <w:rPr>
                <w:sz w:val="24"/>
              </w:rPr>
              <w:t>Water</w:t>
            </w:r>
            <w:r>
              <w:rPr>
                <w:spacing w:val="-4"/>
                <w:sz w:val="24"/>
              </w:rPr>
              <w:t> </w:t>
            </w:r>
            <w:r>
              <w:rPr>
                <w:sz w:val="24"/>
              </w:rPr>
              <w:t>from</w:t>
            </w:r>
            <w:r>
              <w:rPr>
                <w:spacing w:val="-1"/>
                <w:sz w:val="24"/>
              </w:rPr>
              <w:t> </w:t>
            </w:r>
            <w:r>
              <w:rPr>
                <w:sz w:val="24"/>
              </w:rPr>
              <w:t>unimproved</w:t>
            </w:r>
            <w:r>
              <w:rPr>
                <w:spacing w:val="1"/>
                <w:sz w:val="24"/>
              </w:rPr>
              <w:t> </w:t>
            </w:r>
            <w:r>
              <w:rPr>
                <w:spacing w:val="-2"/>
                <w:sz w:val="24"/>
              </w:rPr>
              <w:t>sources</w:t>
            </w:r>
          </w:p>
        </w:tc>
        <w:tc>
          <w:tcPr>
            <w:tcW w:w="3031" w:type="dxa"/>
          </w:tcPr>
          <w:p>
            <w:pPr>
              <w:pStyle w:val="TableParagraph"/>
              <w:rPr>
                <w:sz w:val="20"/>
              </w:rPr>
            </w:pPr>
          </w:p>
        </w:tc>
        <w:tc>
          <w:tcPr>
            <w:tcW w:w="1603" w:type="dxa"/>
          </w:tcPr>
          <w:p>
            <w:pPr>
              <w:pStyle w:val="TableParagraph"/>
              <w:spacing w:line="256" w:lineRule="exact"/>
              <w:ind w:left="74" w:right="3"/>
              <w:jc w:val="center"/>
              <w:rPr>
                <w:sz w:val="24"/>
              </w:rPr>
            </w:pPr>
            <w:r>
              <w:rPr>
                <w:spacing w:val="-2"/>
                <w:sz w:val="24"/>
              </w:rPr>
              <w:t>51.70%</w:t>
            </w:r>
          </w:p>
        </w:tc>
      </w:tr>
      <w:tr>
        <w:trPr>
          <w:trHeight w:val="276" w:hRule="atLeast"/>
        </w:trPr>
        <w:tc>
          <w:tcPr>
            <w:tcW w:w="633" w:type="dxa"/>
          </w:tcPr>
          <w:p>
            <w:pPr>
              <w:pStyle w:val="TableParagraph"/>
              <w:rPr>
                <w:sz w:val="20"/>
              </w:rPr>
            </w:pPr>
          </w:p>
        </w:tc>
        <w:tc>
          <w:tcPr>
            <w:tcW w:w="3478" w:type="dxa"/>
          </w:tcPr>
          <w:p>
            <w:pPr>
              <w:pStyle w:val="TableParagraph"/>
              <w:spacing w:line="256" w:lineRule="exact"/>
              <w:ind w:left="137"/>
              <w:rPr>
                <w:sz w:val="24"/>
              </w:rPr>
            </w:pPr>
            <w:r>
              <w:rPr>
                <w:sz w:val="24"/>
              </w:rPr>
              <w:t>Total</w:t>
            </w:r>
            <w:r>
              <w:rPr>
                <w:spacing w:val="-1"/>
                <w:sz w:val="24"/>
              </w:rPr>
              <w:t> </w:t>
            </w:r>
            <w:r>
              <w:rPr>
                <w:sz w:val="24"/>
              </w:rPr>
              <w:t>number</w:t>
            </w:r>
            <w:r>
              <w:rPr>
                <w:spacing w:val="-1"/>
                <w:sz w:val="24"/>
              </w:rPr>
              <w:t> </w:t>
            </w:r>
            <w:r>
              <w:rPr>
                <w:sz w:val="24"/>
              </w:rPr>
              <w:t>of </w:t>
            </w:r>
            <w:r>
              <w:rPr>
                <w:spacing w:val="-2"/>
                <w:sz w:val="24"/>
              </w:rPr>
              <w:t>respondents</w:t>
            </w:r>
          </w:p>
        </w:tc>
        <w:tc>
          <w:tcPr>
            <w:tcW w:w="3031" w:type="dxa"/>
          </w:tcPr>
          <w:p>
            <w:pPr>
              <w:pStyle w:val="TableParagraph"/>
              <w:spacing w:line="256" w:lineRule="exact"/>
              <w:ind w:left="24"/>
              <w:jc w:val="center"/>
              <w:rPr>
                <w:sz w:val="24"/>
              </w:rPr>
            </w:pPr>
            <w:r>
              <w:rPr>
                <w:spacing w:val="-5"/>
                <w:sz w:val="24"/>
              </w:rPr>
              <w:t>359</w:t>
            </w:r>
          </w:p>
        </w:tc>
        <w:tc>
          <w:tcPr>
            <w:tcW w:w="1603" w:type="dxa"/>
          </w:tcPr>
          <w:p>
            <w:pPr>
              <w:pStyle w:val="TableParagraph"/>
              <w:rPr>
                <w:sz w:val="20"/>
              </w:rPr>
            </w:pPr>
          </w:p>
        </w:tc>
      </w:tr>
      <w:tr>
        <w:trPr>
          <w:trHeight w:val="280" w:hRule="atLeast"/>
        </w:trPr>
        <w:tc>
          <w:tcPr>
            <w:tcW w:w="633" w:type="dxa"/>
            <w:tcBorders>
              <w:bottom w:val="single" w:sz="8" w:space="0" w:color="000000"/>
            </w:tcBorders>
          </w:tcPr>
          <w:p>
            <w:pPr>
              <w:pStyle w:val="TableParagraph"/>
              <w:rPr>
                <w:sz w:val="20"/>
              </w:rPr>
            </w:pPr>
          </w:p>
        </w:tc>
        <w:tc>
          <w:tcPr>
            <w:tcW w:w="3478" w:type="dxa"/>
            <w:tcBorders>
              <w:bottom w:val="single" w:sz="8" w:space="0" w:color="000000"/>
            </w:tcBorders>
          </w:tcPr>
          <w:p>
            <w:pPr>
              <w:pStyle w:val="TableParagraph"/>
              <w:spacing w:line="261" w:lineRule="exact"/>
              <w:ind w:left="13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responses</w:t>
            </w:r>
          </w:p>
        </w:tc>
        <w:tc>
          <w:tcPr>
            <w:tcW w:w="3031" w:type="dxa"/>
            <w:tcBorders>
              <w:bottom w:val="single" w:sz="8" w:space="0" w:color="000000"/>
            </w:tcBorders>
          </w:tcPr>
          <w:p>
            <w:pPr>
              <w:pStyle w:val="TableParagraph"/>
              <w:spacing w:line="261" w:lineRule="exact"/>
              <w:ind w:left="24"/>
              <w:jc w:val="center"/>
              <w:rPr>
                <w:sz w:val="24"/>
              </w:rPr>
            </w:pPr>
            <w:r>
              <w:rPr>
                <w:spacing w:val="-5"/>
                <w:sz w:val="24"/>
              </w:rPr>
              <w:t>988</w:t>
            </w:r>
          </w:p>
        </w:tc>
        <w:tc>
          <w:tcPr>
            <w:tcW w:w="1603" w:type="dxa"/>
            <w:tcBorders>
              <w:bottom w:val="single" w:sz="8" w:space="0" w:color="000000"/>
            </w:tcBorders>
          </w:tcPr>
          <w:p>
            <w:pPr>
              <w:pStyle w:val="TableParagraph"/>
              <w:spacing w:line="261" w:lineRule="exact"/>
              <w:ind w:left="74"/>
              <w:jc w:val="center"/>
              <w:rPr>
                <w:sz w:val="24"/>
              </w:rPr>
            </w:pPr>
            <w:r>
              <w:rPr>
                <w:spacing w:val="-4"/>
                <w:sz w:val="24"/>
              </w:rPr>
              <w:t>100%</w:t>
            </w:r>
          </w:p>
        </w:tc>
      </w:tr>
    </w:tbl>
    <w:p>
      <w:pPr>
        <w:pStyle w:val="BodyText"/>
        <w:rPr>
          <w:b/>
        </w:rPr>
      </w:pPr>
    </w:p>
    <w:p>
      <w:pPr>
        <w:pStyle w:val="BodyText"/>
        <w:spacing w:before="3"/>
        <w:rPr>
          <w:b/>
        </w:rPr>
      </w:pPr>
    </w:p>
    <w:p>
      <w:pPr>
        <w:pStyle w:val="BodyText"/>
        <w:spacing w:line="480" w:lineRule="auto" w:before="1"/>
        <w:ind w:left="267" w:right="727"/>
        <w:jc w:val="both"/>
      </w:pPr>
      <w:r>
        <w:rPr/>
        <w:t>This</w:t>
      </w:r>
      <w:r>
        <w:rPr>
          <w:spacing w:val="-15"/>
        </w:rPr>
        <w:t> </w:t>
      </w:r>
      <w:r>
        <w:rPr/>
        <w:t>result</w:t>
      </w:r>
      <w:r>
        <w:rPr>
          <w:spacing w:val="-13"/>
        </w:rPr>
        <w:t> </w:t>
      </w:r>
      <w:r>
        <w:rPr/>
        <w:t>has</w:t>
      </w:r>
      <w:r>
        <w:rPr>
          <w:spacing w:val="-12"/>
        </w:rPr>
        <w:t> </w:t>
      </w:r>
      <w:r>
        <w:rPr/>
        <w:t>implications</w:t>
      </w:r>
      <w:r>
        <w:rPr>
          <w:spacing w:val="-12"/>
        </w:rPr>
        <w:t> </w:t>
      </w:r>
      <w:r>
        <w:rPr/>
        <w:t>for</w:t>
      </w:r>
      <w:r>
        <w:rPr>
          <w:spacing w:val="-14"/>
        </w:rPr>
        <w:t> </w:t>
      </w:r>
      <w:r>
        <w:rPr/>
        <w:t>households’</w:t>
      </w:r>
      <w:r>
        <w:rPr>
          <w:spacing w:val="-13"/>
        </w:rPr>
        <w:t> </w:t>
      </w:r>
      <w:r>
        <w:rPr/>
        <w:t>access</w:t>
      </w:r>
      <w:r>
        <w:rPr>
          <w:spacing w:val="-9"/>
        </w:rPr>
        <w:t> </w:t>
      </w:r>
      <w:r>
        <w:rPr/>
        <w:t>to</w:t>
      </w:r>
      <w:r>
        <w:rPr>
          <w:spacing w:val="-9"/>
        </w:rPr>
        <w:t> </w:t>
      </w:r>
      <w:r>
        <w:rPr/>
        <w:t>safely</w:t>
      </w:r>
      <w:r>
        <w:rPr>
          <w:spacing w:val="-15"/>
        </w:rPr>
        <w:t> </w:t>
      </w:r>
      <w:r>
        <w:rPr/>
        <w:t>managed</w:t>
      </w:r>
      <w:r>
        <w:rPr>
          <w:spacing w:val="-9"/>
        </w:rPr>
        <w:t> </w:t>
      </w:r>
      <w:r>
        <w:rPr/>
        <w:t>water</w:t>
      </w:r>
      <w:r>
        <w:rPr>
          <w:spacing w:val="-13"/>
        </w:rPr>
        <w:t> </w:t>
      </w:r>
      <w:r>
        <w:rPr/>
        <w:t>in</w:t>
      </w:r>
      <w:r>
        <w:rPr>
          <w:spacing w:val="-12"/>
        </w:rPr>
        <w:t> </w:t>
      </w:r>
      <w:r>
        <w:rPr/>
        <w:t>the</w:t>
      </w:r>
      <w:r>
        <w:rPr>
          <w:spacing w:val="-13"/>
        </w:rPr>
        <w:t> </w:t>
      </w:r>
      <w:r>
        <w:rPr/>
        <w:t>study</w:t>
      </w:r>
      <w:r>
        <w:rPr>
          <w:spacing w:val="-15"/>
        </w:rPr>
        <w:t> </w:t>
      </w:r>
      <w:r>
        <w:rPr/>
        <w:t>area. First, only</w:t>
      </w:r>
      <w:r>
        <w:rPr>
          <w:spacing w:val="-5"/>
        </w:rPr>
        <w:t> </w:t>
      </w:r>
      <w:r>
        <w:rPr/>
        <w:t>48.30%</w:t>
      </w:r>
      <w:r>
        <w:rPr>
          <w:spacing w:val="-1"/>
        </w:rPr>
        <w:t> </w:t>
      </w:r>
      <w:r>
        <w:rPr/>
        <w:t>of</w:t>
      </w:r>
      <w:r>
        <w:rPr>
          <w:spacing w:val="-1"/>
        </w:rPr>
        <w:t> </w:t>
      </w:r>
      <w:r>
        <w:rPr/>
        <w:t>all the</w:t>
      </w:r>
      <w:r>
        <w:rPr>
          <w:spacing w:val="-1"/>
        </w:rPr>
        <w:t> </w:t>
      </w:r>
      <w:r>
        <w:rPr/>
        <w:t>respondents have</w:t>
      </w:r>
      <w:r>
        <w:rPr>
          <w:spacing w:val="-1"/>
        </w:rPr>
        <w:t> </w:t>
      </w:r>
      <w:r>
        <w:rPr/>
        <w:t>been estimated to receive access to improved water sources for drinking. This implies that the study area is characterized by low level of access to public water supply and that the burden to provide safe drinking water shift to the households.</w:t>
      </w:r>
      <w:r>
        <w:rPr>
          <w:spacing w:val="-13"/>
        </w:rPr>
        <w:t> </w:t>
      </w:r>
      <w:r>
        <w:rPr/>
        <w:t>This</w:t>
      </w:r>
      <w:r>
        <w:rPr>
          <w:spacing w:val="-13"/>
        </w:rPr>
        <w:t> </w:t>
      </w:r>
      <w:r>
        <w:rPr/>
        <w:t>research</w:t>
      </w:r>
      <w:r>
        <w:rPr>
          <w:spacing w:val="-13"/>
        </w:rPr>
        <w:t> </w:t>
      </w:r>
      <w:r>
        <w:rPr/>
        <w:t>finding</w:t>
      </w:r>
      <w:r>
        <w:rPr>
          <w:spacing w:val="-15"/>
        </w:rPr>
        <w:t> </w:t>
      </w:r>
      <w:r>
        <w:rPr/>
        <w:t>can</w:t>
      </w:r>
      <w:r>
        <w:rPr>
          <w:spacing w:val="-13"/>
        </w:rPr>
        <w:t> </w:t>
      </w:r>
      <w:r>
        <w:rPr/>
        <w:t>be</w:t>
      </w:r>
      <w:r>
        <w:rPr>
          <w:spacing w:val="-14"/>
        </w:rPr>
        <w:t> </w:t>
      </w:r>
      <w:r>
        <w:rPr/>
        <w:t>considered</w:t>
      </w:r>
      <w:r>
        <w:rPr>
          <w:spacing w:val="-13"/>
        </w:rPr>
        <w:t> </w:t>
      </w:r>
      <w:r>
        <w:rPr/>
        <w:t>within</w:t>
      </w:r>
      <w:r>
        <w:rPr>
          <w:spacing w:val="-13"/>
        </w:rPr>
        <w:t> </w:t>
      </w:r>
      <w:r>
        <w:rPr/>
        <w:t>the</w:t>
      </w:r>
      <w:r>
        <w:rPr>
          <w:spacing w:val="-14"/>
        </w:rPr>
        <w:t> </w:t>
      </w:r>
      <w:r>
        <w:rPr/>
        <w:t>context</w:t>
      </w:r>
      <w:r>
        <w:rPr>
          <w:spacing w:val="-13"/>
        </w:rPr>
        <w:t> </w:t>
      </w:r>
      <w:r>
        <w:rPr/>
        <w:t>of</w:t>
      </w:r>
      <w:r>
        <w:rPr>
          <w:spacing w:val="-14"/>
        </w:rPr>
        <w:t> </w:t>
      </w:r>
      <w:r>
        <w:rPr/>
        <w:t>prior</w:t>
      </w:r>
      <w:r>
        <w:rPr>
          <w:spacing w:val="-13"/>
        </w:rPr>
        <w:t> </w:t>
      </w:r>
      <w:r>
        <w:rPr/>
        <w:t>studies</w:t>
      </w:r>
      <w:r>
        <w:rPr>
          <w:spacing w:val="-13"/>
        </w:rPr>
        <w:t> </w:t>
      </w:r>
      <w:r>
        <w:rPr/>
        <w:t>which noted that for over two decades, access to improved water supply in urban cities of Nigeria is low and that this level of access to direct water supply would decline further in the foreseeable future (WHO-UNICEF/JMP, 2017; MICS, 2017; Macheve </w:t>
      </w:r>
      <w:r>
        <w:rPr>
          <w:i/>
        </w:rPr>
        <w:t>et al.</w:t>
      </w:r>
      <w:r>
        <w:rPr/>
        <w:t>, 2015). Secondly, when the 48.30% respondents with access to improved water is reconciled with those</w:t>
      </w:r>
      <w:r>
        <w:rPr>
          <w:spacing w:val="12"/>
        </w:rPr>
        <w:t> </w:t>
      </w:r>
      <w:r>
        <w:rPr/>
        <w:t>15%</w:t>
      </w:r>
      <w:r>
        <w:rPr>
          <w:spacing w:val="13"/>
        </w:rPr>
        <w:t> </w:t>
      </w:r>
      <w:r>
        <w:rPr/>
        <w:t>respondents</w:t>
      </w:r>
      <w:r>
        <w:rPr>
          <w:spacing w:val="16"/>
        </w:rPr>
        <w:t> </w:t>
      </w:r>
      <w:r>
        <w:rPr/>
        <w:t>who</w:t>
      </w:r>
      <w:r>
        <w:rPr>
          <w:spacing w:val="13"/>
        </w:rPr>
        <w:t> </w:t>
      </w:r>
      <w:r>
        <w:rPr/>
        <w:t>have</w:t>
      </w:r>
      <w:r>
        <w:rPr>
          <w:spacing w:val="14"/>
        </w:rPr>
        <w:t> </w:t>
      </w:r>
      <w:r>
        <w:rPr/>
        <w:t>access</w:t>
      </w:r>
      <w:r>
        <w:rPr>
          <w:spacing w:val="14"/>
        </w:rPr>
        <w:t> </w:t>
      </w:r>
      <w:r>
        <w:rPr/>
        <w:t>to</w:t>
      </w:r>
      <w:r>
        <w:rPr>
          <w:spacing w:val="13"/>
        </w:rPr>
        <w:t> </w:t>
      </w:r>
      <w:r>
        <w:rPr/>
        <w:t>direct</w:t>
      </w:r>
      <w:r>
        <w:rPr>
          <w:spacing w:val="14"/>
        </w:rPr>
        <w:t> </w:t>
      </w:r>
      <w:r>
        <w:rPr/>
        <w:t>pipe</w:t>
      </w:r>
      <w:r>
        <w:rPr>
          <w:spacing w:val="12"/>
        </w:rPr>
        <w:t> </w:t>
      </w:r>
      <w:r>
        <w:rPr/>
        <w:t>water</w:t>
      </w:r>
      <w:r>
        <w:rPr>
          <w:spacing w:val="13"/>
        </w:rPr>
        <w:t> </w:t>
      </w:r>
      <w:r>
        <w:rPr/>
        <w:t>(into</w:t>
      </w:r>
      <w:r>
        <w:rPr>
          <w:spacing w:val="13"/>
        </w:rPr>
        <w:t> </w:t>
      </w:r>
      <w:r>
        <w:rPr/>
        <w:t>dwelling,</w:t>
      </w:r>
      <w:r>
        <w:rPr>
          <w:spacing w:val="14"/>
        </w:rPr>
        <w:t> </w:t>
      </w:r>
      <w:r>
        <w:rPr/>
        <w:t>plot</w:t>
      </w:r>
      <w:r>
        <w:rPr>
          <w:spacing w:val="16"/>
        </w:rPr>
        <w:t> </w:t>
      </w:r>
      <w:r>
        <w:rPr/>
        <w:t>and</w:t>
      </w:r>
      <w:r>
        <w:rPr>
          <w:spacing w:val="14"/>
        </w:rPr>
        <w:t> </w:t>
      </w:r>
      <w:r>
        <w:rPr>
          <w:spacing w:val="-4"/>
        </w:rPr>
        <w:t>from</w:t>
      </w:r>
    </w:p>
    <w:p>
      <w:pPr>
        <w:spacing w:after="0" w:line="480" w:lineRule="auto"/>
        <w:jc w:val="both"/>
        <w:sectPr>
          <w:pgSz w:w="12240" w:h="15840"/>
          <w:pgMar w:header="0" w:footer="1068" w:top="1340" w:bottom="1260" w:left="1720" w:right="680"/>
        </w:sectPr>
      </w:pPr>
    </w:p>
    <w:p>
      <w:pPr>
        <w:pStyle w:val="BodyText"/>
        <w:spacing w:line="480" w:lineRule="auto" w:before="63"/>
        <w:ind w:left="267" w:right="728"/>
        <w:jc w:val="both"/>
      </w:pPr>
      <w:r>
        <w:rPr/>
        <w:t>neighbor) it becomes evident that households in the study area rely on other informal non- network water sources to augment improved water.</w:t>
      </w:r>
    </w:p>
    <w:p>
      <w:pPr>
        <w:pStyle w:val="BodyText"/>
        <w:spacing w:before="5"/>
      </w:pPr>
    </w:p>
    <w:p>
      <w:pPr>
        <w:pStyle w:val="Heading1"/>
        <w:numPr>
          <w:ilvl w:val="3"/>
          <w:numId w:val="10"/>
        </w:numPr>
        <w:tabs>
          <w:tab w:pos="987" w:val="left" w:leader="none"/>
          <w:tab w:pos="1005" w:val="left" w:leader="none"/>
        </w:tabs>
        <w:spacing w:line="240" w:lineRule="auto" w:before="0" w:after="0"/>
        <w:ind w:left="987" w:right="734" w:hanging="720"/>
        <w:jc w:val="both"/>
      </w:pPr>
      <w:r>
        <w:rPr/>
        <w:tab/>
        <w:t>Households water sources for drinking in neigbourhoods partially covered by public mains</w:t>
      </w:r>
    </w:p>
    <w:p>
      <w:pPr>
        <w:pStyle w:val="BodyText"/>
        <w:spacing w:line="480" w:lineRule="auto" w:before="156"/>
        <w:ind w:left="267" w:right="727"/>
        <w:jc w:val="both"/>
      </w:pPr>
      <w:r>
        <w:rPr/>
        <w:t>Table</w:t>
      </w:r>
      <w:r>
        <w:rPr>
          <w:spacing w:val="-2"/>
        </w:rPr>
        <w:t> </w:t>
      </w:r>
      <w:r>
        <w:rPr/>
        <w:t>4.3</w:t>
      </w:r>
      <w:r>
        <w:rPr>
          <w:spacing w:val="-1"/>
        </w:rPr>
        <w:t> </w:t>
      </w:r>
      <w:r>
        <w:rPr/>
        <w:t>reports</w:t>
      </w:r>
      <w:r>
        <w:rPr>
          <w:spacing w:val="-1"/>
        </w:rPr>
        <w:t> </w:t>
      </w:r>
      <w:r>
        <w:rPr/>
        <w:t>the</w:t>
      </w:r>
      <w:r>
        <w:rPr>
          <w:spacing w:val="-2"/>
        </w:rPr>
        <w:t> </w:t>
      </w:r>
      <w:r>
        <w:rPr/>
        <w:t>proportion</w:t>
      </w:r>
      <w:r>
        <w:rPr>
          <w:spacing w:val="-1"/>
        </w:rPr>
        <w:t> </w:t>
      </w:r>
      <w:r>
        <w:rPr/>
        <w:t>of</w:t>
      </w:r>
      <w:r>
        <w:rPr>
          <w:spacing w:val="-2"/>
        </w:rPr>
        <w:t> </w:t>
      </w:r>
      <w:r>
        <w:rPr/>
        <w:t>respondents</w:t>
      </w:r>
      <w:r>
        <w:rPr>
          <w:spacing w:val="-1"/>
        </w:rPr>
        <w:t> </w:t>
      </w:r>
      <w:r>
        <w:rPr/>
        <w:t>by</w:t>
      </w:r>
      <w:r>
        <w:rPr>
          <w:spacing w:val="-6"/>
        </w:rPr>
        <w:t> </w:t>
      </w:r>
      <w:r>
        <w:rPr/>
        <w:t>source</w:t>
      </w:r>
      <w:r>
        <w:rPr>
          <w:spacing w:val="-2"/>
        </w:rPr>
        <w:t> </w:t>
      </w:r>
      <w:r>
        <w:rPr/>
        <w:t>of</w:t>
      </w:r>
      <w:r>
        <w:rPr>
          <w:spacing w:val="-2"/>
        </w:rPr>
        <w:t> </w:t>
      </w:r>
      <w:r>
        <w:rPr/>
        <w:t>drinking</w:t>
      </w:r>
      <w:r>
        <w:rPr>
          <w:spacing w:val="-3"/>
        </w:rPr>
        <w:t> </w:t>
      </w:r>
      <w:r>
        <w:rPr/>
        <w:t>water</w:t>
      </w:r>
      <w:r>
        <w:rPr>
          <w:spacing w:val="-2"/>
        </w:rPr>
        <w:t> </w:t>
      </w:r>
      <w:r>
        <w:rPr/>
        <w:t>residing</w:t>
      </w:r>
      <w:r>
        <w:rPr>
          <w:spacing w:val="-4"/>
        </w:rPr>
        <w:t> </w:t>
      </w:r>
      <w:r>
        <w:rPr/>
        <w:t>outside the public water supply mains in the study area. As observed in the table, varied water delivery sources were employed for drinking by all the respondents across the 4 neighbourhoods where there is partial or no formal water service coverage. For example, 12.34% of the surveyed respondents in Saukakauta, 14.59% in Maitumbi and 20.48% in Kpakungu</w:t>
      </w:r>
      <w:r>
        <w:rPr>
          <w:spacing w:val="-7"/>
        </w:rPr>
        <w:t> </w:t>
      </w:r>
      <w:r>
        <w:rPr/>
        <w:t>used</w:t>
      </w:r>
      <w:r>
        <w:rPr>
          <w:spacing w:val="-7"/>
        </w:rPr>
        <w:t> </w:t>
      </w:r>
      <w:r>
        <w:rPr/>
        <w:t>public</w:t>
      </w:r>
      <w:r>
        <w:rPr>
          <w:spacing w:val="-8"/>
        </w:rPr>
        <w:t> </w:t>
      </w:r>
      <w:r>
        <w:rPr/>
        <w:t>pipe</w:t>
      </w:r>
      <w:r>
        <w:rPr>
          <w:spacing w:val="-8"/>
        </w:rPr>
        <w:t> </w:t>
      </w:r>
      <w:r>
        <w:rPr/>
        <w:t>water</w:t>
      </w:r>
      <w:r>
        <w:rPr>
          <w:spacing w:val="-8"/>
        </w:rPr>
        <w:t> </w:t>
      </w:r>
      <w:r>
        <w:rPr/>
        <w:t>(into</w:t>
      </w:r>
      <w:r>
        <w:rPr>
          <w:spacing w:val="-7"/>
        </w:rPr>
        <w:t> </w:t>
      </w:r>
      <w:r>
        <w:rPr/>
        <w:t>dwelling,</w:t>
      </w:r>
      <w:r>
        <w:rPr>
          <w:spacing w:val="-7"/>
        </w:rPr>
        <w:t> </w:t>
      </w:r>
      <w:r>
        <w:rPr/>
        <w:t>plot</w:t>
      </w:r>
      <w:r>
        <w:rPr>
          <w:spacing w:val="-6"/>
        </w:rPr>
        <w:t> </w:t>
      </w:r>
      <w:r>
        <w:rPr/>
        <w:t>and</w:t>
      </w:r>
      <w:r>
        <w:rPr>
          <w:spacing w:val="-7"/>
        </w:rPr>
        <w:t> </w:t>
      </w:r>
      <w:r>
        <w:rPr/>
        <w:t>from</w:t>
      </w:r>
      <w:r>
        <w:rPr>
          <w:spacing w:val="-6"/>
        </w:rPr>
        <w:t> </w:t>
      </w:r>
      <w:r>
        <w:rPr/>
        <w:t>neighbor).</w:t>
      </w:r>
      <w:r>
        <w:rPr>
          <w:spacing w:val="-7"/>
        </w:rPr>
        <w:t> </w:t>
      </w:r>
      <w:r>
        <w:rPr/>
        <w:t>However,</w:t>
      </w:r>
      <w:r>
        <w:rPr>
          <w:spacing w:val="-8"/>
        </w:rPr>
        <w:t> </w:t>
      </w:r>
      <w:r>
        <w:rPr/>
        <w:t>Tudun- Fulani had the lowest proportion of households (6.07%) using pipe water across the 4 neighbourhoods. This result reveals the unbalanced/ disproportionate nature of access to public water supply for respondents living outside the formal water service coverage area.</w:t>
      </w:r>
    </w:p>
    <w:p>
      <w:pPr>
        <w:pStyle w:val="BodyText"/>
        <w:spacing w:line="480" w:lineRule="auto" w:before="275"/>
        <w:ind w:left="267" w:right="728"/>
        <w:jc w:val="both"/>
      </w:pPr>
      <w:r>
        <w:rPr/>
        <w:t>This</w:t>
      </w:r>
      <w:r>
        <w:rPr>
          <w:spacing w:val="-11"/>
        </w:rPr>
        <w:t> </w:t>
      </w:r>
      <w:r>
        <w:rPr/>
        <w:t>unbalanced</w:t>
      </w:r>
      <w:r>
        <w:rPr>
          <w:spacing w:val="-11"/>
        </w:rPr>
        <w:t> </w:t>
      </w:r>
      <w:r>
        <w:rPr/>
        <w:t>access</w:t>
      </w:r>
      <w:r>
        <w:rPr>
          <w:spacing w:val="-10"/>
        </w:rPr>
        <w:t> </w:t>
      </w:r>
      <w:r>
        <w:rPr/>
        <w:t>to</w:t>
      </w:r>
      <w:r>
        <w:rPr>
          <w:spacing w:val="-10"/>
        </w:rPr>
        <w:t> </w:t>
      </w:r>
      <w:r>
        <w:rPr/>
        <w:t>water</w:t>
      </w:r>
      <w:r>
        <w:rPr>
          <w:spacing w:val="-12"/>
        </w:rPr>
        <w:t> </w:t>
      </w:r>
      <w:r>
        <w:rPr/>
        <w:t>by</w:t>
      </w:r>
      <w:r>
        <w:rPr>
          <w:spacing w:val="-14"/>
        </w:rPr>
        <w:t> </w:t>
      </w:r>
      <w:r>
        <w:rPr/>
        <w:t>this</w:t>
      </w:r>
      <w:r>
        <w:rPr>
          <w:spacing w:val="-10"/>
        </w:rPr>
        <w:t> </w:t>
      </w:r>
      <w:r>
        <w:rPr/>
        <w:t>category</w:t>
      </w:r>
      <w:r>
        <w:rPr>
          <w:spacing w:val="-14"/>
        </w:rPr>
        <w:t> </w:t>
      </w:r>
      <w:r>
        <w:rPr/>
        <w:t>of</w:t>
      </w:r>
      <w:r>
        <w:rPr>
          <w:spacing w:val="-11"/>
        </w:rPr>
        <w:t> </w:t>
      </w:r>
      <w:r>
        <w:rPr/>
        <w:t>respondents</w:t>
      </w:r>
      <w:r>
        <w:rPr>
          <w:spacing w:val="-10"/>
        </w:rPr>
        <w:t> </w:t>
      </w:r>
      <w:r>
        <w:rPr/>
        <w:t>is</w:t>
      </w:r>
      <w:r>
        <w:rPr>
          <w:spacing w:val="-10"/>
        </w:rPr>
        <w:t> </w:t>
      </w:r>
      <w:r>
        <w:rPr/>
        <w:t>not</w:t>
      </w:r>
      <w:r>
        <w:rPr>
          <w:spacing w:val="-10"/>
        </w:rPr>
        <w:t> </w:t>
      </w:r>
      <w:r>
        <w:rPr/>
        <w:t>peculiar</w:t>
      </w:r>
      <w:r>
        <w:rPr>
          <w:spacing w:val="-11"/>
        </w:rPr>
        <w:t> </w:t>
      </w:r>
      <w:r>
        <w:rPr/>
        <w:t>to</w:t>
      </w:r>
      <w:r>
        <w:rPr>
          <w:spacing w:val="-10"/>
        </w:rPr>
        <w:t> </w:t>
      </w:r>
      <w:r>
        <w:rPr/>
        <w:t>only</w:t>
      </w:r>
      <w:r>
        <w:rPr>
          <w:spacing w:val="-15"/>
        </w:rPr>
        <w:t> </w:t>
      </w:r>
      <w:r>
        <w:rPr/>
        <w:t>public pipe water supply. It also cuts across all other water sources (public protected borehole, private covered dug well, private unprotected well, bottled water, rain water harvest, tanker truck,</w:t>
      </w:r>
      <w:r>
        <w:rPr>
          <w:spacing w:val="-13"/>
        </w:rPr>
        <w:t> </w:t>
      </w:r>
      <w:r>
        <w:rPr/>
        <w:t>water</w:t>
      </w:r>
      <w:r>
        <w:rPr>
          <w:spacing w:val="-14"/>
        </w:rPr>
        <w:t> </w:t>
      </w:r>
      <w:r>
        <w:rPr/>
        <w:t>vendors,</w:t>
      </w:r>
      <w:r>
        <w:rPr>
          <w:spacing w:val="-14"/>
        </w:rPr>
        <w:t> </w:t>
      </w:r>
      <w:r>
        <w:rPr/>
        <w:t>dugout</w:t>
      </w:r>
      <w:r>
        <w:rPr>
          <w:spacing w:val="-13"/>
        </w:rPr>
        <w:t> </w:t>
      </w:r>
      <w:r>
        <w:rPr/>
        <w:t>well,</w:t>
      </w:r>
      <w:r>
        <w:rPr>
          <w:spacing w:val="-13"/>
        </w:rPr>
        <w:t> </w:t>
      </w:r>
      <w:r>
        <w:rPr/>
        <w:t>sachet</w:t>
      </w:r>
      <w:r>
        <w:rPr>
          <w:spacing w:val="-13"/>
        </w:rPr>
        <w:t> </w:t>
      </w:r>
      <w:r>
        <w:rPr/>
        <w:t>water)</w:t>
      </w:r>
      <w:r>
        <w:rPr>
          <w:spacing w:val="-15"/>
        </w:rPr>
        <w:t> </w:t>
      </w:r>
      <w:r>
        <w:rPr/>
        <w:t>used</w:t>
      </w:r>
      <w:r>
        <w:rPr>
          <w:spacing w:val="-13"/>
        </w:rPr>
        <w:t> </w:t>
      </w:r>
      <w:r>
        <w:rPr/>
        <w:t>by</w:t>
      </w:r>
      <w:r>
        <w:rPr>
          <w:spacing w:val="-15"/>
        </w:rPr>
        <w:t> </w:t>
      </w:r>
      <w:r>
        <w:rPr/>
        <w:t>respondents</w:t>
      </w:r>
      <w:r>
        <w:rPr>
          <w:spacing w:val="-12"/>
        </w:rPr>
        <w:t> </w:t>
      </w:r>
      <w:r>
        <w:rPr/>
        <w:t>in</w:t>
      </w:r>
      <w:r>
        <w:rPr>
          <w:spacing w:val="-13"/>
        </w:rPr>
        <w:t> </w:t>
      </w:r>
      <w:r>
        <w:rPr/>
        <w:t>their</w:t>
      </w:r>
      <w:r>
        <w:rPr>
          <w:spacing w:val="-12"/>
        </w:rPr>
        <w:t> </w:t>
      </w:r>
      <w:r>
        <w:rPr/>
        <w:t>quest</w:t>
      </w:r>
      <w:r>
        <w:rPr>
          <w:spacing w:val="-12"/>
        </w:rPr>
        <w:t> </w:t>
      </w:r>
      <w:r>
        <w:rPr/>
        <w:t>to</w:t>
      </w:r>
      <w:r>
        <w:rPr>
          <w:spacing w:val="-13"/>
        </w:rPr>
        <w:t> </w:t>
      </w:r>
      <w:r>
        <w:rPr/>
        <w:t>provide drinking</w:t>
      </w:r>
      <w:r>
        <w:rPr>
          <w:spacing w:val="-9"/>
        </w:rPr>
        <w:t> </w:t>
      </w:r>
      <w:r>
        <w:rPr/>
        <w:t>water</w:t>
      </w:r>
      <w:r>
        <w:rPr>
          <w:spacing w:val="-8"/>
        </w:rPr>
        <w:t> </w:t>
      </w:r>
      <w:r>
        <w:rPr/>
        <w:t>in</w:t>
      </w:r>
      <w:r>
        <w:rPr>
          <w:spacing w:val="-6"/>
        </w:rPr>
        <w:t> </w:t>
      </w:r>
      <w:r>
        <w:rPr/>
        <w:t>the</w:t>
      </w:r>
      <w:r>
        <w:rPr>
          <w:spacing w:val="-7"/>
        </w:rPr>
        <w:t> </w:t>
      </w:r>
      <w:r>
        <w:rPr/>
        <w:t>four</w:t>
      </w:r>
      <w:r>
        <w:rPr>
          <w:spacing w:val="-8"/>
        </w:rPr>
        <w:t> </w:t>
      </w:r>
      <w:r>
        <w:rPr/>
        <w:t>(4)</w:t>
      </w:r>
      <w:r>
        <w:rPr>
          <w:spacing w:val="-8"/>
        </w:rPr>
        <w:t> </w:t>
      </w:r>
      <w:r>
        <w:rPr/>
        <w:t>neighbourhoods.</w:t>
      </w:r>
      <w:r>
        <w:rPr>
          <w:spacing w:val="-7"/>
        </w:rPr>
        <w:t> </w:t>
      </w:r>
      <w:r>
        <w:rPr/>
        <w:t>Uneven/unbalanced</w:t>
      </w:r>
      <w:r>
        <w:rPr>
          <w:spacing w:val="-7"/>
        </w:rPr>
        <w:t> </w:t>
      </w:r>
      <w:r>
        <w:rPr/>
        <w:t>access</w:t>
      </w:r>
      <w:r>
        <w:rPr>
          <w:spacing w:val="-6"/>
        </w:rPr>
        <w:t> </w:t>
      </w:r>
      <w:r>
        <w:rPr/>
        <w:t>to</w:t>
      </w:r>
      <w:r>
        <w:rPr>
          <w:spacing w:val="-6"/>
        </w:rPr>
        <w:t> </w:t>
      </w:r>
      <w:r>
        <w:rPr/>
        <w:t>water</w:t>
      </w:r>
      <w:r>
        <w:rPr>
          <w:spacing w:val="-8"/>
        </w:rPr>
        <w:t> </w:t>
      </w:r>
      <w:r>
        <w:rPr/>
        <w:t>is</w:t>
      </w:r>
      <w:r>
        <w:rPr>
          <w:spacing w:val="-6"/>
        </w:rPr>
        <w:t> </w:t>
      </w:r>
      <w:r>
        <w:rPr/>
        <w:t>further noticeable</w:t>
      </w:r>
      <w:r>
        <w:rPr>
          <w:spacing w:val="-3"/>
        </w:rPr>
        <w:t> </w:t>
      </w:r>
      <w:r>
        <w:rPr/>
        <w:t>in</w:t>
      </w:r>
      <w:r>
        <w:rPr>
          <w:spacing w:val="-1"/>
        </w:rPr>
        <w:t> </w:t>
      </w:r>
      <w:r>
        <w:rPr/>
        <w:t>the</w:t>
      </w:r>
      <w:r>
        <w:rPr>
          <w:spacing w:val="-3"/>
        </w:rPr>
        <w:t> </w:t>
      </w:r>
      <w:r>
        <w:rPr/>
        <w:t>percentage</w:t>
      </w:r>
      <w:r>
        <w:rPr>
          <w:spacing w:val="-3"/>
        </w:rPr>
        <w:t> </w:t>
      </w:r>
      <w:r>
        <w:rPr/>
        <w:t>(37.88%-59.64%)</w:t>
      </w:r>
      <w:r>
        <w:rPr>
          <w:spacing w:val="-3"/>
        </w:rPr>
        <w:t> </w:t>
      </w:r>
      <w:r>
        <w:rPr/>
        <w:t>of</w:t>
      </w:r>
      <w:r>
        <w:rPr>
          <w:spacing w:val="-2"/>
        </w:rPr>
        <w:t> </w:t>
      </w:r>
      <w:r>
        <w:rPr/>
        <w:t>the</w:t>
      </w:r>
      <w:r>
        <w:rPr>
          <w:spacing w:val="-3"/>
        </w:rPr>
        <w:t> </w:t>
      </w:r>
      <w:r>
        <w:rPr/>
        <w:t>respondents</w:t>
      </w:r>
      <w:r>
        <w:rPr>
          <w:spacing w:val="-3"/>
        </w:rPr>
        <w:t> </w:t>
      </w:r>
      <w:r>
        <w:rPr/>
        <w:t>having</w:t>
      </w:r>
      <w:r>
        <w:rPr>
          <w:spacing w:val="-6"/>
        </w:rPr>
        <w:t> </w:t>
      </w:r>
      <w:r>
        <w:rPr/>
        <w:t>improved</w:t>
      </w:r>
      <w:r>
        <w:rPr>
          <w:spacing w:val="-3"/>
        </w:rPr>
        <w:t> </w:t>
      </w:r>
      <w:r>
        <w:rPr/>
        <w:t>water</w:t>
      </w:r>
      <w:r>
        <w:rPr>
          <w:spacing w:val="-3"/>
        </w:rPr>
        <w:t> </w:t>
      </w:r>
      <w:r>
        <w:rPr/>
        <w:t>as their</w:t>
      </w:r>
      <w:r>
        <w:rPr>
          <w:spacing w:val="-5"/>
        </w:rPr>
        <w:t> </w:t>
      </w:r>
      <w:r>
        <w:rPr/>
        <w:t>drinking</w:t>
      </w:r>
      <w:r>
        <w:rPr>
          <w:spacing w:val="-5"/>
        </w:rPr>
        <w:t> </w:t>
      </w:r>
      <w:r>
        <w:rPr/>
        <w:t>source</w:t>
      </w:r>
      <w:r>
        <w:rPr>
          <w:spacing w:val="-5"/>
        </w:rPr>
        <w:t> </w:t>
      </w:r>
      <w:r>
        <w:rPr/>
        <w:t>across</w:t>
      </w:r>
      <w:r>
        <w:rPr>
          <w:spacing w:val="-3"/>
        </w:rPr>
        <w:t> </w:t>
      </w:r>
      <w:r>
        <w:rPr/>
        <w:t>the</w:t>
      </w:r>
      <w:r>
        <w:rPr>
          <w:spacing w:val="-5"/>
        </w:rPr>
        <w:t> </w:t>
      </w:r>
      <w:r>
        <w:rPr/>
        <w:t>four</w:t>
      </w:r>
      <w:r>
        <w:rPr>
          <w:spacing w:val="-4"/>
        </w:rPr>
        <w:t> </w:t>
      </w:r>
      <w:r>
        <w:rPr/>
        <w:t>neighbourhoods</w:t>
      </w:r>
      <w:r>
        <w:rPr>
          <w:spacing w:val="-5"/>
        </w:rPr>
        <w:t> </w:t>
      </w:r>
      <w:r>
        <w:rPr/>
        <w:t>outside</w:t>
      </w:r>
      <w:r>
        <w:rPr>
          <w:spacing w:val="-5"/>
        </w:rPr>
        <w:t> </w:t>
      </w:r>
      <w:r>
        <w:rPr/>
        <w:t>the</w:t>
      </w:r>
      <w:r>
        <w:rPr>
          <w:spacing w:val="-4"/>
        </w:rPr>
        <w:t> </w:t>
      </w:r>
      <w:r>
        <w:rPr/>
        <w:t>public</w:t>
      </w:r>
      <w:r>
        <w:rPr>
          <w:spacing w:val="-5"/>
        </w:rPr>
        <w:t> </w:t>
      </w:r>
      <w:r>
        <w:rPr/>
        <w:t>water</w:t>
      </w:r>
      <w:r>
        <w:rPr>
          <w:spacing w:val="-4"/>
        </w:rPr>
        <w:t> </w:t>
      </w:r>
      <w:r>
        <w:rPr/>
        <w:t>coverage</w:t>
      </w:r>
      <w:r>
        <w:rPr>
          <w:spacing w:val="-5"/>
        </w:rPr>
        <w:t> </w:t>
      </w:r>
      <w:r>
        <w:rPr>
          <w:spacing w:val="-2"/>
        </w:rPr>
        <w:t>area.</w:t>
      </w:r>
    </w:p>
    <w:p>
      <w:pPr>
        <w:spacing w:after="0" w:line="480" w:lineRule="auto"/>
        <w:jc w:val="both"/>
        <w:sectPr>
          <w:pgSz w:w="12240" w:h="15840"/>
          <w:pgMar w:header="0" w:footer="1068" w:top="1340" w:bottom="1260" w:left="1720" w:right="680"/>
        </w:sectPr>
      </w:pPr>
    </w:p>
    <w:p>
      <w:pPr>
        <w:pStyle w:val="Heading1"/>
        <w:spacing w:before="68" w:after="4"/>
        <w:ind w:right="726"/>
        <w:jc w:val="both"/>
      </w:pPr>
      <w:r>
        <w:rPr/>
        <w:t>Table 4.3 Percentage of Households by Source of drinking Water in Neighbourhoods partially covered by Public Water Mains</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3263"/>
        <w:gridCol w:w="993"/>
        <w:gridCol w:w="1443"/>
        <w:gridCol w:w="1242"/>
        <w:gridCol w:w="1312"/>
      </w:tblGrid>
      <w:tr>
        <w:trPr>
          <w:trHeight w:val="551" w:hRule="atLeast"/>
        </w:trPr>
        <w:tc>
          <w:tcPr>
            <w:tcW w:w="605" w:type="dxa"/>
            <w:tcBorders>
              <w:top w:val="single" w:sz="8" w:space="0" w:color="000000"/>
              <w:bottom w:val="single" w:sz="8" w:space="0" w:color="000000"/>
            </w:tcBorders>
          </w:tcPr>
          <w:p>
            <w:pPr>
              <w:pStyle w:val="TableParagraph"/>
              <w:spacing w:line="272" w:lineRule="exact"/>
              <w:ind w:left="122"/>
              <w:rPr>
                <w:b/>
                <w:sz w:val="24"/>
              </w:rPr>
            </w:pPr>
            <w:r>
              <w:rPr>
                <w:b/>
                <w:spacing w:val="-5"/>
                <w:sz w:val="24"/>
              </w:rPr>
              <w:t>S/N</w:t>
            </w:r>
          </w:p>
        </w:tc>
        <w:tc>
          <w:tcPr>
            <w:tcW w:w="3263" w:type="dxa"/>
            <w:tcBorders>
              <w:top w:val="single" w:sz="8" w:space="0" w:color="000000"/>
              <w:bottom w:val="single" w:sz="8" w:space="0" w:color="000000"/>
            </w:tcBorders>
          </w:tcPr>
          <w:p>
            <w:pPr>
              <w:pStyle w:val="TableParagraph"/>
              <w:spacing w:line="272" w:lineRule="exact"/>
              <w:ind w:left="107"/>
              <w:rPr>
                <w:b/>
                <w:sz w:val="24"/>
              </w:rPr>
            </w:pPr>
            <w:r>
              <w:rPr>
                <w:b/>
                <w:sz w:val="24"/>
              </w:rPr>
              <w:t>Water</w:t>
            </w:r>
            <w:r>
              <w:rPr>
                <w:b/>
                <w:spacing w:val="-2"/>
                <w:sz w:val="24"/>
              </w:rPr>
              <w:t> </w:t>
            </w:r>
            <w:r>
              <w:rPr>
                <w:b/>
                <w:sz w:val="24"/>
              </w:rPr>
              <w:t>sources</w:t>
            </w:r>
            <w:r>
              <w:rPr>
                <w:b/>
                <w:spacing w:val="-1"/>
                <w:sz w:val="24"/>
              </w:rPr>
              <w:t> </w:t>
            </w:r>
            <w:r>
              <w:rPr>
                <w:b/>
                <w:sz w:val="24"/>
              </w:rPr>
              <w:t>for</w:t>
            </w:r>
            <w:r>
              <w:rPr>
                <w:b/>
                <w:spacing w:val="-1"/>
                <w:sz w:val="24"/>
              </w:rPr>
              <w:t> </w:t>
            </w:r>
            <w:r>
              <w:rPr>
                <w:b/>
                <w:spacing w:val="-2"/>
                <w:sz w:val="24"/>
              </w:rPr>
              <w:t>Drinking</w:t>
            </w:r>
          </w:p>
        </w:tc>
        <w:tc>
          <w:tcPr>
            <w:tcW w:w="993" w:type="dxa"/>
            <w:tcBorders>
              <w:top w:val="single" w:sz="8" w:space="0" w:color="000000"/>
              <w:bottom w:val="single" w:sz="8" w:space="0" w:color="000000"/>
            </w:tcBorders>
          </w:tcPr>
          <w:p>
            <w:pPr>
              <w:pStyle w:val="TableParagraph"/>
              <w:spacing w:line="272" w:lineRule="exact"/>
              <w:ind w:left="109"/>
              <w:rPr>
                <w:b/>
                <w:sz w:val="24"/>
              </w:rPr>
            </w:pPr>
            <w:r>
              <w:rPr>
                <w:b/>
                <w:spacing w:val="-2"/>
                <w:sz w:val="24"/>
              </w:rPr>
              <w:t>Tudun-</w:t>
            </w:r>
          </w:p>
          <w:p>
            <w:pPr>
              <w:pStyle w:val="TableParagraph"/>
              <w:spacing w:line="259" w:lineRule="exact"/>
              <w:ind w:left="109"/>
              <w:rPr>
                <w:b/>
                <w:sz w:val="24"/>
              </w:rPr>
            </w:pPr>
            <w:r>
              <w:rPr>
                <w:b/>
                <w:spacing w:val="-2"/>
                <w:sz w:val="24"/>
              </w:rPr>
              <w:t>Fulani</w:t>
            </w:r>
          </w:p>
        </w:tc>
        <w:tc>
          <w:tcPr>
            <w:tcW w:w="1443" w:type="dxa"/>
            <w:tcBorders>
              <w:top w:val="single" w:sz="8" w:space="0" w:color="000000"/>
              <w:bottom w:val="single" w:sz="8" w:space="0" w:color="000000"/>
            </w:tcBorders>
          </w:tcPr>
          <w:p>
            <w:pPr>
              <w:pStyle w:val="TableParagraph"/>
              <w:spacing w:line="272" w:lineRule="exact"/>
              <w:ind w:left="2" w:right="3"/>
              <w:jc w:val="center"/>
              <w:rPr>
                <w:b/>
                <w:sz w:val="24"/>
              </w:rPr>
            </w:pPr>
            <w:r>
              <w:rPr>
                <w:b/>
                <w:spacing w:val="-2"/>
                <w:sz w:val="24"/>
              </w:rPr>
              <w:t>Saukakauta</w:t>
            </w:r>
          </w:p>
        </w:tc>
        <w:tc>
          <w:tcPr>
            <w:tcW w:w="1242" w:type="dxa"/>
            <w:tcBorders>
              <w:top w:val="single" w:sz="8" w:space="0" w:color="000000"/>
              <w:bottom w:val="single" w:sz="8" w:space="0" w:color="000000"/>
            </w:tcBorders>
          </w:tcPr>
          <w:p>
            <w:pPr>
              <w:pStyle w:val="TableParagraph"/>
              <w:spacing w:line="272" w:lineRule="exact"/>
              <w:ind w:right="1"/>
              <w:jc w:val="center"/>
              <w:rPr>
                <w:b/>
                <w:sz w:val="24"/>
              </w:rPr>
            </w:pPr>
            <w:r>
              <w:rPr>
                <w:b/>
                <w:spacing w:val="-2"/>
                <w:sz w:val="24"/>
              </w:rPr>
              <w:t>Maitumbi</w:t>
            </w:r>
          </w:p>
        </w:tc>
        <w:tc>
          <w:tcPr>
            <w:tcW w:w="1312" w:type="dxa"/>
            <w:tcBorders>
              <w:top w:val="single" w:sz="8" w:space="0" w:color="000000"/>
              <w:bottom w:val="single" w:sz="8" w:space="0" w:color="000000"/>
            </w:tcBorders>
          </w:tcPr>
          <w:p>
            <w:pPr>
              <w:pStyle w:val="TableParagraph"/>
              <w:spacing w:line="272" w:lineRule="exact"/>
              <w:ind w:left="2" w:right="1"/>
              <w:jc w:val="center"/>
              <w:rPr>
                <w:b/>
                <w:sz w:val="24"/>
              </w:rPr>
            </w:pPr>
            <w:r>
              <w:rPr>
                <w:b/>
                <w:spacing w:val="-2"/>
                <w:sz w:val="24"/>
              </w:rPr>
              <w:t>Kpakungu</w:t>
            </w:r>
          </w:p>
        </w:tc>
      </w:tr>
      <w:tr>
        <w:trPr>
          <w:trHeight w:val="277" w:hRule="atLeast"/>
        </w:trPr>
        <w:tc>
          <w:tcPr>
            <w:tcW w:w="605" w:type="dxa"/>
            <w:tcBorders>
              <w:top w:val="single" w:sz="8" w:space="0" w:color="000000"/>
            </w:tcBorders>
          </w:tcPr>
          <w:p>
            <w:pPr>
              <w:pStyle w:val="TableParagraph"/>
              <w:spacing w:line="257" w:lineRule="exact"/>
              <w:ind w:left="122"/>
              <w:rPr>
                <w:b/>
                <w:sz w:val="24"/>
              </w:rPr>
            </w:pPr>
            <w:r>
              <w:rPr>
                <w:b/>
                <w:spacing w:val="-10"/>
                <w:sz w:val="24"/>
              </w:rPr>
              <w:t>1</w:t>
            </w:r>
          </w:p>
        </w:tc>
        <w:tc>
          <w:tcPr>
            <w:tcW w:w="3263" w:type="dxa"/>
            <w:tcBorders>
              <w:top w:val="single" w:sz="8" w:space="0" w:color="000000"/>
            </w:tcBorders>
          </w:tcPr>
          <w:p>
            <w:pPr>
              <w:pStyle w:val="TableParagraph"/>
              <w:spacing w:line="257" w:lineRule="exact"/>
              <w:ind w:left="107"/>
              <w:rPr>
                <w:sz w:val="24"/>
              </w:rPr>
            </w:pPr>
            <w:r>
              <w:rPr>
                <w:sz w:val="24"/>
              </w:rPr>
              <w:t>Piped into </w:t>
            </w:r>
            <w:r>
              <w:rPr>
                <w:spacing w:val="-2"/>
                <w:sz w:val="24"/>
              </w:rPr>
              <w:t>dwelling</w:t>
            </w:r>
          </w:p>
        </w:tc>
        <w:tc>
          <w:tcPr>
            <w:tcW w:w="993" w:type="dxa"/>
            <w:tcBorders>
              <w:top w:val="single" w:sz="8" w:space="0" w:color="000000"/>
            </w:tcBorders>
          </w:tcPr>
          <w:p>
            <w:pPr>
              <w:pStyle w:val="TableParagraph"/>
              <w:spacing w:line="257" w:lineRule="exact"/>
              <w:ind w:right="1"/>
              <w:jc w:val="center"/>
              <w:rPr>
                <w:sz w:val="24"/>
              </w:rPr>
            </w:pPr>
            <w:r>
              <w:rPr>
                <w:spacing w:val="-4"/>
                <w:sz w:val="24"/>
              </w:rPr>
              <w:t>4.55</w:t>
            </w:r>
          </w:p>
        </w:tc>
        <w:tc>
          <w:tcPr>
            <w:tcW w:w="1443" w:type="dxa"/>
            <w:tcBorders>
              <w:top w:val="single" w:sz="8" w:space="0" w:color="000000"/>
            </w:tcBorders>
          </w:tcPr>
          <w:p>
            <w:pPr>
              <w:pStyle w:val="TableParagraph"/>
              <w:spacing w:line="257" w:lineRule="exact"/>
              <w:ind w:right="3"/>
              <w:jc w:val="center"/>
              <w:rPr>
                <w:sz w:val="24"/>
              </w:rPr>
            </w:pPr>
            <w:r>
              <w:rPr>
                <w:spacing w:val="-4"/>
                <w:sz w:val="24"/>
              </w:rPr>
              <w:t>3.70</w:t>
            </w:r>
          </w:p>
        </w:tc>
        <w:tc>
          <w:tcPr>
            <w:tcW w:w="1242" w:type="dxa"/>
            <w:tcBorders>
              <w:top w:val="single" w:sz="8" w:space="0" w:color="000000"/>
            </w:tcBorders>
          </w:tcPr>
          <w:p>
            <w:pPr>
              <w:pStyle w:val="TableParagraph"/>
              <w:spacing w:line="257" w:lineRule="exact"/>
              <w:ind w:left="1" w:right="1"/>
              <w:jc w:val="center"/>
              <w:rPr>
                <w:sz w:val="24"/>
              </w:rPr>
            </w:pPr>
            <w:r>
              <w:rPr>
                <w:spacing w:val="-4"/>
                <w:sz w:val="24"/>
              </w:rPr>
              <w:t>4.17</w:t>
            </w:r>
          </w:p>
        </w:tc>
        <w:tc>
          <w:tcPr>
            <w:tcW w:w="1312" w:type="dxa"/>
            <w:tcBorders>
              <w:top w:val="single" w:sz="8" w:space="0" w:color="000000"/>
            </w:tcBorders>
          </w:tcPr>
          <w:p>
            <w:pPr>
              <w:pStyle w:val="TableParagraph"/>
              <w:spacing w:line="257" w:lineRule="exact"/>
              <w:ind w:left="1" w:right="2"/>
              <w:jc w:val="center"/>
              <w:rPr>
                <w:sz w:val="24"/>
              </w:rPr>
            </w:pPr>
            <w:r>
              <w:rPr>
                <w:spacing w:val="-4"/>
                <w:sz w:val="24"/>
              </w:rPr>
              <w:t>9.04</w:t>
            </w:r>
          </w:p>
        </w:tc>
      </w:tr>
      <w:tr>
        <w:trPr>
          <w:trHeight w:val="276" w:hRule="atLeast"/>
        </w:trPr>
        <w:tc>
          <w:tcPr>
            <w:tcW w:w="605" w:type="dxa"/>
          </w:tcPr>
          <w:p>
            <w:pPr>
              <w:pStyle w:val="TableParagraph"/>
              <w:spacing w:line="256" w:lineRule="exact"/>
              <w:ind w:left="122"/>
              <w:rPr>
                <w:b/>
                <w:sz w:val="24"/>
              </w:rPr>
            </w:pPr>
            <w:r>
              <w:rPr>
                <w:b/>
                <w:spacing w:val="-10"/>
                <w:sz w:val="24"/>
              </w:rPr>
              <w:t>2</w:t>
            </w:r>
          </w:p>
        </w:tc>
        <w:tc>
          <w:tcPr>
            <w:tcW w:w="3263" w:type="dxa"/>
          </w:tcPr>
          <w:p>
            <w:pPr>
              <w:pStyle w:val="TableParagraph"/>
              <w:spacing w:line="256" w:lineRule="exact"/>
              <w:ind w:left="107"/>
              <w:rPr>
                <w:sz w:val="24"/>
              </w:rPr>
            </w:pPr>
            <w:r>
              <w:rPr>
                <w:sz w:val="24"/>
              </w:rPr>
              <w:t>Piped</w:t>
            </w:r>
            <w:r>
              <w:rPr>
                <w:spacing w:val="-2"/>
                <w:sz w:val="24"/>
              </w:rPr>
              <w:t> </w:t>
            </w:r>
            <w:r>
              <w:rPr>
                <w:sz w:val="24"/>
              </w:rPr>
              <w:t>into</w:t>
            </w:r>
            <w:r>
              <w:rPr>
                <w:spacing w:val="2"/>
                <w:sz w:val="24"/>
              </w:rPr>
              <w:t> </w:t>
            </w:r>
            <w:r>
              <w:rPr>
                <w:spacing w:val="-2"/>
                <w:sz w:val="24"/>
              </w:rPr>
              <w:t>yard/plot/compound</w:t>
            </w:r>
          </w:p>
        </w:tc>
        <w:tc>
          <w:tcPr>
            <w:tcW w:w="993" w:type="dxa"/>
          </w:tcPr>
          <w:p>
            <w:pPr>
              <w:pStyle w:val="TableParagraph"/>
              <w:spacing w:line="256" w:lineRule="exact"/>
              <w:ind w:right="1"/>
              <w:jc w:val="center"/>
              <w:rPr>
                <w:sz w:val="24"/>
              </w:rPr>
            </w:pPr>
            <w:r>
              <w:rPr>
                <w:spacing w:val="-4"/>
                <w:sz w:val="24"/>
              </w:rPr>
              <w:t>0.00</w:t>
            </w:r>
          </w:p>
        </w:tc>
        <w:tc>
          <w:tcPr>
            <w:tcW w:w="1443" w:type="dxa"/>
          </w:tcPr>
          <w:p>
            <w:pPr>
              <w:pStyle w:val="TableParagraph"/>
              <w:spacing w:line="256" w:lineRule="exact"/>
              <w:ind w:right="3"/>
              <w:jc w:val="center"/>
              <w:rPr>
                <w:sz w:val="24"/>
              </w:rPr>
            </w:pPr>
            <w:r>
              <w:rPr>
                <w:spacing w:val="-4"/>
                <w:sz w:val="24"/>
              </w:rPr>
              <w:t>4.94</w:t>
            </w:r>
          </w:p>
        </w:tc>
        <w:tc>
          <w:tcPr>
            <w:tcW w:w="1242" w:type="dxa"/>
          </w:tcPr>
          <w:p>
            <w:pPr>
              <w:pStyle w:val="TableParagraph"/>
              <w:spacing w:line="256" w:lineRule="exact"/>
              <w:ind w:left="1" w:right="1"/>
              <w:jc w:val="center"/>
              <w:rPr>
                <w:sz w:val="24"/>
              </w:rPr>
            </w:pPr>
            <w:r>
              <w:rPr>
                <w:spacing w:val="-4"/>
                <w:sz w:val="24"/>
              </w:rPr>
              <w:t>7.29</w:t>
            </w:r>
          </w:p>
        </w:tc>
        <w:tc>
          <w:tcPr>
            <w:tcW w:w="1312" w:type="dxa"/>
          </w:tcPr>
          <w:p>
            <w:pPr>
              <w:pStyle w:val="TableParagraph"/>
              <w:spacing w:line="256" w:lineRule="exact"/>
              <w:ind w:left="1" w:right="2"/>
              <w:jc w:val="center"/>
              <w:rPr>
                <w:sz w:val="24"/>
              </w:rPr>
            </w:pPr>
            <w:r>
              <w:rPr>
                <w:spacing w:val="-4"/>
                <w:sz w:val="24"/>
              </w:rPr>
              <w:t>7.83</w:t>
            </w:r>
          </w:p>
        </w:tc>
      </w:tr>
      <w:tr>
        <w:trPr>
          <w:trHeight w:val="275" w:hRule="atLeast"/>
        </w:trPr>
        <w:tc>
          <w:tcPr>
            <w:tcW w:w="605" w:type="dxa"/>
          </w:tcPr>
          <w:p>
            <w:pPr>
              <w:pStyle w:val="TableParagraph"/>
              <w:spacing w:line="256" w:lineRule="exact"/>
              <w:ind w:left="122"/>
              <w:rPr>
                <w:b/>
                <w:sz w:val="24"/>
              </w:rPr>
            </w:pPr>
            <w:r>
              <w:rPr>
                <w:b/>
                <w:spacing w:val="-10"/>
                <w:sz w:val="24"/>
              </w:rPr>
              <w:t>3</w:t>
            </w:r>
          </w:p>
        </w:tc>
        <w:tc>
          <w:tcPr>
            <w:tcW w:w="3263" w:type="dxa"/>
          </w:tcPr>
          <w:p>
            <w:pPr>
              <w:pStyle w:val="TableParagraph"/>
              <w:spacing w:line="256" w:lineRule="exact"/>
              <w:ind w:left="107"/>
              <w:rPr>
                <w:sz w:val="24"/>
              </w:rPr>
            </w:pPr>
            <w:r>
              <w:rPr>
                <w:sz w:val="24"/>
              </w:rPr>
              <w:t>Piped</w:t>
            </w:r>
            <w:r>
              <w:rPr>
                <w:spacing w:val="-1"/>
                <w:sz w:val="24"/>
              </w:rPr>
              <w:t> </w:t>
            </w:r>
            <w:r>
              <w:rPr>
                <w:sz w:val="24"/>
              </w:rPr>
              <w:t>water</w:t>
            </w:r>
            <w:r>
              <w:rPr>
                <w:spacing w:val="-3"/>
                <w:sz w:val="24"/>
              </w:rPr>
              <w:t> </w:t>
            </w:r>
            <w:r>
              <w:rPr>
                <w:sz w:val="24"/>
              </w:rPr>
              <w:t>from </w:t>
            </w:r>
            <w:r>
              <w:rPr>
                <w:spacing w:val="-2"/>
                <w:sz w:val="24"/>
              </w:rPr>
              <w:t>neighbor</w:t>
            </w:r>
          </w:p>
        </w:tc>
        <w:tc>
          <w:tcPr>
            <w:tcW w:w="993" w:type="dxa"/>
          </w:tcPr>
          <w:p>
            <w:pPr>
              <w:pStyle w:val="TableParagraph"/>
              <w:spacing w:line="256" w:lineRule="exact"/>
              <w:ind w:right="1"/>
              <w:jc w:val="center"/>
              <w:rPr>
                <w:sz w:val="24"/>
              </w:rPr>
            </w:pPr>
            <w:r>
              <w:rPr>
                <w:spacing w:val="-4"/>
                <w:sz w:val="24"/>
              </w:rPr>
              <w:t>1.52</w:t>
            </w:r>
          </w:p>
        </w:tc>
        <w:tc>
          <w:tcPr>
            <w:tcW w:w="1443" w:type="dxa"/>
          </w:tcPr>
          <w:p>
            <w:pPr>
              <w:pStyle w:val="TableParagraph"/>
              <w:spacing w:line="256" w:lineRule="exact"/>
              <w:ind w:right="3"/>
              <w:jc w:val="center"/>
              <w:rPr>
                <w:sz w:val="24"/>
              </w:rPr>
            </w:pPr>
            <w:r>
              <w:rPr>
                <w:spacing w:val="-4"/>
                <w:sz w:val="24"/>
              </w:rPr>
              <w:t>3.70</w:t>
            </w:r>
          </w:p>
        </w:tc>
        <w:tc>
          <w:tcPr>
            <w:tcW w:w="1242" w:type="dxa"/>
          </w:tcPr>
          <w:p>
            <w:pPr>
              <w:pStyle w:val="TableParagraph"/>
              <w:spacing w:line="256" w:lineRule="exact"/>
              <w:ind w:left="1" w:right="1"/>
              <w:jc w:val="center"/>
              <w:rPr>
                <w:sz w:val="24"/>
              </w:rPr>
            </w:pPr>
            <w:r>
              <w:rPr>
                <w:spacing w:val="-4"/>
                <w:sz w:val="24"/>
              </w:rPr>
              <w:t>3.13</w:t>
            </w:r>
          </w:p>
        </w:tc>
        <w:tc>
          <w:tcPr>
            <w:tcW w:w="1312" w:type="dxa"/>
          </w:tcPr>
          <w:p>
            <w:pPr>
              <w:pStyle w:val="TableParagraph"/>
              <w:spacing w:line="256" w:lineRule="exact"/>
              <w:ind w:left="1" w:right="2"/>
              <w:jc w:val="center"/>
              <w:rPr>
                <w:sz w:val="24"/>
              </w:rPr>
            </w:pPr>
            <w:r>
              <w:rPr>
                <w:spacing w:val="-4"/>
                <w:sz w:val="24"/>
              </w:rPr>
              <w:t>3.61</w:t>
            </w:r>
          </w:p>
        </w:tc>
      </w:tr>
      <w:tr>
        <w:trPr>
          <w:trHeight w:val="275" w:hRule="atLeast"/>
        </w:trPr>
        <w:tc>
          <w:tcPr>
            <w:tcW w:w="605" w:type="dxa"/>
          </w:tcPr>
          <w:p>
            <w:pPr>
              <w:pStyle w:val="TableParagraph"/>
              <w:spacing w:line="256" w:lineRule="exact"/>
              <w:ind w:left="122"/>
              <w:rPr>
                <w:b/>
                <w:sz w:val="24"/>
              </w:rPr>
            </w:pPr>
            <w:r>
              <w:rPr>
                <w:b/>
                <w:spacing w:val="-10"/>
                <w:sz w:val="24"/>
              </w:rPr>
              <w:t>4</w:t>
            </w:r>
          </w:p>
        </w:tc>
        <w:tc>
          <w:tcPr>
            <w:tcW w:w="3263" w:type="dxa"/>
          </w:tcPr>
          <w:p>
            <w:pPr>
              <w:pStyle w:val="TableParagraph"/>
              <w:spacing w:line="256" w:lineRule="exact"/>
              <w:ind w:left="107"/>
              <w:rPr>
                <w:sz w:val="24"/>
              </w:rPr>
            </w:pPr>
            <w:r>
              <w:rPr>
                <w:sz w:val="24"/>
              </w:rPr>
              <w:t>Public</w:t>
            </w:r>
            <w:r>
              <w:rPr>
                <w:spacing w:val="-1"/>
                <w:sz w:val="24"/>
              </w:rPr>
              <w:t> </w:t>
            </w:r>
            <w:r>
              <w:rPr>
                <w:spacing w:val="-5"/>
                <w:sz w:val="24"/>
              </w:rPr>
              <w:t>tap</w:t>
            </w:r>
          </w:p>
        </w:tc>
        <w:tc>
          <w:tcPr>
            <w:tcW w:w="993" w:type="dxa"/>
          </w:tcPr>
          <w:p>
            <w:pPr>
              <w:pStyle w:val="TableParagraph"/>
              <w:spacing w:line="256" w:lineRule="exact"/>
              <w:ind w:right="1"/>
              <w:jc w:val="center"/>
              <w:rPr>
                <w:sz w:val="24"/>
              </w:rPr>
            </w:pPr>
            <w:r>
              <w:rPr>
                <w:spacing w:val="-4"/>
                <w:sz w:val="24"/>
              </w:rPr>
              <w:t>1.52</w:t>
            </w:r>
          </w:p>
        </w:tc>
        <w:tc>
          <w:tcPr>
            <w:tcW w:w="1443" w:type="dxa"/>
          </w:tcPr>
          <w:p>
            <w:pPr>
              <w:pStyle w:val="TableParagraph"/>
              <w:spacing w:line="256" w:lineRule="exact"/>
              <w:ind w:right="3"/>
              <w:jc w:val="center"/>
              <w:rPr>
                <w:sz w:val="24"/>
              </w:rPr>
            </w:pPr>
            <w:r>
              <w:rPr>
                <w:spacing w:val="-4"/>
                <w:sz w:val="24"/>
              </w:rPr>
              <w:t>1.23</w:t>
            </w:r>
          </w:p>
        </w:tc>
        <w:tc>
          <w:tcPr>
            <w:tcW w:w="1242" w:type="dxa"/>
          </w:tcPr>
          <w:p>
            <w:pPr>
              <w:pStyle w:val="TableParagraph"/>
              <w:spacing w:line="256" w:lineRule="exact"/>
              <w:ind w:left="1" w:right="1"/>
              <w:jc w:val="center"/>
              <w:rPr>
                <w:sz w:val="24"/>
              </w:rPr>
            </w:pPr>
            <w:r>
              <w:rPr>
                <w:spacing w:val="-2"/>
                <w:sz w:val="24"/>
              </w:rPr>
              <w:t>12.50</w:t>
            </w:r>
          </w:p>
        </w:tc>
        <w:tc>
          <w:tcPr>
            <w:tcW w:w="1312" w:type="dxa"/>
          </w:tcPr>
          <w:p>
            <w:pPr>
              <w:pStyle w:val="TableParagraph"/>
              <w:spacing w:line="256" w:lineRule="exact"/>
              <w:ind w:left="1" w:right="2"/>
              <w:jc w:val="center"/>
              <w:rPr>
                <w:sz w:val="24"/>
              </w:rPr>
            </w:pPr>
            <w:r>
              <w:rPr>
                <w:spacing w:val="-4"/>
                <w:sz w:val="24"/>
              </w:rPr>
              <w:t>3.61</w:t>
            </w:r>
          </w:p>
        </w:tc>
      </w:tr>
      <w:tr>
        <w:trPr>
          <w:trHeight w:val="274" w:hRule="atLeast"/>
        </w:trPr>
        <w:tc>
          <w:tcPr>
            <w:tcW w:w="605" w:type="dxa"/>
          </w:tcPr>
          <w:p>
            <w:pPr>
              <w:pStyle w:val="TableParagraph"/>
              <w:spacing w:line="255" w:lineRule="exact"/>
              <w:ind w:left="122"/>
              <w:rPr>
                <w:b/>
                <w:sz w:val="24"/>
              </w:rPr>
            </w:pPr>
            <w:r>
              <w:rPr>
                <w:b/>
                <w:spacing w:val="-10"/>
                <w:sz w:val="24"/>
              </w:rPr>
              <w:t>5</w:t>
            </w:r>
          </w:p>
        </w:tc>
        <w:tc>
          <w:tcPr>
            <w:tcW w:w="3263" w:type="dxa"/>
          </w:tcPr>
          <w:p>
            <w:pPr>
              <w:pStyle w:val="TableParagraph"/>
              <w:spacing w:line="255" w:lineRule="exact"/>
              <w:ind w:left="107"/>
              <w:rPr>
                <w:sz w:val="24"/>
              </w:rPr>
            </w:pPr>
            <w:r>
              <w:rPr>
                <w:sz w:val="24"/>
              </w:rPr>
              <w:t>Public</w:t>
            </w:r>
            <w:r>
              <w:rPr>
                <w:spacing w:val="-3"/>
                <w:sz w:val="24"/>
              </w:rPr>
              <w:t> </w:t>
            </w:r>
            <w:r>
              <w:rPr>
                <w:sz w:val="24"/>
              </w:rPr>
              <w:t>covered</w:t>
            </w:r>
            <w:r>
              <w:rPr>
                <w:spacing w:val="-2"/>
                <w:sz w:val="24"/>
              </w:rPr>
              <w:t> borehole</w:t>
            </w:r>
          </w:p>
        </w:tc>
        <w:tc>
          <w:tcPr>
            <w:tcW w:w="993" w:type="dxa"/>
          </w:tcPr>
          <w:p>
            <w:pPr>
              <w:pStyle w:val="TableParagraph"/>
              <w:spacing w:line="255" w:lineRule="exact"/>
              <w:ind w:right="1"/>
              <w:jc w:val="center"/>
              <w:rPr>
                <w:sz w:val="24"/>
              </w:rPr>
            </w:pPr>
            <w:r>
              <w:rPr>
                <w:spacing w:val="-2"/>
                <w:sz w:val="24"/>
              </w:rPr>
              <w:t>21.21</w:t>
            </w:r>
          </w:p>
        </w:tc>
        <w:tc>
          <w:tcPr>
            <w:tcW w:w="1443" w:type="dxa"/>
          </w:tcPr>
          <w:p>
            <w:pPr>
              <w:pStyle w:val="TableParagraph"/>
              <w:spacing w:line="255" w:lineRule="exact"/>
              <w:ind w:right="3"/>
              <w:jc w:val="center"/>
              <w:rPr>
                <w:sz w:val="24"/>
              </w:rPr>
            </w:pPr>
            <w:r>
              <w:rPr>
                <w:spacing w:val="-4"/>
                <w:sz w:val="24"/>
              </w:rPr>
              <w:t>1.23</w:t>
            </w:r>
          </w:p>
        </w:tc>
        <w:tc>
          <w:tcPr>
            <w:tcW w:w="1242" w:type="dxa"/>
          </w:tcPr>
          <w:p>
            <w:pPr>
              <w:pStyle w:val="TableParagraph"/>
              <w:spacing w:line="255" w:lineRule="exact"/>
              <w:ind w:left="1" w:right="1"/>
              <w:jc w:val="center"/>
              <w:rPr>
                <w:sz w:val="24"/>
              </w:rPr>
            </w:pPr>
            <w:r>
              <w:rPr>
                <w:spacing w:val="-4"/>
                <w:sz w:val="24"/>
              </w:rPr>
              <w:t>3.13</w:t>
            </w:r>
          </w:p>
        </w:tc>
        <w:tc>
          <w:tcPr>
            <w:tcW w:w="1312" w:type="dxa"/>
          </w:tcPr>
          <w:p>
            <w:pPr>
              <w:pStyle w:val="TableParagraph"/>
              <w:spacing w:line="255" w:lineRule="exact"/>
              <w:ind w:left="1" w:right="2"/>
              <w:jc w:val="center"/>
              <w:rPr>
                <w:sz w:val="24"/>
              </w:rPr>
            </w:pPr>
            <w:r>
              <w:rPr>
                <w:spacing w:val="-4"/>
                <w:sz w:val="24"/>
              </w:rPr>
              <w:t>9.04</w:t>
            </w:r>
          </w:p>
        </w:tc>
      </w:tr>
      <w:tr>
        <w:trPr>
          <w:trHeight w:val="274" w:hRule="atLeast"/>
        </w:trPr>
        <w:tc>
          <w:tcPr>
            <w:tcW w:w="605" w:type="dxa"/>
          </w:tcPr>
          <w:p>
            <w:pPr>
              <w:pStyle w:val="TableParagraph"/>
              <w:spacing w:line="255" w:lineRule="exact"/>
              <w:ind w:left="122"/>
              <w:rPr>
                <w:b/>
                <w:sz w:val="24"/>
              </w:rPr>
            </w:pPr>
            <w:r>
              <w:rPr>
                <w:b/>
                <w:spacing w:val="-10"/>
                <w:sz w:val="24"/>
              </w:rPr>
              <w:t>6</w:t>
            </w:r>
          </w:p>
        </w:tc>
        <w:tc>
          <w:tcPr>
            <w:tcW w:w="3263" w:type="dxa"/>
          </w:tcPr>
          <w:p>
            <w:pPr>
              <w:pStyle w:val="TableParagraph"/>
              <w:spacing w:line="255" w:lineRule="exact"/>
              <w:ind w:left="107"/>
              <w:rPr>
                <w:sz w:val="24"/>
              </w:rPr>
            </w:pPr>
            <w:r>
              <w:rPr>
                <w:sz w:val="24"/>
              </w:rPr>
              <w:t>Private</w:t>
            </w:r>
            <w:r>
              <w:rPr>
                <w:spacing w:val="-4"/>
                <w:sz w:val="24"/>
              </w:rPr>
              <w:t> </w:t>
            </w:r>
            <w:r>
              <w:rPr>
                <w:sz w:val="24"/>
              </w:rPr>
              <w:t>covered</w:t>
            </w:r>
            <w:r>
              <w:rPr>
                <w:spacing w:val="-1"/>
                <w:sz w:val="24"/>
              </w:rPr>
              <w:t> </w:t>
            </w:r>
            <w:r>
              <w:rPr>
                <w:sz w:val="24"/>
              </w:rPr>
              <w:t>dug</w:t>
            </w:r>
            <w:r>
              <w:rPr>
                <w:spacing w:val="-3"/>
                <w:sz w:val="24"/>
              </w:rPr>
              <w:t> </w:t>
            </w:r>
            <w:r>
              <w:rPr>
                <w:spacing w:val="-4"/>
                <w:sz w:val="24"/>
              </w:rPr>
              <w:t>well</w:t>
            </w:r>
          </w:p>
        </w:tc>
        <w:tc>
          <w:tcPr>
            <w:tcW w:w="993" w:type="dxa"/>
          </w:tcPr>
          <w:p>
            <w:pPr>
              <w:pStyle w:val="TableParagraph"/>
              <w:spacing w:line="255" w:lineRule="exact"/>
              <w:ind w:right="1"/>
              <w:jc w:val="center"/>
              <w:rPr>
                <w:sz w:val="24"/>
              </w:rPr>
            </w:pPr>
            <w:r>
              <w:rPr>
                <w:spacing w:val="-4"/>
                <w:sz w:val="24"/>
              </w:rPr>
              <w:t>6.06</w:t>
            </w:r>
          </w:p>
        </w:tc>
        <w:tc>
          <w:tcPr>
            <w:tcW w:w="1443" w:type="dxa"/>
          </w:tcPr>
          <w:p>
            <w:pPr>
              <w:pStyle w:val="TableParagraph"/>
              <w:spacing w:line="255" w:lineRule="exact"/>
              <w:ind w:right="3"/>
              <w:jc w:val="center"/>
              <w:rPr>
                <w:sz w:val="24"/>
              </w:rPr>
            </w:pPr>
            <w:r>
              <w:rPr>
                <w:spacing w:val="-4"/>
                <w:sz w:val="24"/>
              </w:rPr>
              <w:t>7.41</w:t>
            </w:r>
          </w:p>
        </w:tc>
        <w:tc>
          <w:tcPr>
            <w:tcW w:w="1242" w:type="dxa"/>
          </w:tcPr>
          <w:p>
            <w:pPr>
              <w:pStyle w:val="TableParagraph"/>
              <w:spacing w:line="255" w:lineRule="exact"/>
              <w:ind w:left="1" w:right="1"/>
              <w:jc w:val="center"/>
              <w:rPr>
                <w:sz w:val="24"/>
              </w:rPr>
            </w:pPr>
            <w:r>
              <w:rPr>
                <w:spacing w:val="-4"/>
                <w:sz w:val="24"/>
              </w:rPr>
              <w:t>6.25</w:t>
            </w:r>
          </w:p>
        </w:tc>
        <w:tc>
          <w:tcPr>
            <w:tcW w:w="1312" w:type="dxa"/>
          </w:tcPr>
          <w:p>
            <w:pPr>
              <w:pStyle w:val="TableParagraph"/>
              <w:spacing w:line="255" w:lineRule="exact"/>
              <w:ind w:left="1" w:right="2"/>
              <w:jc w:val="center"/>
              <w:rPr>
                <w:sz w:val="24"/>
              </w:rPr>
            </w:pPr>
            <w:r>
              <w:rPr>
                <w:spacing w:val="-4"/>
                <w:sz w:val="24"/>
              </w:rPr>
              <w:t>9.04</w:t>
            </w:r>
          </w:p>
        </w:tc>
      </w:tr>
      <w:tr>
        <w:trPr>
          <w:trHeight w:val="275" w:hRule="atLeast"/>
        </w:trPr>
        <w:tc>
          <w:tcPr>
            <w:tcW w:w="605" w:type="dxa"/>
          </w:tcPr>
          <w:p>
            <w:pPr>
              <w:pStyle w:val="TableParagraph"/>
              <w:spacing w:line="256" w:lineRule="exact"/>
              <w:ind w:left="122"/>
              <w:rPr>
                <w:b/>
                <w:sz w:val="24"/>
              </w:rPr>
            </w:pPr>
            <w:r>
              <w:rPr>
                <w:b/>
                <w:spacing w:val="-10"/>
                <w:sz w:val="24"/>
              </w:rPr>
              <w:t>7</w:t>
            </w:r>
          </w:p>
        </w:tc>
        <w:tc>
          <w:tcPr>
            <w:tcW w:w="3263" w:type="dxa"/>
          </w:tcPr>
          <w:p>
            <w:pPr>
              <w:pStyle w:val="TableParagraph"/>
              <w:spacing w:line="256" w:lineRule="exact"/>
              <w:ind w:left="107"/>
              <w:rPr>
                <w:sz w:val="24"/>
              </w:rPr>
            </w:pPr>
            <w:r>
              <w:rPr>
                <w:sz w:val="24"/>
              </w:rPr>
              <w:t>Rain</w:t>
            </w:r>
            <w:r>
              <w:rPr>
                <w:spacing w:val="-1"/>
                <w:sz w:val="24"/>
              </w:rPr>
              <w:t> </w:t>
            </w:r>
            <w:r>
              <w:rPr>
                <w:spacing w:val="-2"/>
                <w:sz w:val="24"/>
              </w:rPr>
              <w:t>water</w:t>
            </w:r>
          </w:p>
        </w:tc>
        <w:tc>
          <w:tcPr>
            <w:tcW w:w="993" w:type="dxa"/>
          </w:tcPr>
          <w:p>
            <w:pPr>
              <w:pStyle w:val="TableParagraph"/>
              <w:spacing w:line="256" w:lineRule="exact"/>
              <w:ind w:right="1"/>
              <w:jc w:val="center"/>
              <w:rPr>
                <w:sz w:val="24"/>
              </w:rPr>
            </w:pPr>
            <w:r>
              <w:rPr>
                <w:spacing w:val="-4"/>
                <w:sz w:val="24"/>
              </w:rPr>
              <w:t>3.03</w:t>
            </w:r>
          </w:p>
        </w:tc>
        <w:tc>
          <w:tcPr>
            <w:tcW w:w="1443" w:type="dxa"/>
          </w:tcPr>
          <w:p>
            <w:pPr>
              <w:pStyle w:val="TableParagraph"/>
              <w:spacing w:line="256" w:lineRule="exact"/>
              <w:ind w:right="3"/>
              <w:jc w:val="center"/>
              <w:rPr>
                <w:sz w:val="24"/>
              </w:rPr>
            </w:pPr>
            <w:r>
              <w:rPr>
                <w:spacing w:val="-2"/>
                <w:sz w:val="24"/>
              </w:rPr>
              <w:t>22.22</w:t>
            </w:r>
          </w:p>
        </w:tc>
        <w:tc>
          <w:tcPr>
            <w:tcW w:w="1242" w:type="dxa"/>
          </w:tcPr>
          <w:p>
            <w:pPr>
              <w:pStyle w:val="TableParagraph"/>
              <w:spacing w:line="256" w:lineRule="exact"/>
              <w:ind w:left="1" w:right="1"/>
              <w:jc w:val="center"/>
              <w:rPr>
                <w:sz w:val="24"/>
              </w:rPr>
            </w:pPr>
            <w:r>
              <w:rPr>
                <w:spacing w:val="-2"/>
                <w:sz w:val="24"/>
              </w:rPr>
              <w:t>20.83</w:t>
            </w:r>
          </w:p>
        </w:tc>
        <w:tc>
          <w:tcPr>
            <w:tcW w:w="1312" w:type="dxa"/>
          </w:tcPr>
          <w:p>
            <w:pPr>
              <w:pStyle w:val="TableParagraph"/>
              <w:spacing w:line="256" w:lineRule="exact"/>
              <w:ind w:left="1" w:right="2"/>
              <w:jc w:val="center"/>
              <w:rPr>
                <w:sz w:val="24"/>
              </w:rPr>
            </w:pPr>
            <w:r>
              <w:rPr>
                <w:spacing w:val="-2"/>
                <w:sz w:val="24"/>
              </w:rPr>
              <w:t>17.47</w:t>
            </w:r>
          </w:p>
        </w:tc>
      </w:tr>
      <w:tr>
        <w:trPr>
          <w:trHeight w:val="276" w:hRule="atLeast"/>
        </w:trPr>
        <w:tc>
          <w:tcPr>
            <w:tcW w:w="605" w:type="dxa"/>
          </w:tcPr>
          <w:p>
            <w:pPr>
              <w:pStyle w:val="TableParagraph"/>
              <w:spacing w:line="256" w:lineRule="exact"/>
              <w:ind w:left="122"/>
              <w:rPr>
                <w:b/>
                <w:sz w:val="24"/>
              </w:rPr>
            </w:pPr>
            <w:r>
              <w:rPr>
                <w:b/>
                <w:spacing w:val="-10"/>
                <w:sz w:val="24"/>
              </w:rPr>
              <w:t>8</w:t>
            </w:r>
          </w:p>
        </w:tc>
        <w:tc>
          <w:tcPr>
            <w:tcW w:w="3263" w:type="dxa"/>
          </w:tcPr>
          <w:p>
            <w:pPr>
              <w:pStyle w:val="TableParagraph"/>
              <w:spacing w:line="256" w:lineRule="exact"/>
              <w:ind w:left="107"/>
              <w:rPr>
                <w:sz w:val="24"/>
              </w:rPr>
            </w:pPr>
            <w:r>
              <w:rPr>
                <w:sz w:val="24"/>
              </w:rPr>
              <w:t>Public</w:t>
            </w:r>
            <w:r>
              <w:rPr>
                <w:spacing w:val="-2"/>
                <w:sz w:val="24"/>
              </w:rPr>
              <w:t> </w:t>
            </w:r>
            <w:r>
              <w:rPr>
                <w:sz w:val="24"/>
              </w:rPr>
              <w:t>open </w:t>
            </w:r>
            <w:r>
              <w:rPr>
                <w:spacing w:val="-2"/>
                <w:sz w:val="24"/>
              </w:rPr>
              <w:t>borehole</w:t>
            </w:r>
          </w:p>
        </w:tc>
        <w:tc>
          <w:tcPr>
            <w:tcW w:w="993" w:type="dxa"/>
          </w:tcPr>
          <w:p>
            <w:pPr>
              <w:pStyle w:val="TableParagraph"/>
              <w:spacing w:line="256" w:lineRule="exact"/>
              <w:ind w:right="1"/>
              <w:jc w:val="center"/>
              <w:rPr>
                <w:sz w:val="24"/>
              </w:rPr>
            </w:pPr>
            <w:r>
              <w:rPr>
                <w:spacing w:val="-2"/>
                <w:sz w:val="24"/>
              </w:rPr>
              <w:t>13.64</w:t>
            </w:r>
          </w:p>
        </w:tc>
        <w:tc>
          <w:tcPr>
            <w:tcW w:w="1443" w:type="dxa"/>
          </w:tcPr>
          <w:p>
            <w:pPr>
              <w:pStyle w:val="TableParagraph"/>
              <w:spacing w:line="256" w:lineRule="exact"/>
              <w:ind w:right="3"/>
              <w:jc w:val="center"/>
              <w:rPr>
                <w:sz w:val="24"/>
              </w:rPr>
            </w:pPr>
            <w:r>
              <w:rPr>
                <w:spacing w:val="-4"/>
                <w:sz w:val="24"/>
              </w:rPr>
              <w:t>4.94</w:t>
            </w:r>
          </w:p>
        </w:tc>
        <w:tc>
          <w:tcPr>
            <w:tcW w:w="1242" w:type="dxa"/>
          </w:tcPr>
          <w:p>
            <w:pPr>
              <w:pStyle w:val="TableParagraph"/>
              <w:spacing w:line="256" w:lineRule="exact"/>
              <w:ind w:left="1" w:right="1"/>
              <w:jc w:val="center"/>
              <w:rPr>
                <w:sz w:val="24"/>
              </w:rPr>
            </w:pPr>
            <w:r>
              <w:rPr>
                <w:spacing w:val="-4"/>
                <w:sz w:val="24"/>
              </w:rPr>
              <w:t>7.29</w:t>
            </w:r>
          </w:p>
        </w:tc>
        <w:tc>
          <w:tcPr>
            <w:tcW w:w="1312" w:type="dxa"/>
          </w:tcPr>
          <w:p>
            <w:pPr>
              <w:pStyle w:val="TableParagraph"/>
              <w:spacing w:line="256" w:lineRule="exact"/>
              <w:ind w:left="1" w:right="2"/>
              <w:jc w:val="center"/>
              <w:rPr>
                <w:sz w:val="24"/>
              </w:rPr>
            </w:pPr>
            <w:r>
              <w:rPr>
                <w:spacing w:val="-4"/>
                <w:sz w:val="24"/>
              </w:rPr>
              <w:t>1.20</w:t>
            </w:r>
          </w:p>
        </w:tc>
      </w:tr>
      <w:tr>
        <w:trPr>
          <w:trHeight w:val="276" w:hRule="atLeast"/>
        </w:trPr>
        <w:tc>
          <w:tcPr>
            <w:tcW w:w="605" w:type="dxa"/>
          </w:tcPr>
          <w:p>
            <w:pPr>
              <w:pStyle w:val="TableParagraph"/>
              <w:spacing w:line="256" w:lineRule="exact"/>
              <w:ind w:left="122"/>
              <w:rPr>
                <w:b/>
                <w:sz w:val="24"/>
              </w:rPr>
            </w:pPr>
            <w:r>
              <w:rPr>
                <w:b/>
                <w:spacing w:val="-10"/>
                <w:sz w:val="24"/>
              </w:rPr>
              <w:t>9</w:t>
            </w:r>
          </w:p>
        </w:tc>
        <w:tc>
          <w:tcPr>
            <w:tcW w:w="3263" w:type="dxa"/>
          </w:tcPr>
          <w:p>
            <w:pPr>
              <w:pStyle w:val="TableParagraph"/>
              <w:spacing w:line="256" w:lineRule="exact"/>
              <w:ind w:left="107"/>
              <w:rPr>
                <w:sz w:val="24"/>
              </w:rPr>
            </w:pPr>
            <w:r>
              <w:rPr>
                <w:sz w:val="24"/>
              </w:rPr>
              <w:t>Bottled</w:t>
            </w:r>
            <w:r>
              <w:rPr>
                <w:spacing w:val="-4"/>
                <w:sz w:val="24"/>
              </w:rPr>
              <w:t> </w:t>
            </w:r>
            <w:r>
              <w:rPr>
                <w:spacing w:val="-2"/>
                <w:sz w:val="24"/>
              </w:rPr>
              <w:t>water</w:t>
            </w:r>
          </w:p>
        </w:tc>
        <w:tc>
          <w:tcPr>
            <w:tcW w:w="993" w:type="dxa"/>
          </w:tcPr>
          <w:p>
            <w:pPr>
              <w:pStyle w:val="TableParagraph"/>
              <w:spacing w:line="256" w:lineRule="exact"/>
              <w:ind w:right="1"/>
              <w:jc w:val="center"/>
              <w:rPr>
                <w:sz w:val="24"/>
              </w:rPr>
            </w:pPr>
            <w:r>
              <w:rPr>
                <w:spacing w:val="-4"/>
                <w:sz w:val="24"/>
              </w:rPr>
              <w:t>0.00</w:t>
            </w:r>
          </w:p>
        </w:tc>
        <w:tc>
          <w:tcPr>
            <w:tcW w:w="1443" w:type="dxa"/>
          </w:tcPr>
          <w:p>
            <w:pPr>
              <w:pStyle w:val="TableParagraph"/>
              <w:spacing w:line="256" w:lineRule="exact"/>
              <w:ind w:right="3"/>
              <w:jc w:val="center"/>
              <w:rPr>
                <w:sz w:val="24"/>
              </w:rPr>
            </w:pPr>
            <w:r>
              <w:rPr>
                <w:spacing w:val="-2"/>
                <w:sz w:val="24"/>
              </w:rPr>
              <w:t>11.11</w:t>
            </w:r>
          </w:p>
        </w:tc>
        <w:tc>
          <w:tcPr>
            <w:tcW w:w="1242" w:type="dxa"/>
          </w:tcPr>
          <w:p>
            <w:pPr>
              <w:pStyle w:val="TableParagraph"/>
              <w:spacing w:line="256" w:lineRule="exact"/>
              <w:ind w:left="1" w:right="1"/>
              <w:jc w:val="center"/>
              <w:rPr>
                <w:sz w:val="24"/>
              </w:rPr>
            </w:pPr>
            <w:r>
              <w:rPr>
                <w:spacing w:val="-4"/>
                <w:sz w:val="24"/>
              </w:rPr>
              <w:t>8.33</w:t>
            </w:r>
          </w:p>
        </w:tc>
        <w:tc>
          <w:tcPr>
            <w:tcW w:w="1312" w:type="dxa"/>
          </w:tcPr>
          <w:p>
            <w:pPr>
              <w:pStyle w:val="TableParagraph"/>
              <w:spacing w:line="256" w:lineRule="exact"/>
              <w:ind w:left="1" w:right="2"/>
              <w:jc w:val="center"/>
              <w:rPr>
                <w:sz w:val="24"/>
              </w:rPr>
            </w:pPr>
            <w:r>
              <w:rPr>
                <w:spacing w:val="-2"/>
                <w:sz w:val="24"/>
              </w:rPr>
              <w:t>13.25</w:t>
            </w:r>
          </w:p>
        </w:tc>
      </w:tr>
      <w:tr>
        <w:trPr>
          <w:trHeight w:val="276" w:hRule="atLeast"/>
        </w:trPr>
        <w:tc>
          <w:tcPr>
            <w:tcW w:w="605" w:type="dxa"/>
          </w:tcPr>
          <w:p>
            <w:pPr>
              <w:pStyle w:val="TableParagraph"/>
              <w:spacing w:line="256" w:lineRule="exact"/>
              <w:ind w:left="122"/>
              <w:rPr>
                <w:b/>
                <w:sz w:val="24"/>
              </w:rPr>
            </w:pPr>
            <w:r>
              <w:rPr>
                <w:b/>
                <w:spacing w:val="-5"/>
                <w:sz w:val="24"/>
              </w:rPr>
              <w:t>10</w:t>
            </w:r>
          </w:p>
        </w:tc>
        <w:tc>
          <w:tcPr>
            <w:tcW w:w="3263" w:type="dxa"/>
          </w:tcPr>
          <w:p>
            <w:pPr>
              <w:pStyle w:val="TableParagraph"/>
              <w:spacing w:line="256" w:lineRule="exact"/>
              <w:ind w:left="107"/>
              <w:rPr>
                <w:sz w:val="24"/>
              </w:rPr>
            </w:pPr>
            <w:r>
              <w:rPr>
                <w:sz w:val="24"/>
              </w:rPr>
              <w:t>Private</w:t>
            </w:r>
            <w:r>
              <w:rPr>
                <w:spacing w:val="-4"/>
                <w:sz w:val="24"/>
              </w:rPr>
              <w:t> </w:t>
            </w:r>
            <w:r>
              <w:rPr>
                <w:sz w:val="24"/>
              </w:rPr>
              <w:t>unprotected</w:t>
            </w:r>
            <w:r>
              <w:rPr>
                <w:spacing w:val="-2"/>
                <w:sz w:val="24"/>
              </w:rPr>
              <w:t> </w:t>
            </w:r>
            <w:r>
              <w:rPr>
                <w:sz w:val="24"/>
              </w:rPr>
              <w:t>dug</w:t>
            </w:r>
            <w:r>
              <w:rPr>
                <w:spacing w:val="-2"/>
                <w:sz w:val="24"/>
              </w:rPr>
              <w:t> </w:t>
            </w:r>
            <w:r>
              <w:rPr>
                <w:spacing w:val="-4"/>
                <w:sz w:val="24"/>
              </w:rPr>
              <w:t>well</w:t>
            </w:r>
          </w:p>
        </w:tc>
        <w:tc>
          <w:tcPr>
            <w:tcW w:w="993" w:type="dxa"/>
          </w:tcPr>
          <w:p>
            <w:pPr>
              <w:pStyle w:val="TableParagraph"/>
              <w:spacing w:line="256" w:lineRule="exact"/>
              <w:ind w:right="1"/>
              <w:jc w:val="center"/>
              <w:rPr>
                <w:sz w:val="24"/>
              </w:rPr>
            </w:pPr>
            <w:r>
              <w:rPr>
                <w:spacing w:val="-4"/>
                <w:sz w:val="24"/>
              </w:rPr>
              <w:t>0.00</w:t>
            </w:r>
          </w:p>
        </w:tc>
        <w:tc>
          <w:tcPr>
            <w:tcW w:w="1443" w:type="dxa"/>
          </w:tcPr>
          <w:p>
            <w:pPr>
              <w:pStyle w:val="TableParagraph"/>
              <w:spacing w:line="256" w:lineRule="exact"/>
              <w:ind w:right="3"/>
              <w:jc w:val="center"/>
              <w:rPr>
                <w:sz w:val="24"/>
              </w:rPr>
            </w:pPr>
            <w:r>
              <w:rPr>
                <w:spacing w:val="-4"/>
                <w:sz w:val="24"/>
              </w:rPr>
              <w:t>0.00</w:t>
            </w:r>
          </w:p>
        </w:tc>
        <w:tc>
          <w:tcPr>
            <w:tcW w:w="1242" w:type="dxa"/>
          </w:tcPr>
          <w:p>
            <w:pPr>
              <w:pStyle w:val="TableParagraph"/>
              <w:spacing w:line="256" w:lineRule="exact"/>
              <w:ind w:left="1" w:right="1"/>
              <w:jc w:val="center"/>
              <w:rPr>
                <w:sz w:val="24"/>
              </w:rPr>
            </w:pPr>
            <w:r>
              <w:rPr>
                <w:spacing w:val="-4"/>
                <w:sz w:val="24"/>
              </w:rPr>
              <w:t>1.04</w:t>
            </w:r>
          </w:p>
        </w:tc>
        <w:tc>
          <w:tcPr>
            <w:tcW w:w="1312" w:type="dxa"/>
          </w:tcPr>
          <w:p>
            <w:pPr>
              <w:pStyle w:val="TableParagraph"/>
              <w:spacing w:line="256" w:lineRule="exact"/>
              <w:ind w:left="1" w:right="2"/>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11</w:t>
            </w:r>
          </w:p>
        </w:tc>
        <w:tc>
          <w:tcPr>
            <w:tcW w:w="3263" w:type="dxa"/>
          </w:tcPr>
          <w:p>
            <w:pPr>
              <w:pStyle w:val="TableParagraph"/>
              <w:spacing w:line="256" w:lineRule="exact"/>
              <w:ind w:left="107"/>
              <w:rPr>
                <w:sz w:val="24"/>
              </w:rPr>
            </w:pPr>
            <w:r>
              <w:rPr>
                <w:sz w:val="24"/>
              </w:rPr>
              <w:t>Tanker</w:t>
            </w:r>
            <w:r>
              <w:rPr>
                <w:spacing w:val="-5"/>
                <w:sz w:val="24"/>
              </w:rPr>
              <w:t> </w:t>
            </w:r>
            <w:r>
              <w:rPr>
                <w:spacing w:val="-2"/>
                <w:sz w:val="24"/>
              </w:rPr>
              <w:t>truck</w:t>
            </w:r>
          </w:p>
        </w:tc>
        <w:tc>
          <w:tcPr>
            <w:tcW w:w="993" w:type="dxa"/>
          </w:tcPr>
          <w:p>
            <w:pPr>
              <w:pStyle w:val="TableParagraph"/>
              <w:spacing w:line="256" w:lineRule="exact"/>
              <w:ind w:right="1"/>
              <w:jc w:val="center"/>
              <w:rPr>
                <w:sz w:val="24"/>
              </w:rPr>
            </w:pPr>
            <w:r>
              <w:rPr>
                <w:spacing w:val="-4"/>
                <w:sz w:val="24"/>
              </w:rPr>
              <w:t>6.06</w:t>
            </w:r>
          </w:p>
        </w:tc>
        <w:tc>
          <w:tcPr>
            <w:tcW w:w="1443" w:type="dxa"/>
          </w:tcPr>
          <w:p>
            <w:pPr>
              <w:pStyle w:val="TableParagraph"/>
              <w:spacing w:line="256" w:lineRule="exact"/>
              <w:ind w:right="3"/>
              <w:jc w:val="center"/>
              <w:rPr>
                <w:sz w:val="24"/>
              </w:rPr>
            </w:pPr>
            <w:r>
              <w:rPr>
                <w:spacing w:val="-4"/>
                <w:sz w:val="24"/>
              </w:rPr>
              <w:t>1.23</w:t>
            </w:r>
          </w:p>
        </w:tc>
        <w:tc>
          <w:tcPr>
            <w:tcW w:w="1242" w:type="dxa"/>
          </w:tcPr>
          <w:p>
            <w:pPr>
              <w:pStyle w:val="TableParagraph"/>
              <w:spacing w:line="256" w:lineRule="exact"/>
              <w:ind w:left="1" w:right="1"/>
              <w:jc w:val="center"/>
              <w:rPr>
                <w:sz w:val="24"/>
              </w:rPr>
            </w:pPr>
            <w:r>
              <w:rPr>
                <w:spacing w:val="-4"/>
                <w:sz w:val="24"/>
              </w:rPr>
              <w:t>2.08</w:t>
            </w:r>
          </w:p>
        </w:tc>
        <w:tc>
          <w:tcPr>
            <w:tcW w:w="1312" w:type="dxa"/>
          </w:tcPr>
          <w:p>
            <w:pPr>
              <w:pStyle w:val="TableParagraph"/>
              <w:spacing w:line="256" w:lineRule="exact"/>
              <w:ind w:left="1" w:right="2"/>
              <w:jc w:val="center"/>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12</w:t>
            </w:r>
          </w:p>
        </w:tc>
        <w:tc>
          <w:tcPr>
            <w:tcW w:w="3263" w:type="dxa"/>
          </w:tcPr>
          <w:p>
            <w:pPr>
              <w:pStyle w:val="TableParagraph"/>
              <w:spacing w:line="256" w:lineRule="exact"/>
              <w:ind w:left="107"/>
              <w:rPr>
                <w:sz w:val="24"/>
              </w:rPr>
            </w:pPr>
            <w:r>
              <w:rPr>
                <w:sz w:val="24"/>
              </w:rPr>
              <w:t>Water</w:t>
            </w:r>
            <w:r>
              <w:rPr>
                <w:spacing w:val="-3"/>
                <w:sz w:val="24"/>
              </w:rPr>
              <w:t> </w:t>
            </w:r>
            <w:r>
              <w:rPr>
                <w:sz w:val="24"/>
              </w:rPr>
              <w:t>vendor/Cart</w:t>
            </w:r>
            <w:r>
              <w:rPr>
                <w:spacing w:val="-1"/>
                <w:sz w:val="24"/>
              </w:rPr>
              <w:t> </w:t>
            </w:r>
            <w:r>
              <w:rPr>
                <w:sz w:val="24"/>
              </w:rPr>
              <w:t>with</w:t>
            </w:r>
            <w:r>
              <w:rPr>
                <w:spacing w:val="-1"/>
                <w:sz w:val="24"/>
              </w:rPr>
              <w:t> </w:t>
            </w:r>
            <w:r>
              <w:rPr>
                <w:spacing w:val="-4"/>
                <w:sz w:val="24"/>
              </w:rPr>
              <w:t>tank</w:t>
            </w:r>
          </w:p>
        </w:tc>
        <w:tc>
          <w:tcPr>
            <w:tcW w:w="993" w:type="dxa"/>
          </w:tcPr>
          <w:p>
            <w:pPr>
              <w:pStyle w:val="TableParagraph"/>
              <w:spacing w:line="256" w:lineRule="exact"/>
              <w:ind w:right="1"/>
              <w:jc w:val="center"/>
              <w:rPr>
                <w:sz w:val="24"/>
              </w:rPr>
            </w:pPr>
            <w:r>
              <w:rPr>
                <w:spacing w:val="-4"/>
                <w:sz w:val="24"/>
              </w:rPr>
              <w:t>4.55</w:t>
            </w:r>
          </w:p>
        </w:tc>
        <w:tc>
          <w:tcPr>
            <w:tcW w:w="1443" w:type="dxa"/>
          </w:tcPr>
          <w:p>
            <w:pPr>
              <w:pStyle w:val="TableParagraph"/>
              <w:spacing w:line="256" w:lineRule="exact"/>
              <w:ind w:right="3"/>
              <w:jc w:val="center"/>
              <w:rPr>
                <w:sz w:val="24"/>
              </w:rPr>
            </w:pPr>
            <w:r>
              <w:rPr>
                <w:spacing w:val="-2"/>
                <w:sz w:val="24"/>
              </w:rPr>
              <w:t>14.81</w:t>
            </w:r>
          </w:p>
        </w:tc>
        <w:tc>
          <w:tcPr>
            <w:tcW w:w="1242" w:type="dxa"/>
          </w:tcPr>
          <w:p>
            <w:pPr>
              <w:pStyle w:val="TableParagraph"/>
              <w:spacing w:line="256" w:lineRule="exact"/>
              <w:ind w:left="1" w:right="1"/>
              <w:jc w:val="center"/>
              <w:rPr>
                <w:sz w:val="24"/>
              </w:rPr>
            </w:pPr>
            <w:r>
              <w:rPr>
                <w:spacing w:val="-4"/>
                <w:sz w:val="24"/>
              </w:rPr>
              <w:t>3.13</w:t>
            </w:r>
          </w:p>
        </w:tc>
        <w:tc>
          <w:tcPr>
            <w:tcW w:w="1312" w:type="dxa"/>
          </w:tcPr>
          <w:p>
            <w:pPr>
              <w:pStyle w:val="TableParagraph"/>
              <w:spacing w:line="256" w:lineRule="exact"/>
              <w:ind w:left="1" w:right="2"/>
              <w:jc w:val="center"/>
              <w:rPr>
                <w:sz w:val="24"/>
              </w:rPr>
            </w:pPr>
            <w:r>
              <w:rPr>
                <w:spacing w:val="-4"/>
                <w:sz w:val="24"/>
              </w:rPr>
              <w:t>7.83</w:t>
            </w:r>
          </w:p>
        </w:tc>
      </w:tr>
      <w:tr>
        <w:trPr>
          <w:trHeight w:val="275" w:hRule="atLeast"/>
        </w:trPr>
        <w:tc>
          <w:tcPr>
            <w:tcW w:w="605" w:type="dxa"/>
          </w:tcPr>
          <w:p>
            <w:pPr>
              <w:pStyle w:val="TableParagraph"/>
              <w:spacing w:line="256" w:lineRule="exact"/>
              <w:ind w:left="122"/>
              <w:rPr>
                <w:b/>
                <w:sz w:val="24"/>
              </w:rPr>
            </w:pPr>
            <w:r>
              <w:rPr>
                <w:b/>
                <w:spacing w:val="-5"/>
                <w:sz w:val="24"/>
              </w:rPr>
              <w:t>13</w:t>
            </w:r>
          </w:p>
        </w:tc>
        <w:tc>
          <w:tcPr>
            <w:tcW w:w="3263" w:type="dxa"/>
          </w:tcPr>
          <w:p>
            <w:pPr>
              <w:pStyle w:val="TableParagraph"/>
              <w:spacing w:line="256" w:lineRule="exact"/>
              <w:ind w:left="107"/>
              <w:rPr>
                <w:sz w:val="24"/>
              </w:rPr>
            </w:pPr>
            <w:r>
              <w:rPr>
                <w:sz w:val="24"/>
              </w:rPr>
              <w:t>River</w:t>
            </w:r>
            <w:r>
              <w:rPr>
                <w:spacing w:val="-3"/>
                <w:sz w:val="24"/>
              </w:rPr>
              <w:t> </w:t>
            </w:r>
            <w:r>
              <w:rPr>
                <w:sz w:val="24"/>
              </w:rPr>
              <w:t>and </w:t>
            </w:r>
            <w:r>
              <w:rPr>
                <w:spacing w:val="-2"/>
                <w:sz w:val="24"/>
              </w:rPr>
              <w:t>stream</w:t>
            </w:r>
          </w:p>
        </w:tc>
        <w:tc>
          <w:tcPr>
            <w:tcW w:w="993" w:type="dxa"/>
          </w:tcPr>
          <w:p>
            <w:pPr>
              <w:pStyle w:val="TableParagraph"/>
              <w:spacing w:line="256" w:lineRule="exact"/>
              <w:ind w:right="1"/>
              <w:jc w:val="center"/>
              <w:rPr>
                <w:sz w:val="24"/>
              </w:rPr>
            </w:pPr>
            <w:r>
              <w:rPr>
                <w:spacing w:val="-4"/>
                <w:sz w:val="24"/>
              </w:rPr>
              <w:t>0.00</w:t>
            </w:r>
          </w:p>
        </w:tc>
        <w:tc>
          <w:tcPr>
            <w:tcW w:w="1443" w:type="dxa"/>
          </w:tcPr>
          <w:p>
            <w:pPr>
              <w:pStyle w:val="TableParagraph"/>
              <w:spacing w:line="256" w:lineRule="exact"/>
              <w:ind w:right="3"/>
              <w:jc w:val="center"/>
              <w:rPr>
                <w:sz w:val="24"/>
              </w:rPr>
            </w:pPr>
            <w:r>
              <w:rPr>
                <w:spacing w:val="-4"/>
                <w:sz w:val="24"/>
              </w:rPr>
              <w:t>0.00</w:t>
            </w:r>
          </w:p>
        </w:tc>
        <w:tc>
          <w:tcPr>
            <w:tcW w:w="1242" w:type="dxa"/>
          </w:tcPr>
          <w:p>
            <w:pPr>
              <w:pStyle w:val="TableParagraph"/>
              <w:spacing w:line="256" w:lineRule="exact"/>
              <w:ind w:left="1" w:right="1"/>
              <w:jc w:val="center"/>
              <w:rPr>
                <w:sz w:val="24"/>
              </w:rPr>
            </w:pPr>
            <w:r>
              <w:rPr>
                <w:spacing w:val="-4"/>
                <w:sz w:val="24"/>
              </w:rPr>
              <w:t>0.00</w:t>
            </w:r>
          </w:p>
        </w:tc>
        <w:tc>
          <w:tcPr>
            <w:tcW w:w="1312" w:type="dxa"/>
          </w:tcPr>
          <w:p>
            <w:pPr>
              <w:pStyle w:val="TableParagraph"/>
              <w:spacing w:line="256" w:lineRule="exact"/>
              <w:ind w:left="1" w:right="2"/>
              <w:jc w:val="center"/>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14</w:t>
            </w:r>
          </w:p>
        </w:tc>
        <w:tc>
          <w:tcPr>
            <w:tcW w:w="3263" w:type="dxa"/>
          </w:tcPr>
          <w:p>
            <w:pPr>
              <w:pStyle w:val="TableParagraph"/>
              <w:spacing w:line="256" w:lineRule="exact"/>
              <w:ind w:left="107"/>
              <w:rPr>
                <w:sz w:val="24"/>
              </w:rPr>
            </w:pPr>
            <w:r>
              <w:rPr>
                <w:sz w:val="24"/>
              </w:rPr>
              <w:t>Pond</w:t>
            </w:r>
            <w:r>
              <w:rPr>
                <w:spacing w:val="-1"/>
                <w:sz w:val="24"/>
              </w:rPr>
              <w:t> </w:t>
            </w:r>
            <w:r>
              <w:rPr>
                <w:sz w:val="24"/>
              </w:rPr>
              <w:t>and </w:t>
            </w:r>
            <w:r>
              <w:rPr>
                <w:spacing w:val="-4"/>
                <w:sz w:val="24"/>
              </w:rPr>
              <w:t>lake</w:t>
            </w:r>
          </w:p>
        </w:tc>
        <w:tc>
          <w:tcPr>
            <w:tcW w:w="993" w:type="dxa"/>
          </w:tcPr>
          <w:p>
            <w:pPr>
              <w:pStyle w:val="TableParagraph"/>
              <w:spacing w:line="256" w:lineRule="exact"/>
              <w:ind w:right="1"/>
              <w:jc w:val="center"/>
              <w:rPr>
                <w:sz w:val="24"/>
              </w:rPr>
            </w:pPr>
            <w:r>
              <w:rPr>
                <w:spacing w:val="-4"/>
                <w:sz w:val="24"/>
              </w:rPr>
              <w:t>0.00</w:t>
            </w:r>
          </w:p>
        </w:tc>
        <w:tc>
          <w:tcPr>
            <w:tcW w:w="1443" w:type="dxa"/>
          </w:tcPr>
          <w:p>
            <w:pPr>
              <w:pStyle w:val="TableParagraph"/>
              <w:spacing w:line="256" w:lineRule="exact"/>
              <w:ind w:right="3"/>
              <w:jc w:val="center"/>
              <w:rPr>
                <w:sz w:val="24"/>
              </w:rPr>
            </w:pPr>
            <w:r>
              <w:rPr>
                <w:spacing w:val="-4"/>
                <w:sz w:val="24"/>
              </w:rPr>
              <w:t>0.00</w:t>
            </w:r>
          </w:p>
        </w:tc>
        <w:tc>
          <w:tcPr>
            <w:tcW w:w="1242" w:type="dxa"/>
          </w:tcPr>
          <w:p>
            <w:pPr>
              <w:pStyle w:val="TableParagraph"/>
              <w:spacing w:line="256" w:lineRule="exact"/>
              <w:ind w:left="1" w:right="1"/>
              <w:jc w:val="center"/>
              <w:rPr>
                <w:sz w:val="24"/>
              </w:rPr>
            </w:pPr>
            <w:r>
              <w:rPr>
                <w:spacing w:val="-4"/>
                <w:sz w:val="24"/>
              </w:rPr>
              <w:t>0.00</w:t>
            </w:r>
          </w:p>
        </w:tc>
        <w:tc>
          <w:tcPr>
            <w:tcW w:w="1312" w:type="dxa"/>
          </w:tcPr>
          <w:p>
            <w:pPr>
              <w:pStyle w:val="TableParagraph"/>
              <w:spacing w:line="256" w:lineRule="exact"/>
              <w:ind w:left="1" w:right="2"/>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15</w:t>
            </w:r>
          </w:p>
        </w:tc>
        <w:tc>
          <w:tcPr>
            <w:tcW w:w="3263" w:type="dxa"/>
          </w:tcPr>
          <w:p>
            <w:pPr>
              <w:pStyle w:val="TableParagraph"/>
              <w:spacing w:line="256" w:lineRule="exact"/>
              <w:ind w:left="107"/>
              <w:rPr>
                <w:sz w:val="24"/>
              </w:rPr>
            </w:pPr>
            <w:r>
              <w:rPr>
                <w:sz w:val="24"/>
              </w:rPr>
              <w:t>Dugout</w:t>
            </w:r>
            <w:r>
              <w:rPr>
                <w:spacing w:val="-3"/>
                <w:sz w:val="24"/>
              </w:rPr>
              <w:t> </w:t>
            </w:r>
            <w:r>
              <w:rPr>
                <w:sz w:val="24"/>
              </w:rPr>
              <w:t>and</w:t>
            </w:r>
            <w:r>
              <w:rPr>
                <w:spacing w:val="-1"/>
                <w:sz w:val="24"/>
              </w:rPr>
              <w:t> </w:t>
            </w:r>
            <w:r>
              <w:rPr>
                <w:sz w:val="24"/>
              </w:rPr>
              <w:t>shallow</w:t>
            </w:r>
            <w:r>
              <w:rPr>
                <w:spacing w:val="-1"/>
                <w:sz w:val="24"/>
              </w:rPr>
              <w:t> </w:t>
            </w:r>
            <w:r>
              <w:rPr>
                <w:spacing w:val="-4"/>
                <w:sz w:val="24"/>
              </w:rPr>
              <w:t>well</w:t>
            </w:r>
          </w:p>
        </w:tc>
        <w:tc>
          <w:tcPr>
            <w:tcW w:w="993" w:type="dxa"/>
          </w:tcPr>
          <w:p>
            <w:pPr>
              <w:pStyle w:val="TableParagraph"/>
              <w:spacing w:line="256" w:lineRule="exact"/>
              <w:ind w:right="1"/>
              <w:jc w:val="center"/>
              <w:rPr>
                <w:sz w:val="24"/>
              </w:rPr>
            </w:pPr>
            <w:r>
              <w:rPr>
                <w:spacing w:val="-4"/>
                <w:sz w:val="24"/>
              </w:rPr>
              <w:t>1.52</w:t>
            </w:r>
          </w:p>
        </w:tc>
        <w:tc>
          <w:tcPr>
            <w:tcW w:w="1443" w:type="dxa"/>
          </w:tcPr>
          <w:p>
            <w:pPr>
              <w:pStyle w:val="TableParagraph"/>
              <w:spacing w:line="256" w:lineRule="exact"/>
              <w:ind w:right="3"/>
              <w:jc w:val="center"/>
              <w:rPr>
                <w:sz w:val="24"/>
              </w:rPr>
            </w:pPr>
            <w:r>
              <w:rPr>
                <w:spacing w:val="-4"/>
                <w:sz w:val="24"/>
              </w:rPr>
              <w:t>0.00</w:t>
            </w:r>
          </w:p>
        </w:tc>
        <w:tc>
          <w:tcPr>
            <w:tcW w:w="1242" w:type="dxa"/>
          </w:tcPr>
          <w:p>
            <w:pPr>
              <w:pStyle w:val="TableParagraph"/>
              <w:spacing w:line="256" w:lineRule="exact"/>
              <w:ind w:left="1" w:right="1"/>
              <w:jc w:val="center"/>
              <w:rPr>
                <w:sz w:val="24"/>
              </w:rPr>
            </w:pPr>
            <w:r>
              <w:rPr>
                <w:spacing w:val="-4"/>
                <w:sz w:val="24"/>
              </w:rPr>
              <w:t>2.08</w:t>
            </w:r>
          </w:p>
        </w:tc>
        <w:tc>
          <w:tcPr>
            <w:tcW w:w="1312" w:type="dxa"/>
          </w:tcPr>
          <w:p>
            <w:pPr>
              <w:pStyle w:val="TableParagraph"/>
              <w:spacing w:line="256" w:lineRule="exact"/>
              <w:ind w:left="1" w:right="2"/>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16</w:t>
            </w:r>
          </w:p>
        </w:tc>
        <w:tc>
          <w:tcPr>
            <w:tcW w:w="3263" w:type="dxa"/>
          </w:tcPr>
          <w:p>
            <w:pPr>
              <w:pStyle w:val="TableParagraph"/>
              <w:spacing w:line="256" w:lineRule="exact"/>
              <w:ind w:left="107"/>
              <w:rPr>
                <w:sz w:val="24"/>
              </w:rPr>
            </w:pPr>
            <w:r>
              <w:rPr>
                <w:spacing w:val="-5"/>
                <w:sz w:val="24"/>
              </w:rPr>
              <w:t>Dam</w:t>
            </w:r>
          </w:p>
        </w:tc>
        <w:tc>
          <w:tcPr>
            <w:tcW w:w="993" w:type="dxa"/>
          </w:tcPr>
          <w:p>
            <w:pPr>
              <w:pStyle w:val="TableParagraph"/>
              <w:spacing w:line="256" w:lineRule="exact"/>
              <w:ind w:right="1"/>
              <w:jc w:val="center"/>
              <w:rPr>
                <w:sz w:val="24"/>
              </w:rPr>
            </w:pPr>
            <w:r>
              <w:rPr>
                <w:spacing w:val="-4"/>
                <w:sz w:val="24"/>
              </w:rPr>
              <w:t>0.00</w:t>
            </w:r>
          </w:p>
        </w:tc>
        <w:tc>
          <w:tcPr>
            <w:tcW w:w="1443" w:type="dxa"/>
          </w:tcPr>
          <w:p>
            <w:pPr>
              <w:pStyle w:val="TableParagraph"/>
              <w:spacing w:line="256" w:lineRule="exact"/>
              <w:ind w:right="3"/>
              <w:jc w:val="center"/>
              <w:rPr>
                <w:sz w:val="24"/>
              </w:rPr>
            </w:pPr>
            <w:r>
              <w:rPr>
                <w:spacing w:val="-4"/>
                <w:sz w:val="24"/>
              </w:rPr>
              <w:t>0.00</w:t>
            </w:r>
          </w:p>
        </w:tc>
        <w:tc>
          <w:tcPr>
            <w:tcW w:w="1242" w:type="dxa"/>
          </w:tcPr>
          <w:p>
            <w:pPr>
              <w:pStyle w:val="TableParagraph"/>
              <w:spacing w:line="256" w:lineRule="exact"/>
              <w:ind w:left="1" w:right="1"/>
              <w:jc w:val="center"/>
              <w:rPr>
                <w:sz w:val="24"/>
              </w:rPr>
            </w:pPr>
            <w:r>
              <w:rPr>
                <w:spacing w:val="-4"/>
                <w:sz w:val="24"/>
              </w:rPr>
              <w:t>0.00</w:t>
            </w:r>
          </w:p>
        </w:tc>
        <w:tc>
          <w:tcPr>
            <w:tcW w:w="1312" w:type="dxa"/>
          </w:tcPr>
          <w:p>
            <w:pPr>
              <w:pStyle w:val="TableParagraph"/>
              <w:spacing w:line="256" w:lineRule="exact"/>
              <w:ind w:left="1" w:right="2"/>
              <w:jc w:val="center"/>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17</w:t>
            </w:r>
          </w:p>
        </w:tc>
        <w:tc>
          <w:tcPr>
            <w:tcW w:w="3263" w:type="dxa"/>
          </w:tcPr>
          <w:p>
            <w:pPr>
              <w:pStyle w:val="TableParagraph"/>
              <w:spacing w:line="256" w:lineRule="exact"/>
              <w:ind w:left="107"/>
              <w:rPr>
                <w:sz w:val="24"/>
              </w:rPr>
            </w:pPr>
            <w:r>
              <w:rPr>
                <w:sz w:val="24"/>
              </w:rPr>
              <w:t>Sachet</w:t>
            </w:r>
            <w:r>
              <w:rPr>
                <w:spacing w:val="-5"/>
                <w:sz w:val="24"/>
              </w:rPr>
              <w:t> </w:t>
            </w:r>
            <w:r>
              <w:rPr>
                <w:spacing w:val="-2"/>
                <w:sz w:val="24"/>
              </w:rPr>
              <w:t>water</w:t>
            </w:r>
          </w:p>
        </w:tc>
        <w:tc>
          <w:tcPr>
            <w:tcW w:w="993" w:type="dxa"/>
          </w:tcPr>
          <w:p>
            <w:pPr>
              <w:pStyle w:val="TableParagraph"/>
              <w:spacing w:line="256" w:lineRule="exact"/>
              <w:ind w:right="1"/>
              <w:jc w:val="center"/>
              <w:rPr>
                <w:sz w:val="24"/>
              </w:rPr>
            </w:pPr>
            <w:r>
              <w:rPr>
                <w:spacing w:val="-2"/>
                <w:sz w:val="24"/>
              </w:rPr>
              <w:t>36.36</w:t>
            </w:r>
          </w:p>
        </w:tc>
        <w:tc>
          <w:tcPr>
            <w:tcW w:w="1443" w:type="dxa"/>
          </w:tcPr>
          <w:p>
            <w:pPr>
              <w:pStyle w:val="TableParagraph"/>
              <w:spacing w:line="256" w:lineRule="exact"/>
              <w:ind w:right="3"/>
              <w:jc w:val="center"/>
              <w:rPr>
                <w:sz w:val="24"/>
              </w:rPr>
            </w:pPr>
            <w:r>
              <w:rPr>
                <w:spacing w:val="-2"/>
                <w:sz w:val="24"/>
              </w:rPr>
              <w:t>23.46</w:t>
            </w:r>
          </w:p>
        </w:tc>
        <w:tc>
          <w:tcPr>
            <w:tcW w:w="1242" w:type="dxa"/>
          </w:tcPr>
          <w:p>
            <w:pPr>
              <w:pStyle w:val="TableParagraph"/>
              <w:spacing w:line="256" w:lineRule="exact"/>
              <w:ind w:left="1" w:right="1"/>
              <w:jc w:val="center"/>
              <w:rPr>
                <w:sz w:val="24"/>
              </w:rPr>
            </w:pPr>
            <w:r>
              <w:rPr>
                <w:spacing w:val="-2"/>
                <w:sz w:val="24"/>
              </w:rPr>
              <w:t>18.75</w:t>
            </w:r>
          </w:p>
        </w:tc>
        <w:tc>
          <w:tcPr>
            <w:tcW w:w="1312" w:type="dxa"/>
          </w:tcPr>
          <w:p>
            <w:pPr>
              <w:pStyle w:val="TableParagraph"/>
              <w:spacing w:line="256" w:lineRule="exact"/>
              <w:ind w:left="1" w:right="2"/>
              <w:jc w:val="center"/>
              <w:rPr>
                <w:sz w:val="24"/>
              </w:rPr>
            </w:pPr>
            <w:r>
              <w:rPr>
                <w:spacing w:val="-2"/>
                <w:sz w:val="24"/>
              </w:rPr>
              <w:t>18.07</w:t>
            </w:r>
          </w:p>
        </w:tc>
      </w:tr>
      <w:tr>
        <w:trPr>
          <w:trHeight w:val="273" w:hRule="atLeast"/>
        </w:trPr>
        <w:tc>
          <w:tcPr>
            <w:tcW w:w="605" w:type="dxa"/>
          </w:tcPr>
          <w:p>
            <w:pPr>
              <w:pStyle w:val="TableParagraph"/>
              <w:rPr>
                <w:sz w:val="20"/>
              </w:rPr>
            </w:pPr>
          </w:p>
        </w:tc>
        <w:tc>
          <w:tcPr>
            <w:tcW w:w="3263" w:type="dxa"/>
          </w:tcPr>
          <w:p>
            <w:pPr>
              <w:pStyle w:val="TableParagraph"/>
              <w:spacing w:line="254" w:lineRule="exact"/>
              <w:ind w:left="107"/>
              <w:rPr>
                <w:sz w:val="24"/>
              </w:rPr>
            </w:pPr>
            <w:r>
              <w:rPr>
                <w:sz w:val="24"/>
              </w:rPr>
              <w:t>Respondents</w:t>
            </w:r>
            <w:r>
              <w:rPr>
                <w:spacing w:val="-1"/>
                <w:sz w:val="24"/>
              </w:rPr>
              <w:t> </w:t>
            </w:r>
            <w:r>
              <w:rPr>
                <w:sz w:val="24"/>
              </w:rPr>
              <w:t>with</w:t>
            </w:r>
            <w:r>
              <w:rPr>
                <w:spacing w:val="-1"/>
                <w:sz w:val="24"/>
              </w:rPr>
              <w:t> </w:t>
            </w:r>
            <w:r>
              <w:rPr>
                <w:sz w:val="24"/>
              </w:rPr>
              <w:t>pipe</w:t>
            </w:r>
            <w:r>
              <w:rPr>
                <w:spacing w:val="-1"/>
                <w:sz w:val="24"/>
              </w:rPr>
              <w:t> </w:t>
            </w:r>
            <w:r>
              <w:rPr>
                <w:spacing w:val="-2"/>
                <w:sz w:val="24"/>
              </w:rPr>
              <w:t>water</w:t>
            </w:r>
          </w:p>
        </w:tc>
        <w:tc>
          <w:tcPr>
            <w:tcW w:w="993" w:type="dxa"/>
          </w:tcPr>
          <w:p>
            <w:pPr>
              <w:pStyle w:val="TableParagraph"/>
              <w:spacing w:line="254" w:lineRule="exact"/>
              <w:ind w:left="1" w:right="1"/>
              <w:jc w:val="center"/>
              <w:rPr>
                <w:sz w:val="24"/>
              </w:rPr>
            </w:pPr>
            <w:r>
              <w:rPr>
                <w:spacing w:val="-2"/>
                <w:sz w:val="24"/>
              </w:rPr>
              <w:t>6.07%</w:t>
            </w:r>
          </w:p>
        </w:tc>
        <w:tc>
          <w:tcPr>
            <w:tcW w:w="1443" w:type="dxa"/>
          </w:tcPr>
          <w:p>
            <w:pPr>
              <w:pStyle w:val="TableParagraph"/>
              <w:spacing w:line="254" w:lineRule="exact"/>
              <w:ind w:left="3" w:right="3"/>
              <w:jc w:val="center"/>
              <w:rPr>
                <w:sz w:val="24"/>
              </w:rPr>
            </w:pPr>
            <w:r>
              <w:rPr>
                <w:spacing w:val="-2"/>
                <w:sz w:val="24"/>
              </w:rPr>
              <w:t>12.34%</w:t>
            </w:r>
          </w:p>
        </w:tc>
        <w:tc>
          <w:tcPr>
            <w:tcW w:w="1242" w:type="dxa"/>
          </w:tcPr>
          <w:p>
            <w:pPr>
              <w:pStyle w:val="TableParagraph"/>
              <w:spacing w:line="254" w:lineRule="exact"/>
              <w:ind w:left="1" w:right="1"/>
              <w:jc w:val="center"/>
              <w:rPr>
                <w:sz w:val="24"/>
              </w:rPr>
            </w:pPr>
            <w:r>
              <w:rPr>
                <w:spacing w:val="-2"/>
                <w:sz w:val="24"/>
              </w:rPr>
              <w:t>14.59%</w:t>
            </w:r>
          </w:p>
        </w:tc>
        <w:tc>
          <w:tcPr>
            <w:tcW w:w="1312" w:type="dxa"/>
          </w:tcPr>
          <w:p>
            <w:pPr>
              <w:pStyle w:val="TableParagraph"/>
              <w:spacing w:line="254" w:lineRule="exact"/>
              <w:ind w:left="2" w:right="1"/>
              <w:jc w:val="center"/>
              <w:rPr>
                <w:sz w:val="24"/>
              </w:rPr>
            </w:pPr>
            <w:r>
              <w:rPr>
                <w:spacing w:val="-2"/>
                <w:sz w:val="24"/>
              </w:rPr>
              <w:t>20.48%</w:t>
            </w:r>
          </w:p>
        </w:tc>
      </w:tr>
      <w:tr>
        <w:trPr>
          <w:trHeight w:val="276" w:hRule="atLeast"/>
        </w:trPr>
        <w:tc>
          <w:tcPr>
            <w:tcW w:w="605" w:type="dxa"/>
          </w:tcPr>
          <w:p>
            <w:pPr>
              <w:pStyle w:val="TableParagraph"/>
              <w:rPr>
                <w:sz w:val="20"/>
              </w:rPr>
            </w:pPr>
          </w:p>
        </w:tc>
        <w:tc>
          <w:tcPr>
            <w:tcW w:w="3263" w:type="dxa"/>
          </w:tcPr>
          <w:p>
            <w:pPr>
              <w:pStyle w:val="TableParagraph"/>
              <w:spacing w:line="256" w:lineRule="exact"/>
              <w:ind w:left="107"/>
              <w:rPr>
                <w:sz w:val="24"/>
              </w:rPr>
            </w:pPr>
            <w:r>
              <w:rPr>
                <w:sz w:val="24"/>
              </w:rPr>
              <w:t>Water</w:t>
            </w:r>
            <w:r>
              <w:rPr>
                <w:spacing w:val="-4"/>
                <w:sz w:val="24"/>
              </w:rPr>
              <w:t> </w:t>
            </w:r>
            <w:r>
              <w:rPr>
                <w:sz w:val="24"/>
              </w:rPr>
              <w:t>from</w:t>
            </w:r>
            <w:r>
              <w:rPr>
                <w:spacing w:val="-1"/>
                <w:sz w:val="24"/>
              </w:rPr>
              <w:t> </w:t>
            </w:r>
            <w:r>
              <w:rPr>
                <w:sz w:val="24"/>
              </w:rPr>
              <w:t>improved</w:t>
            </w:r>
            <w:r>
              <w:rPr>
                <w:spacing w:val="-1"/>
                <w:sz w:val="24"/>
              </w:rPr>
              <w:t> </w:t>
            </w:r>
            <w:r>
              <w:rPr>
                <w:spacing w:val="-2"/>
                <w:sz w:val="24"/>
              </w:rPr>
              <w:t>sources</w:t>
            </w:r>
          </w:p>
        </w:tc>
        <w:tc>
          <w:tcPr>
            <w:tcW w:w="993" w:type="dxa"/>
          </w:tcPr>
          <w:p>
            <w:pPr>
              <w:pStyle w:val="TableParagraph"/>
              <w:spacing w:line="256" w:lineRule="exact"/>
              <w:ind w:left="1" w:right="1"/>
              <w:jc w:val="center"/>
              <w:rPr>
                <w:sz w:val="24"/>
              </w:rPr>
            </w:pPr>
            <w:r>
              <w:rPr>
                <w:spacing w:val="-2"/>
                <w:sz w:val="24"/>
              </w:rPr>
              <w:t>37.88%</w:t>
            </w:r>
          </w:p>
        </w:tc>
        <w:tc>
          <w:tcPr>
            <w:tcW w:w="1443" w:type="dxa"/>
          </w:tcPr>
          <w:p>
            <w:pPr>
              <w:pStyle w:val="TableParagraph"/>
              <w:spacing w:line="256" w:lineRule="exact"/>
              <w:ind w:left="3" w:right="3"/>
              <w:jc w:val="center"/>
              <w:rPr>
                <w:sz w:val="24"/>
              </w:rPr>
            </w:pPr>
            <w:r>
              <w:rPr>
                <w:spacing w:val="-2"/>
                <w:sz w:val="24"/>
              </w:rPr>
              <w:t>44.44%</w:t>
            </w:r>
          </w:p>
        </w:tc>
        <w:tc>
          <w:tcPr>
            <w:tcW w:w="1242" w:type="dxa"/>
          </w:tcPr>
          <w:p>
            <w:pPr>
              <w:pStyle w:val="TableParagraph"/>
              <w:spacing w:line="256" w:lineRule="exact"/>
              <w:ind w:left="1" w:right="1"/>
              <w:jc w:val="center"/>
              <w:rPr>
                <w:sz w:val="24"/>
              </w:rPr>
            </w:pPr>
            <w:r>
              <w:rPr>
                <w:spacing w:val="-2"/>
                <w:sz w:val="24"/>
              </w:rPr>
              <w:t>57.29%</w:t>
            </w:r>
          </w:p>
        </w:tc>
        <w:tc>
          <w:tcPr>
            <w:tcW w:w="1312" w:type="dxa"/>
          </w:tcPr>
          <w:p>
            <w:pPr>
              <w:pStyle w:val="TableParagraph"/>
              <w:spacing w:line="256" w:lineRule="exact"/>
              <w:ind w:left="2" w:right="1"/>
              <w:jc w:val="center"/>
              <w:rPr>
                <w:sz w:val="24"/>
              </w:rPr>
            </w:pPr>
            <w:r>
              <w:rPr>
                <w:spacing w:val="-2"/>
                <w:sz w:val="24"/>
              </w:rPr>
              <w:t>59.64%</w:t>
            </w:r>
          </w:p>
        </w:tc>
      </w:tr>
      <w:tr>
        <w:trPr>
          <w:trHeight w:val="552" w:hRule="atLeast"/>
        </w:trPr>
        <w:tc>
          <w:tcPr>
            <w:tcW w:w="605" w:type="dxa"/>
          </w:tcPr>
          <w:p>
            <w:pPr>
              <w:pStyle w:val="TableParagraph"/>
              <w:rPr>
                <w:sz w:val="24"/>
              </w:rPr>
            </w:pPr>
          </w:p>
        </w:tc>
        <w:tc>
          <w:tcPr>
            <w:tcW w:w="3263" w:type="dxa"/>
          </w:tcPr>
          <w:p>
            <w:pPr>
              <w:pStyle w:val="TableParagraph"/>
              <w:tabs>
                <w:tab w:pos="1110" w:val="left" w:leader="none"/>
                <w:tab w:pos="1993" w:val="left" w:leader="none"/>
              </w:tabs>
              <w:spacing w:line="271" w:lineRule="exact"/>
              <w:ind w:left="107"/>
              <w:rPr>
                <w:sz w:val="24"/>
              </w:rPr>
            </w:pPr>
            <w:r>
              <w:rPr>
                <w:spacing w:val="-2"/>
                <w:sz w:val="24"/>
              </w:rPr>
              <w:t>Water</w:t>
            </w:r>
            <w:r>
              <w:rPr>
                <w:sz w:val="24"/>
              </w:rPr>
              <w:tab/>
            </w:r>
            <w:r>
              <w:rPr>
                <w:spacing w:val="-4"/>
                <w:sz w:val="24"/>
              </w:rPr>
              <w:t>from</w:t>
            </w:r>
            <w:r>
              <w:rPr>
                <w:sz w:val="24"/>
              </w:rPr>
              <w:tab/>
            </w:r>
            <w:r>
              <w:rPr>
                <w:spacing w:val="-2"/>
                <w:sz w:val="24"/>
              </w:rPr>
              <w:t>unimproved</w:t>
            </w:r>
          </w:p>
          <w:p>
            <w:pPr>
              <w:pStyle w:val="TableParagraph"/>
              <w:spacing w:line="261" w:lineRule="exact"/>
              <w:ind w:left="107"/>
              <w:rPr>
                <w:sz w:val="24"/>
              </w:rPr>
            </w:pPr>
            <w:r>
              <w:rPr>
                <w:spacing w:val="-2"/>
                <w:sz w:val="24"/>
              </w:rPr>
              <w:t>sources</w:t>
            </w:r>
          </w:p>
        </w:tc>
        <w:tc>
          <w:tcPr>
            <w:tcW w:w="993" w:type="dxa"/>
          </w:tcPr>
          <w:p>
            <w:pPr>
              <w:pStyle w:val="TableParagraph"/>
              <w:spacing w:line="271" w:lineRule="exact"/>
              <w:ind w:left="1" w:right="1"/>
              <w:jc w:val="center"/>
              <w:rPr>
                <w:sz w:val="24"/>
              </w:rPr>
            </w:pPr>
            <w:r>
              <w:rPr>
                <w:spacing w:val="-2"/>
                <w:sz w:val="24"/>
              </w:rPr>
              <w:t>62.12%</w:t>
            </w:r>
          </w:p>
        </w:tc>
        <w:tc>
          <w:tcPr>
            <w:tcW w:w="1443" w:type="dxa"/>
          </w:tcPr>
          <w:p>
            <w:pPr>
              <w:pStyle w:val="TableParagraph"/>
              <w:spacing w:line="271" w:lineRule="exact"/>
              <w:ind w:left="3" w:right="3"/>
              <w:jc w:val="center"/>
              <w:rPr>
                <w:sz w:val="24"/>
              </w:rPr>
            </w:pPr>
            <w:r>
              <w:rPr>
                <w:spacing w:val="-2"/>
                <w:sz w:val="24"/>
              </w:rPr>
              <w:t>55.56%</w:t>
            </w:r>
          </w:p>
        </w:tc>
        <w:tc>
          <w:tcPr>
            <w:tcW w:w="1242" w:type="dxa"/>
          </w:tcPr>
          <w:p>
            <w:pPr>
              <w:pStyle w:val="TableParagraph"/>
              <w:spacing w:line="271" w:lineRule="exact"/>
              <w:ind w:left="1" w:right="1"/>
              <w:jc w:val="center"/>
              <w:rPr>
                <w:sz w:val="24"/>
              </w:rPr>
            </w:pPr>
            <w:r>
              <w:rPr>
                <w:spacing w:val="-2"/>
                <w:sz w:val="24"/>
              </w:rPr>
              <w:t>42.71%</w:t>
            </w:r>
          </w:p>
        </w:tc>
        <w:tc>
          <w:tcPr>
            <w:tcW w:w="1312" w:type="dxa"/>
          </w:tcPr>
          <w:p>
            <w:pPr>
              <w:pStyle w:val="TableParagraph"/>
              <w:spacing w:line="271" w:lineRule="exact"/>
              <w:ind w:left="2" w:right="1"/>
              <w:jc w:val="center"/>
              <w:rPr>
                <w:sz w:val="24"/>
              </w:rPr>
            </w:pPr>
            <w:r>
              <w:rPr>
                <w:spacing w:val="-2"/>
                <w:sz w:val="24"/>
              </w:rPr>
              <w:t>40.36%</w:t>
            </w:r>
          </w:p>
        </w:tc>
      </w:tr>
      <w:tr>
        <w:trPr>
          <w:trHeight w:val="276" w:hRule="atLeast"/>
        </w:trPr>
        <w:tc>
          <w:tcPr>
            <w:tcW w:w="605" w:type="dxa"/>
          </w:tcPr>
          <w:p>
            <w:pPr>
              <w:pStyle w:val="TableParagraph"/>
              <w:rPr>
                <w:sz w:val="20"/>
              </w:rPr>
            </w:pPr>
          </w:p>
        </w:tc>
        <w:tc>
          <w:tcPr>
            <w:tcW w:w="3263" w:type="dxa"/>
          </w:tcPr>
          <w:p>
            <w:pPr>
              <w:pStyle w:val="TableParagraph"/>
              <w:spacing w:line="256"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respondents</w:t>
            </w:r>
          </w:p>
        </w:tc>
        <w:tc>
          <w:tcPr>
            <w:tcW w:w="993" w:type="dxa"/>
          </w:tcPr>
          <w:p>
            <w:pPr>
              <w:pStyle w:val="TableParagraph"/>
              <w:spacing w:line="256" w:lineRule="exact"/>
              <w:ind w:right="1"/>
              <w:jc w:val="center"/>
              <w:rPr>
                <w:sz w:val="24"/>
              </w:rPr>
            </w:pPr>
            <w:r>
              <w:rPr>
                <w:spacing w:val="-5"/>
                <w:sz w:val="24"/>
              </w:rPr>
              <w:t>32</w:t>
            </w:r>
          </w:p>
        </w:tc>
        <w:tc>
          <w:tcPr>
            <w:tcW w:w="1443" w:type="dxa"/>
          </w:tcPr>
          <w:p>
            <w:pPr>
              <w:pStyle w:val="TableParagraph"/>
              <w:spacing w:line="256" w:lineRule="exact"/>
              <w:ind w:left="2" w:right="3"/>
              <w:jc w:val="center"/>
              <w:rPr>
                <w:sz w:val="24"/>
              </w:rPr>
            </w:pPr>
            <w:r>
              <w:rPr>
                <w:spacing w:val="-5"/>
                <w:sz w:val="24"/>
              </w:rPr>
              <w:t>22</w:t>
            </w:r>
          </w:p>
        </w:tc>
        <w:tc>
          <w:tcPr>
            <w:tcW w:w="1242" w:type="dxa"/>
          </w:tcPr>
          <w:p>
            <w:pPr>
              <w:pStyle w:val="TableParagraph"/>
              <w:spacing w:line="256" w:lineRule="exact"/>
              <w:ind w:left="1" w:right="1"/>
              <w:jc w:val="center"/>
              <w:rPr>
                <w:sz w:val="24"/>
              </w:rPr>
            </w:pPr>
            <w:r>
              <w:rPr>
                <w:spacing w:val="-5"/>
                <w:sz w:val="24"/>
              </w:rPr>
              <w:t>42</w:t>
            </w:r>
          </w:p>
        </w:tc>
        <w:tc>
          <w:tcPr>
            <w:tcW w:w="1312" w:type="dxa"/>
          </w:tcPr>
          <w:p>
            <w:pPr>
              <w:pStyle w:val="TableParagraph"/>
              <w:spacing w:line="256" w:lineRule="exact"/>
              <w:ind w:left="1" w:right="1"/>
              <w:jc w:val="center"/>
              <w:rPr>
                <w:sz w:val="24"/>
              </w:rPr>
            </w:pPr>
            <w:r>
              <w:rPr>
                <w:spacing w:val="-5"/>
                <w:sz w:val="24"/>
              </w:rPr>
              <w:t>69</w:t>
            </w:r>
          </w:p>
        </w:tc>
      </w:tr>
      <w:tr>
        <w:trPr>
          <w:trHeight w:val="280" w:hRule="atLeast"/>
        </w:trPr>
        <w:tc>
          <w:tcPr>
            <w:tcW w:w="605" w:type="dxa"/>
            <w:tcBorders>
              <w:bottom w:val="single" w:sz="8" w:space="0" w:color="000000"/>
            </w:tcBorders>
          </w:tcPr>
          <w:p>
            <w:pPr>
              <w:pStyle w:val="TableParagraph"/>
              <w:rPr>
                <w:sz w:val="20"/>
              </w:rPr>
            </w:pPr>
          </w:p>
        </w:tc>
        <w:tc>
          <w:tcPr>
            <w:tcW w:w="3263" w:type="dxa"/>
            <w:tcBorders>
              <w:bottom w:val="single" w:sz="8" w:space="0" w:color="000000"/>
            </w:tcBorders>
          </w:tcPr>
          <w:p>
            <w:pPr>
              <w:pStyle w:val="TableParagraph"/>
              <w:spacing w:line="261"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responses</w:t>
            </w:r>
          </w:p>
        </w:tc>
        <w:tc>
          <w:tcPr>
            <w:tcW w:w="993" w:type="dxa"/>
            <w:tcBorders>
              <w:bottom w:val="single" w:sz="8" w:space="0" w:color="000000"/>
            </w:tcBorders>
          </w:tcPr>
          <w:p>
            <w:pPr>
              <w:pStyle w:val="TableParagraph"/>
              <w:spacing w:line="261" w:lineRule="exact"/>
              <w:ind w:right="1"/>
              <w:jc w:val="center"/>
              <w:rPr>
                <w:sz w:val="24"/>
              </w:rPr>
            </w:pPr>
            <w:r>
              <w:rPr>
                <w:spacing w:val="-5"/>
                <w:sz w:val="24"/>
              </w:rPr>
              <w:t>66</w:t>
            </w:r>
          </w:p>
        </w:tc>
        <w:tc>
          <w:tcPr>
            <w:tcW w:w="1443" w:type="dxa"/>
            <w:tcBorders>
              <w:bottom w:val="single" w:sz="8" w:space="0" w:color="000000"/>
            </w:tcBorders>
          </w:tcPr>
          <w:p>
            <w:pPr>
              <w:pStyle w:val="TableParagraph"/>
              <w:spacing w:line="261" w:lineRule="exact"/>
              <w:ind w:left="2" w:right="3"/>
              <w:jc w:val="center"/>
              <w:rPr>
                <w:sz w:val="24"/>
              </w:rPr>
            </w:pPr>
            <w:r>
              <w:rPr>
                <w:spacing w:val="-5"/>
                <w:sz w:val="24"/>
              </w:rPr>
              <w:t>81</w:t>
            </w:r>
          </w:p>
        </w:tc>
        <w:tc>
          <w:tcPr>
            <w:tcW w:w="1242" w:type="dxa"/>
            <w:tcBorders>
              <w:bottom w:val="single" w:sz="8" w:space="0" w:color="000000"/>
            </w:tcBorders>
          </w:tcPr>
          <w:p>
            <w:pPr>
              <w:pStyle w:val="TableParagraph"/>
              <w:spacing w:line="261" w:lineRule="exact"/>
              <w:ind w:left="1" w:right="1"/>
              <w:jc w:val="center"/>
              <w:rPr>
                <w:sz w:val="24"/>
              </w:rPr>
            </w:pPr>
            <w:r>
              <w:rPr>
                <w:spacing w:val="-5"/>
                <w:sz w:val="24"/>
              </w:rPr>
              <w:t>96</w:t>
            </w:r>
          </w:p>
        </w:tc>
        <w:tc>
          <w:tcPr>
            <w:tcW w:w="1312" w:type="dxa"/>
            <w:tcBorders>
              <w:bottom w:val="single" w:sz="8" w:space="0" w:color="000000"/>
            </w:tcBorders>
          </w:tcPr>
          <w:p>
            <w:pPr>
              <w:pStyle w:val="TableParagraph"/>
              <w:spacing w:line="261" w:lineRule="exact"/>
              <w:ind w:left="1" w:right="1"/>
              <w:jc w:val="center"/>
              <w:rPr>
                <w:sz w:val="24"/>
              </w:rPr>
            </w:pPr>
            <w:r>
              <w:rPr>
                <w:spacing w:val="-5"/>
                <w:sz w:val="24"/>
              </w:rPr>
              <w:t>166</w:t>
            </w:r>
          </w:p>
        </w:tc>
      </w:tr>
    </w:tbl>
    <w:p>
      <w:pPr>
        <w:pStyle w:val="BodyText"/>
        <w:rPr>
          <w:b/>
        </w:rPr>
      </w:pPr>
    </w:p>
    <w:p>
      <w:pPr>
        <w:pStyle w:val="BodyText"/>
        <w:spacing w:before="2"/>
        <w:rPr>
          <w:b/>
        </w:rPr>
      </w:pPr>
    </w:p>
    <w:p>
      <w:pPr>
        <w:pStyle w:val="BodyText"/>
        <w:spacing w:line="480" w:lineRule="auto" w:before="1"/>
        <w:ind w:left="267" w:right="723"/>
        <w:jc w:val="both"/>
      </w:pPr>
      <w:r>
        <w:rPr/>
        <w:t>Aside</w:t>
      </w:r>
      <w:r>
        <w:rPr>
          <w:spacing w:val="-10"/>
        </w:rPr>
        <w:t> </w:t>
      </w:r>
      <w:r>
        <w:rPr/>
        <w:t>the</w:t>
      </w:r>
      <w:r>
        <w:rPr>
          <w:spacing w:val="-10"/>
        </w:rPr>
        <w:t> </w:t>
      </w:r>
      <w:r>
        <w:rPr/>
        <w:t>varied</w:t>
      </w:r>
      <w:r>
        <w:rPr>
          <w:spacing w:val="-7"/>
        </w:rPr>
        <w:t> </w:t>
      </w:r>
      <w:r>
        <w:rPr/>
        <w:t>water</w:t>
      </w:r>
      <w:r>
        <w:rPr>
          <w:spacing w:val="-11"/>
        </w:rPr>
        <w:t> </w:t>
      </w:r>
      <w:r>
        <w:rPr/>
        <w:t>sources</w:t>
      </w:r>
      <w:r>
        <w:rPr>
          <w:spacing w:val="-9"/>
        </w:rPr>
        <w:t> </w:t>
      </w:r>
      <w:r>
        <w:rPr/>
        <w:t>and</w:t>
      </w:r>
      <w:r>
        <w:rPr>
          <w:spacing w:val="-10"/>
        </w:rPr>
        <w:t> </w:t>
      </w:r>
      <w:r>
        <w:rPr/>
        <w:t>the</w:t>
      </w:r>
      <w:r>
        <w:rPr>
          <w:spacing w:val="-11"/>
        </w:rPr>
        <w:t> </w:t>
      </w:r>
      <w:r>
        <w:rPr/>
        <w:t>uneven</w:t>
      </w:r>
      <w:r>
        <w:rPr>
          <w:spacing w:val="-7"/>
        </w:rPr>
        <w:t> </w:t>
      </w:r>
      <w:r>
        <w:rPr/>
        <w:t>access</w:t>
      </w:r>
      <w:r>
        <w:rPr>
          <w:spacing w:val="-9"/>
        </w:rPr>
        <w:t> </w:t>
      </w:r>
      <w:r>
        <w:rPr/>
        <w:t>by</w:t>
      </w:r>
      <w:r>
        <w:rPr>
          <w:spacing w:val="-12"/>
        </w:rPr>
        <w:t> </w:t>
      </w:r>
      <w:r>
        <w:rPr/>
        <w:t>respondents</w:t>
      </w:r>
      <w:r>
        <w:rPr>
          <w:spacing w:val="-9"/>
        </w:rPr>
        <w:t> </w:t>
      </w:r>
      <w:r>
        <w:rPr/>
        <w:t>to</w:t>
      </w:r>
      <w:r>
        <w:rPr>
          <w:spacing w:val="-9"/>
        </w:rPr>
        <w:t> </w:t>
      </w:r>
      <w:r>
        <w:rPr/>
        <w:t>drinking</w:t>
      </w:r>
      <w:r>
        <w:rPr>
          <w:spacing w:val="-12"/>
        </w:rPr>
        <w:t> </w:t>
      </w:r>
      <w:r>
        <w:rPr/>
        <w:t>water</w:t>
      </w:r>
      <w:r>
        <w:rPr>
          <w:spacing w:val="-10"/>
        </w:rPr>
        <w:t> </w:t>
      </w:r>
      <w:r>
        <w:rPr/>
        <w:t>in</w:t>
      </w:r>
      <w:r>
        <w:rPr>
          <w:spacing w:val="-9"/>
        </w:rPr>
        <w:t> </w:t>
      </w:r>
      <w:r>
        <w:rPr/>
        <w:t>the four (4) neighbourhoods, it can also be inferred from Table 4.3 that with the exception of Maitumbi,</w:t>
      </w:r>
      <w:r>
        <w:rPr>
          <w:spacing w:val="-2"/>
        </w:rPr>
        <w:t> </w:t>
      </w:r>
      <w:r>
        <w:rPr/>
        <w:t>sachet</w:t>
      </w:r>
      <w:r>
        <w:rPr>
          <w:spacing w:val="-2"/>
        </w:rPr>
        <w:t> </w:t>
      </w:r>
      <w:r>
        <w:rPr/>
        <w:t>water</w:t>
      </w:r>
      <w:r>
        <w:rPr>
          <w:spacing w:val="-2"/>
        </w:rPr>
        <w:t> </w:t>
      </w:r>
      <w:r>
        <w:rPr/>
        <w:t>is</w:t>
      </w:r>
      <w:r>
        <w:rPr>
          <w:spacing w:val="-2"/>
        </w:rPr>
        <w:t> </w:t>
      </w:r>
      <w:r>
        <w:rPr/>
        <w:t>nonetheless</w:t>
      </w:r>
      <w:r>
        <w:rPr>
          <w:spacing w:val="-2"/>
        </w:rPr>
        <w:t> </w:t>
      </w:r>
      <w:r>
        <w:rPr/>
        <w:t>the</w:t>
      </w:r>
      <w:r>
        <w:rPr>
          <w:spacing w:val="-3"/>
        </w:rPr>
        <w:t> </w:t>
      </w:r>
      <w:r>
        <w:rPr/>
        <w:t>predominant</w:t>
      </w:r>
      <w:r>
        <w:rPr>
          <w:spacing w:val="-2"/>
        </w:rPr>
        <w:t> </w:t>
      </w:r>
      <w:r>
        <w:rPr/>
        <w:t>source</w:t>
      </w:r>
      <w:r>
        <w:rPr>
          <w:spacing w:val="-3"/>
        </w:rPr>
        <w:t> </w:t>
      </w:r>
      <w:r>
        <w:rPr/>
        <w:t>of</w:t>
      </w:r>
      <w:r>
        <w:rPr>
          <w:spacing w:val="-2"/>
        </w:rPr>
        <w:t> </w:t>
      </w:r>
      <w:r>
        <w:rPr/>
        <w:t>water</w:t>
      </w:r>
      <w:r>
        <w:rPr>
          <w:spacing w:val="-2"/>
        </w:rPr>
        <w:t> </w:t>
      </w:r>
      <w:r>
        <w:rPr/>
        <w:t>used</w:t>
      </w:r>
      <w:r>
        <w:rPr>
          <w:spacing w:val="-2"/>
        </w:rPr>
        <w:t> </w:t>
      </w:r>
      <w:r>
        <w:rPr/>
        <w:t>for</w:t>
      </w:r>
      <w:r>
        <w:rPr>
          <w:spacing w:val="-4"/>
        </w:rPr>
        <w:t> </w:t>
      </w:r>
      <w:r>
        <w:rPr/>
        <w:t>drinking</w:t>
      </w:r>
      <w:r>
        <w:rPr>
          <w:spacing w:val="-5"/>
        </w:rPr>
        <w:t> </w:t>
      </w:r>
      <w:r>
        <w:rPr/>
        <w:t>by respondents outside the formal coverage of public water supply in the study area.</w:t>
      </w:r>
    </w:p>
    <w:p>
      <w:pPr>
        <w:pStyle w:val="BodyText"/>
      </w:pPr>
    </w:p>
    <w:p>
      <w:pPr>
        <w:pStyle w:val="BodyText"/>
        <w:spacing w:before="5"/>
      </w:pPr>
    </w:p>
    <w:p>
      <w:pPr>
        <w:pStyle w:val="Heading1"/>
        <w:numPr>
          <w:ilvl w:val="3"/>
          <w:numId w:val="10"/>
        </w:numPr>
        <w:tabs>
          <w:tab w:pos="987" w:val="left" w:leader="none"/>
        </w:tabs>
        <w:spacing w:line="240" w:lineRule="auto" w:before="0" w:after="0"/>
        <w:ind w:left="987" w:right="733" w:hanging="720"/>
        <w:jc w:val="left"/>
      </w:pPr>
      <w:r>
        <w:rPr/>
        <w:t>Households</w:t>
      </w:r>
      <w:r>
        <w:rPr>
          <w:spacing w:val="40"/>
        </w:rPr>
        <w:t> </w:t>
      </w:r>
      <w:r>
        <w:rPr/>
        <w:t>water</w:t>
      </w:r>
      <w:r>
        <w:rPr>
          <w:spacing w:val="40"/>
        </w:rPr>
        <w:t> </w:t>
      </w:r>
      <w:r>
        <w:rPr/>
        <w:t>sources</w:t>
      </w:r>
      <w:r>
        <w:rPr>
          <w:spacing w:val="40"/>
        </w:rPr>
        <w:t> </w:t>
      </w:r>
      <w:r>
        <w:rPr/>
        <w:t>for</w:t>
      </w:r>
      <w:r>
        <w:rPr>
          <w:spacing w:val="40"/>
        </w:rPr>
        <w:t> </w:t>
      </w:r>
      <w:r>
        <w:rPr/>
        <w:t>drinking</w:t>
      </w:r>
      <w:r>
        <w:rPr>
          <w:spacing w:val="40"/>
        </w:rPr>
        <w:t> </w:t>
      </w:r>
      <w:r>
        <w:rPr/>
        <w:t>in</w:t>
      </w:r>
      <w:r>
        <w:rPr>
          <w:spacing w:val="40"/>
        </w:rPr>
        <w:t> </w:t>
      </w:r>
      <w:r>
        <w:rPr/>
        <w:t>neigbourhoods</w:t>
      </w:r>
      <w:r>
        <w:rPr>
          <w:spacing w:val="40"/>
        </w:rPr>
        <w:t> </w:t>
      </w:r>
      <w:r>
        <w:rPr/>
        <w:t>within</w:t>
      </w:r>
      <w:r>
        <w:rPr>
          <w:spacing w:val="40"/>
        </w:rPr>
        <w:t> </w:t>
      </w:r>
      <w:r>
        <w:rPr/>
        <w:t>the</w:t>
      </w:r>
      <w:r>
        <w:rPr>
          <w:spacing w:val="40"/>
        </w:rPr>
        <w:t> </w:t>
      </w:r>
      <w:r>
        <w:rPr/>
        <w:t>public </w:t>
      </w:r>
      <w:r>
        <w:rPr>
          <w:spacing w:val="-2"/>
        </w:rPr>
        <w:t>mains</w:t>
      </w:r>
    </w:p>
    <w:p>
      <w:pPr>
        <w:pStyle w:val="BodyText"/>
        <w:spacing w:line="480" w:lineRule="auto" w:before="154"/>
        <w:ind w:left="267" w:right="730"/>
        <w:jc w:val="both"/>
      </w:pPr>
      <w:r>
        <w:rPr/>
        <w:t>Table 4.4 shows the percentage distribution of households by</w:t>
      </w:r>
      <w:r>
        <w:rPr>
          <w:spacing w:val="-2"/>
        </w:rPr>
        <w:t> </w:t>
      </w:r>
      <w:r>
        <w:rPr/>
        <w:t>source of drinking water who reside within the public water mains in the study area.</w:t>
      </w:r>
    </w:p>
    <w:p>
      <w:pPr>
        <w:spacing w:after="0" w:line="480" w:lineRule="auto"/>
        <w:jc w:val="both"/>
        <w:sectPr>
          <w:pgSz w:w="12240" w:h="15840"/>
          <w:pgMar w:header="0" w:footer="1068" w:top="1340" w:bottom="1260" w:left="1720" w:right="680"/>
        </w:sectPr>
      </w:pPr>
    </w:p>
    <w:p>
      <w:pPr>
        <w:pStyle w:val="Heading1"/>
        <w:spacing w:before="68" w:after="4"/>
        <w:ind w:right="730"/>
        <w:jc w:val="both"/>
      </w:pPr>
      <w:r>
        <w:rPr/>
        <w:t>Table 4.4: Percentage of Households in Neighbourhoods Within Public Water Mains by Source of Drinking Water</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3180"/>
        <w:gridCol w:w="1431"/>
        <w:gridCol w:w="1544"/>
        <w:gridCol w:w="1014"/>
        <w:gridCol w:w="1084"/>
      </w:tblGrid>
      <w:tr>
        <w:trPr>
          <w:trHeight w:val="551" w:hRule="atLeast"/>
        </w:trPr>
        <w:tc>
          <w:tcPr>
            <w:tcW w:w="605" w:type="dxa"/>
            <w:tcBorders>
              <w:top w:val="single" w:sz="8" w:space="0" w:color="000000"/>
              <w:bottom w:val="single" w:sz="8" w:space="0" w:color="000000"/>
            </w:tcBorders>
          </w:tcPr>
          <w:p>
            <w:pPr>
              <w:pStyle w:val="TableParagraph"/>
              <w:spacing w:line="272" w:lineRule="exact"/>
              <w:ind w:left="122"/>
              <w:rPr>
                <w:b/>
                <w:sz w:val="24"/>
              </w:rPr>
            </w:pPr>
            <w:r>
              <w:rPr>
                <w:b/>
                <w:spacing w:val="-5"/>
                <w:sz w:val="24"/>
              </w:rPr>
              <w:t>S/N</w:t>
            </w:r>
          </w:p>
        </w:tc>
        <w:tc>
          <w:tcPr>
            <w:tcW w:w="3180" w:type="dxa"/>
            <w:tcBorders>
              <w:top w:val="single" w:sz="8" w:space="0" w:color="000000"/>
              <w:bottom w:val="single" w:sz="8" w:space="0" w:color="000000"/>
            </w:tcBorders>
          </w:tcPr>
          <w:p>
            <w:pPr>
              <w:pStyle w:val="TableParagraph"/>
              <w:spacing w:line="272" w:lineRule="exact"/>
              <w:ind w:left="107"/>
              <w:rPr>
                <w:b/>
                <w:sz w:val="24"/>
              </w:rPr>
            </w:pPr>
            <w:r>
              <w:rPr>
                <w:b/>
                <w:sz w:val="24"/>
              </w:rPr>
              <w:t>Water</w:t>
            </w:r>
            <w:r>
              <w:rPr>
                <w:b/>
                <w:spacing w:val="-2"/>
                <w:sz w:val="24"/>
              </w:rPr>
              <w:t> </w:t>
            </w:r>
            <w:r>
              <w:rPr>
                <w:b/>
                <w:sz w:val="24"/>
              </w:rPr>
              <w:t>sources</w:t>
            </w:r>
            <w:r>
              <w:rPr>
                <w:b/>
                <w:spacing w:val="-1"/>
                <w:sz w:val="24"/>
              </w:rPr>
              <w:t> </w:t>
            </w:r>
            <w:r>
              <w:rPr>
                <w:b/>
                <w:sz w:val="24"/>
              </w:rPr>
              <w:t>for</w:t>
            </w:r>
            <w:r>
              <w:rPr>
                <w:b/>
                <w:spacing w:val="-1"/>
                <w:sz w:val="24"/>
              </w:rPr>
              <w:t> </w:t>
            </w:r>
            <w:r>
              <w:rPr>
                <w:b/>
                <w:spacing w:val="-2"/>
                <w:sz w:val="24"/>
              </w:rPr>
              <w:t>Drinking</w:t>
            </w:r>
          </w:p>
        </w:tc>
        <w:tc>
          <w:tcPr>
            <w:tcW w:w="1431" w:type="dxa"/>
            <w:tcBorders>
              <w:top w:val="single" w:sz="8" w:space="0" w:color="000000"/>
              <w:bottom w:val="single" w:sz="8" w:space="0" w:color="000000"/>
            </w:tcBorders>
          </w:tcPr>
          <w:p>
            <w:pPr>
              <w:pStyle w:val="TableParagraph"/>
              <w:spacing w:line="272" w:lineRule="exact"/>
              <w:jc w:val="center"/>
              <w:rPr>
                <w:b/>
                <w:sz w:val="24"/>
              </w:rPr>
            </w:pPr>
            <w:r>
              <w:rPr>
                <w:b/>
                <w:spacing w:val="-2"/>
                <w:sz w:val="24"/>
              </w:rPr>
              <w:t>Dutsenkura</w:t>
            </w:r>
          </w:p>
        </w:tc>
        <w:tc>
          <w:tcPr>
            <w:tcW w:w="1544" w:type="dxa"/>
            <w:tcBorders>
              <w:top w:val="single" w:sz="8" w:space="0" w:color="000000"/>
              <w:bottom w:val="single" w:sz="8" w:space="0" w:color="000000"/>
            </w:tcBorders>
          </w:tcPr>
          <w:p>
            <w:pPr>
              <w:pStyle w:val="TableParagraph"/>
              <w:spacing w:line="272" w:lineRule="exact"/>
              <w:ind w:left="4" w:right="20"/>
              <w:jc w:val="center"/>
              <w:rPr>
                <w:b/>
                <w:sz w:val="24"/>
              </w:rPr>
            </w:pPr>
            <w:r>
              <w:rPr>
                <w:b/>
                <w:spacing w:val="-2"/>
                <w:sz w:val="24"/>
              </w:rPr>
              <w:t>TudunWada</w:t>
            </w:r>
          </w:p>
        </w:tc>
        <w:tc>
          <w:tcPr>
            <w:tcW w:w="1014" w:type="dxa"/>
            <w:tcBorders>
              <w:top w:val="single" w:sz="8" w:space="0" w:color="000000"/>
              <w:bottom w:val="single" w:sz="8" w:space="0" w:color="000000"/>
            </w:tcBorders>
          </w:tcPr>
          <w:p>
            <w:pPr>
              <w:pStyle w:val="TableParagraph"/>
              <w:spacing w:line="272" w:lineRule="exact"/>
              <w:ind w:left="2" w:right="22"/>
              <w:jc w:val="center"/>
              <w:rPr>
                <w:b/>
                <w:sz w:val="24"/>
              </w:rPr>
            </w:pPr>
            <w:r>
              <w:rPr>
                <w:b/>
                <w:spacing w:val="-5"/>
                <w:sz w:val="24"/>
              </w:rPr>
              <w:t>F-</w:t>
            </w:r>
          </w:p>
          <w:p>
            <w:pPr>
              <w:pStyle w:val="TableParagraph"/>
              <w:spacing w:line="259" w:lineRule="exact"/>
              <w:ind w:left="3" w:right="22"/>
              <w:jc w:val="center"/>
              <w:rPr>
                <w:b/>
                <w:sz w:val="24"/>
              </w:rPr>
            </w:pPr>
            <w:r>
              <w:rPr>
                <w:b/>
                <w:spacing w:val="-2"/>
                <w:sz w:val="24"/>
              </w:rPr>
              <w:t>Layout</w:t>
            </w:r>
          </w:p>
        </w:tc>
        <w:tc>
          <w:tcPr>
            <w:tcW w:w="1084" w:type="dxa"/>
            <w:tcBorders>
              <w:top w:val="single" w:sz="8" w:space="0" w:color="000000"/>
              <w:bottom w:val="single" w:sz="8" w:space="0" w:color="000000"/>
            </w:tcBorders>
          </w:tcPr>
          <w:p>
            <w:pPr>
              <w:pStyle w:val="TableParagraph"/>
              <w:spacing w:line="272" w:lineRule="exact"/>
              <w:ind w:left="161"/>
              <w:rPr>
                <w:b/>
                <w:sz w:val="24"/>
              </w:rPr>
            </w:pPr>
            <w:r>
              <w:rPr>
                <w:b/>
                <w:spacing w:val="-2"/>
                <w:sz w:val="24"/>
              </w:rPr>
              <w:t>Minna-</w:t>
            </w:r>
          </w:p>
          <w:p>
            <w:pPr>
              <w:pStyle w:val="TableParagraph"/>
              <w:spacing w:line="259" w:lineRule="exact"/>
              <w:ind w:left="147"/>
              <w:rPr>
                <w:b/>
                <w:sz w:val="24"/>
              </w:rPr>
            </w:pPr>
            <w:r>
              <w:rPr>
                <w:b/>
                <w:spacing w:val="-2"/>
                <w:sz w:val="24"/>
              </w:rPr>
              <w:t>Central</w:t>
            </w:r>
          </w:p>
        </w:tc>
      </w:tr>
      <w:tr>
        <w:trPr>
          <w:trHeight w:val="277" w:hRule="atLeast"/>
        </w:trPr>
        <w:tc>
          <w:tcPr>
            <w:tcW w:w="605" w:type="dxa"/>
            <w:tcBorders>
              <w:top w:val="single" w:sz="8" w:space="0" w:color="000000"/>
            </w:tcBorders>
          </w:tcPr>
          <w:p>
            <w:pPr>
              <w:pStyle w:val="TableParagraph"/>
              <w:spacing w:line="257" w:lineRule="exact"/>
              <w:ind w:left="122"/>
              <w:rPr>
                <w:b/>
                <w:sz w:val="24"/>
              </w:rPr>
            </w:pPr>
            <w:r>
              <w:rPr>
                <w:b/>
                <w:spacing w:val="-10"/>
                <w:sz w:val="24"/>
              </w:rPr>
              <w:t>1</w:t>
            </w:r>
          </w:p>
        </w:tc>
        <w:tc>
          <w:tcPr>
            <w:tcW w:w="3180" w:type="dxa"/>
            <w:tcBorders>
              <w:top w:val="single" w:sz="8" w:space="0" w:color="000000"/>
            </w:tcBorders>
          </w:tcPr>
          <w:p>
            <w:pPr>
              <w:pStyle w:val="TableParagraph"/>
              <w:spacing w:line="257" w:lineRule="exact"/>
              <w:ind w:left="107"/>
              <w:rPr>
                <w:sz w:val="24"/>
              </w:rPr>
            </w:pPr>
            <w:r>
              <w:rPr>
                <w:sz w:val="24"/>
              </w:rPr>
              <w:t>Piped into </w:t>
            </w:r>
            <w:r>
              <w:rPr>
                <w:spacing w:val="-2"/>
                <w:sz w:val="24"/>
              </w:rPr>
              <w:t>dwelling</w:t>
            </w:r>
          </w:p>
        </w:tc>
        <w:tc>
          <w:tcPr>
            <w:tcW w:w="1431" w:type="dxa"/>
            <w:tcBorders>
              <w:top w:val="single" w:sz="8" w:space="0" w:color="000000"/>
            </w:tcBorders>
          </w:tcPr>
          <w:p>
            <w:pPr>
              <w:pStyle w:val="TableParagraph"/>
              <w:spacing w:line="257" w:lineRule="exact"/>
              <w:jc w:val="center"/>
              <w:rPr>
                <w:sz w:val="24"/>
              </w:rPr>
            </w:pPr>
            <w:r>
              <w:rPr>
                <w:spacing w:val="-4"/>
                <w:sz w:val="24"/>
              </w:rPr>
              <w:t>4.92</w:t>
            </w:r>
          </w:p>
        </w:tc>
        <w:tc>
          <w:tcPr>
            <w:tcW w:w="1544" w:type="dxa"/>
            <w:tcBorders>
              <w:top w:val="single" w:sz="8" w:space="0" w:color="000000"/>
            </w:tcBorders>
          </w:tcPr>
          <w:p>
            <w:pPr>
              <w:pStyle w:val="TableParagraph"/>
              <w:spacing w:line="257" w:lineRule="exact"/>
              <w:ind w:left="3" w:right="20"/>
              <w:jc w:val="center"/>
              <w:rPr>
                <w:sz w:val="24"/>
              </w:rPr>
            </w:pPr>
            <w:r>
              <w:rPr>
                <w:spacing w:val="-4"/>
                <w:sz w:val="24"/>
              </w:rPr>
              <w:t>0.97</w:t>
            </w:r>
          </w:p>
        </w:tc>
        <w:tc>
          <w:tcPr>
            <w:tcW w:w="1014" w:type="dxa"/>
            <w:tcBorders>
              <w:top w:val="single" w:sz="8" w:space="0" w:color="000000"/>
            </w:tcBorders>
          </w:tcPr>
          <w:p>
            <w:pPr>
              <w:pStyle w:val="TableParagraph"/>
              <w:spacing w:line="257" w:lineRule="exact"/>
              <w:ind w:right="22"/>
              <w:jc w:val="center"/>
              <w:rPr>
                <w:sz w:val="24"/>
              </w:rPr>
            </w:pPr>
            <w:r>
              <w:rPr>
                <w:spacing w:val="-4"/>
                <w:sz w:val="24"/>
              </w:rPr>
              <w:t>0.00</w:t>
            </w:r>
          </w:p>
        </w:tc>
        <w:tc>
          <w:tcPr>
            <w:tcW w:w="1084" w:type="dxa"/>
            <w:tcBorders>
              <w:top w:val="single" w:sz="8" w:space="0" w:color="000000"/>
            </w:tcBorders>
          </w:tcPr>
          <w:p>
            <w:pPr>
              <w:pStyle w:val="TableParagraph"/>
              <w:spacing w:line="257" w:lineRule="exact"/>
              <w:ind w:left="1" w:right="1"/>
              <w:jc w:val="center"/>
              <w:rPr>
                <w:sz w:val="24"/>
              </w:rPr>
            </w:pPr>
            <w:r>
              <w:rPr>
                <w:spacing w:val="-4"/>
                <w:sz w:val="24"/>
              </w:rPr>
              <w:t>6.91</w:t>
            </w:r>
          </w:p>
        </w:tc>
      </w:tr>
      <w:tr>
        <w:trPr>
          <w:trHeight w:val="276" w:hRule="atLeast"/>
        </w:trPr>
        <w:tc>
          <w:tcPr>
            <w:tcW w:w="605" w:type="dxa"/>
          </w:tcPr>
          <w:p>
            <w:pPr>
              <w:pStyle w:val="TableParagraph"/>
              <w:spacing w:line="256" w:lineRule="exact"/>
              <w:ind w:left="122"/>
              <w:rPr>
                <w:b/>
                <w:sz w:val="24"/>
              </w:rPr>
            </w:pPr>
            <w:r>
              <w:rPr>
                <w:b/>
                <w:spacing w:val="-10"/>
                <w:sz w:val="24"/>
              </w:rPr>
              <w:t>2</w:t>
            </w:r>
          </w:p>
        </w:tc>
        <w:tc>
          <w:tcPr>
            <w:tcW w:w="3180" w:type="dxa"/>
          </w:tcPr>
          <w:p>
            <w:pPr>
              <w:pStyle w:val="TableParagraph"/>
              <w:spacing w:line="256" w:lineRule="exact"/>
              <w:ind w:left="107"/>
              <w:rPr>
                <w:sz w:val="24"/>
              </w:rPr>
            </w:pPr>
            <w:r>
              <w:rPr>
                <w:sz w:val="24"/>
              </w:rPr>
              <w:t>Piped</w:t>
            </w:r>
            <w:r>
              <w:rPr>
                <w:spacing w:val="-13"/>
                <w:sz w:val="24"/>
              </w:rPr>
              <w:t> </w:t>
            </w:r>
            <w:r>
              <w:rPr>
                <w:sz w:val="24"/>
              </w:rPr>
              <w:t>into</w:t>
            </w:r>
            <w:r>
              <w:rPr>
                <w:spacing w:val="-10"/>
                <w:sz w:val="24"/>
              </w:rPr>
              <w:t> </w:t>
            </w:r>
            <w:r>
              <w:rPr>
                <w:spacing w:val="-2"/>
                <w:sz w:val="24"/>
              </w:rPr>
              <w:t>yard/plot/compound</w:t>
            </w:r>
          </w:p>
        </w:tc>
        <w:tc>
          <w:tcPr>
            <w:tcW w:w="1431" w:type="dxa"/>
          </w:tcPr>
          <w:p>
            <w:pPr>
              <w:pStyle w:val="TableParagraph"/>
              <w:spacing w:line="256" w:lineRule="exact"/>
              <w:jc w:val="center"/>
              <w:rPr>
                <w:sz w:val="24"/>
              </w:rPr>
            </w:pPr>
            <w:r>
              <w:rPr>
                <w:spacing w:val="-2"/>
                <w:sz w:val="24"/>
              </w:rPr>
              <w:t>10.66</w:t>
            </w:r>
          </w:p>
        </w:tc>
        <w:tc>
          <w:tcPr>
            <w:tcW w:w="1544" w:type="dxa"/>
          </w:tcPr>
          <w:p>
            <w:pPr>
              <w:pStyle w:val="TableParagraph"/>
              <w:spacing w:line="256" w:lineRule="exact"/>
              <w:ind w:left="3" w:right="20"/>
              <w:jc w:val="center"/>
              <w:rPr>
                <w:sz w:val="24"/>
              </w:rPr>
            </w:pPr>
            <w:r>
              <w:rPr>
                <w:spacing w:val="-4"/>
                <w:sz w:val="24"/>
              </w:rPr>
              <w:t>1.45</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2"/>
                <w:sz w:val="24"/>
              </w:rPr>
              <w:t>10.14</w:t>
            </w:r>
          </w:p>
        </w:tc>
      </w:tr>
      <w:tr>
        <w:trPr>
          <w:trHeight w:val="275" w:hRule="atLeast"/>
        </w:trPr>
        <w:tc>
          <w:tcPr>
            <w:tcW w:w="605" w:type="dxa"/>
          </w:tcPr>
          <w:p>
            <w:pPr>
              <w:pStyle w:val="TableParagraph"/>
              <w:spacing w:line="256" w:lineRule="exact"/>
              <w:ind w:left="122"/>
              <w:rPr>
                <w:b/>
                <w:sz w:val="24"/>
              </w:rPr>
            </w:pPr>
            <w:r>
              <w:rPr>
                <w:b/>
                <w:spacing w:val="-10"/>
                <w:sz w:val="24"/>
              </w:rPr>
              <w:t>3</w:t>
            </w:r>
          </w:p>
        </w:tc>
        <w:tc>
          <w:tcPr>
            <w:tcW w:w="3180" w:type="dxa"/>
          </w:tcPr>
          <w:p>
            <w:pPr>
              <w:pStyle w:val="TableParagraph"/>
              <w:spacing w:line="256" w:lineRule="exact"/>
              <w:ind w:left="107"/>
              <w:rPr>
                <w:sz w:val="24"/>
              </w:rPr>
            </w:pPr>
            <w:r>
              <w:rPr>
                <w:sz w:val="24"/>
              </w:rPr>
              <w:t>Piped</w:t>
            </w:r>
            <w:r>
              <w:rPr>
                <w:spacing w:val="-1"/>
                <w:sz w:val="24"/>
              </w:rPr>
              <w:t> </w:t>
            </w:r>
            <w:r>
              <w:rPr>
                <w:sz w:val="24"/>
              </w:rPr>
              <w:t>water</w:t>
            </w:r>
            <w:r>
              <w:rPr>
                <w:spacing w:val="-3"/>
                <w:sz w:val="24"/>
              </w:rPr>
              <w:t> </w:t>
            </w:r>
            <w:r>
              <w:rPr>
                <w:sz w:val="24"/>
              </w:rPr>
              <w:t>from </w:t>
            </w:r>
            <w:r>
              <w:rPr>
                <w:spacing w:val="-2"/>
                <w:sz w:val="24"/>
              </w:rPr>
              <w:t>neighbor</w:t>
            </w:r>
          </w:p>
        </w:tc>
        <w:tc>
          <w:tcPr>
            <w:tcW w:w="1431" w:type="dxa"/>
          </w:tcPr>
          <w:p>
            <w:pPr>
              <w:pStyle w:val="TableParagraph"/>
              <w:spacing w:line="256" w:lineRule="exact"/>
              <w:jc w:val="center"/>
              <w:rPr>
                <w:sz w:val="24"/>
              </w:rPr>
            </w:pPr>
            <w:r>
              <w:rPr>
                <w:spacing w:val="-4"/>
                <w:sz w:val="24"/>
              </w:rPr>
              <w:t>3.28</w:t>
            </w:r>
          </w:p>
        </w:tc>
        <w:tc>
          <w:tcPr>
            <w:tcW w:w="1544" w:type="dxa"/>
          </w:tcPr>
          <w:p>
            <w:pPr>
              <w:pStyle w:val="TableParagraph"/>
              <w:spacing w:line="256" w:lineRule="exact"/>
              <w:ind w:left="3" w:right="20"/>
              <w:jc w:val="center"/>
              <w:rPr>
                <w:sz w:val="24"/>
              </w:rPr>
            </w:pPr>
            <w:r>
              <w:rPr>
                <w:spacing w:val="-4"/>
                <w:sz w:val="24"/>
              </w:rPr>
              <w:t>0.00</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4"/>
                <w:sz w:val="24"/>
              </w:rPr>
              <w:t>9.68</w:t>
            </w:r>
          </w:p>
        </w:tc>
      </w:tr>
      <w:tr>
        <w:trPr>
          <w:trHeight w:val="275" w:hRule="atLeast"/>
        </w:trPr>
        <w:tc>
          <w:tcPr>
            <w:tcW w:w="605" w:type="dxa"/>
          </w:tcPr>
          <w:p>
            <w:pPr>
              <w:pStyle w:val="TableParagraph"/>
              <w:spacing w:line="256" w:lineRule="exact"/>
              <w:ind w:left="122"/>
              <w:rPr>
                <w:b/>
                <w:sz w:val="24"/>
              </w:rPr>
            </w:pPr>
            <w:r>
              <w:rPr>
                <w:b/>
                <w:spacing w:val="-10"/>
                <w:sz w:val="24"/>
              </w:rPr>
              <w:t>4</w:t>
            </w:r>
          </w:p>
        </w:tc>
        <w:tc>
          <w:tcPr>
            <w:tcW w:w="3180" w:type="dxa"/>
          </w:tcPr>
          <w:p>
            <w:pPr>
              <w:pStyle w:val="TableParagraph"/>
              <w:spacing w:line="256" w:lineRule="exact"/>
              <w:ind w:left="107"/>
              <w:rPr>
                <w:sz w:val="24"/>
              </w:rPr>
            </w:pPr>
            <w:r>
              <w:rPr>
                <w:sz w:val="24"/>
              </w:rPr>
              <w:t>Public</w:t>
            </w:r>
            <w:r>
              <w:rPr>
                <w:spacing w:val="-1"/>
                <w:sz w:val="24"/>
              </w:rPr>
              <w:t> </w:t>
            </w:r>
            <w:r>
              <w:rPr>
                <w:spacing w:val="-5"/>
                <w:sz w:val="24"/>
              </w:rPr>
              <w:t>tap</w:t>
            </w:r>
          </w:p>
        </w:tc>
        <w:tc>
          <w:tcPr>
            <w:tcW w:w="1431" w:type="dxa"/>
          </w:tcPr>
          <w:p>
            <w:pPr>
              <w:pStyle w:val="TableParagraph"/>
              <w:spacing w:line="256" w:lineRule="exact"/>
              <w:jc w:val="center"/>
              <w:rPr>
                <w:sz w:val="24"/>
              </w:rPr>
            </w:pPr>
            <w:r>
              <w:rPr>
                <w:spacing w:val="-4"/>
                <w:sz w:val="24"/>
              </w:rPr>
              <w:t>0.82</w:t>
            </w:r>
          </w:p>
        </w:tc>
        <w:tc>
          <w:tcPr>
            <w:tcW w:w="1544" w:type="dxa"/>
          </w:tcPr>
          <w:p>
            <w:pPr>
              <w:pStyle w:val="TableParagraph"/>
              <w:spacing w:line="256" w:lineRule="exact"/>
              <w:ind w:left="3" w:right="20"/>
              <w:jc w:val="center"/>
              <w:rPr>
                <w:sz w:val="24"/>
              </w:rPr>
            </w:pPr>
            <w:r>
              <w:rPr>
                <w:spacing w:val="-2"/>
                <w:sz w:val="24"/>
              </w:rPr>
              <w:t>13.04</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2"/>
                <w:sz w:val="24"/>
              </w:rPr>
              <w:t>16.59</w:t>
            </w:r>
          </w:p>
        </w:tc>
      </w:tr>
      <w:tr>
        <w:trPr>
          <w:trHeight w:val="274" w:hRule="atLeast"/>
        </w:trPr>
        <w:tc>
          <w:tcPr>
            <w:tcW w:w="605" w:type="dxa"/>
          </w:tcPr>
          <w:p>
            <w:pPr>
              <w:pStyle w:val="TableParagraph"/>
              <w:spacing w:line="255" w:lineRule="exact"/>
              <w:ind w:left="122"/>
              <w:rPr>
                <w:b/>
                <w:sz w:val="24"/>
              </w:rPr>
            </w:pPr>
            <w:r>
              <w:rPr>
                <w:b/>
                <w:spacing w:val="-10"/>
                <w:sz w:val="24"/>
              </w:rPr>
              <w:t>5</w:t>
            </w:r>
          </w:p>
        </w:tc>
        <w:tc>
          <w:tcPr>
            <w:tcW w:w="3180" w:type="dxa"/>
          </w:tcPr>
          <w:p>
            <w:pPr>
              <w:pStyle w:val="TableParagraph"/>
              <w:spacing w:line="255" w:lineRule="exact"/>
              <w:ind w:left="107"/>
              <w:rPr>
                <w:sz w:val="24"/>
              </w:rPr>
            </w:pPr>
            <w:r>
              <w:rPr>
                <w:sz w:val="24"/>
              </w:rPr>
              <w:t>Public</w:t>
            </w:r>
            <w:r>
              <w:rPr>
                <w:spacing w:val="-3"/>
                <w:sz w:val="24"/>
              </w:rPr>
              <w:t> </w:t>
            </w:r>
            <w:r>
              <w:rPr>
                <w:sz w:val="24"/>
              </w:rPr>
              <w:t>covered</w:t>
            </w:r>
            <w:r>
              <w:rPr>
                <w:spacing w:val="-2"/>
                <w:sz w:val="24"/>
              </w:rPr>
              <w:t> borehole</w:t>
            </w:r>
          </w:p>
        </w:tc>
        <w:tc>
          <w:tcPr>
            <w:tcW w:w="1431" w:type="dxa"/>
          </w:tcPr>
          <w:p>
            <w:pPr>
              <w:pStyle w:val="TableParagraph"/>
              <w:spacing w:line="255" w:lineRule="exact"/>
              <w:jc w:val="center"/>
              <w:rPr>
                <w:sz w:val="24"/>
              </w:rPr>
            </w:pPr>
            <w:r>
              <w:rPr>
                <w:spacing w:val="-4"/>
                <w:sz w:val="24"/>
              </w:rPr>
              <w:t>1.64</w:t>
            </w:r>
          </w:p>
        </w:tc>
        <w:tc>
          <w:tcPr>
            <w:tcW w:w="1544" w:type="dxa"/>
          </w:tcPr>
          <w:p>
            <w:pPr>
              <w:pStyle w:val="TableParagraph"/>
              <w:spacing w:line="255" w:lineRule="exact"/>
              <w:ind w:left="3" w:right="20"/>
              <w:jc w:val="center"/>
              <w:rPr>
                <w:sz w:val="24"/>
              </w:rPr>
            </w:pPr>
            <w:r>
              <w:rPr>
                <w:spacing w:val="-4"/>
                <w:sz w:val="24"/>
              </w:rPr>
              <w:t>0.97</w:t>
            </w:r>
          </w:p>
        </w:tc>
        <w:tc>
          <w:tcPr>
            <w:tcW w:w="1014" w:type="dxa"/>
          </w:tcPr>
          <w:p>
            <w:pPr>
              <w:pStyle w:val="TableParagraph"/>
              <w:spacing w:line="255" w:lineRule="exact"/>
              <w:ind w:right="22"/>
              <w:jc w:val="center"/>
              <w:rPr>
                <w:sz w:val="24"/>
              </w:rPr>
            </w:pPr>
            <w:r>
              <w:rPr>
                <w:spacing w:val="-4"/>
                <w:sz w:val="24"/>
              </w:rPr>
              <w:t>0.00</w:t>
            </w:r>
          </w:p>
        </w:tc>
        <w:tc>
          <w:tcPr>
            <w:tcW w:w="1084" w:type="dxa"/>
          </w:tcPr>
          <w:p>
            <w:pPr>
              <w:pStyle w:val="TableParagraph"/>
              <w:spacing w:line="255" w:lineRule="exact"/>
              <w:ind w:left="1" w:right="1"/>
              <w:jc w:val="center"/>
              <w:rPr>
                <w:sz w:val="24"/>
              </w:rPr>
            </w:pPr>
            <w:r>
              <w:rPr>
                <w:spacing w:val="-4"/>
                <w:sz w:val="24"/>
              </w:rPr>
              <w:t>2.30</w:t>
            </w:r>
          </w:p>
        </w:tc>
      </w:tr>
      <w:tr>
        <w:trPr>
          <w:trHeight w:val="274" w:hRule="atLeast"/>
        </w:trPr>
        <w:tc>
          <w:tcPr>
            <w:tcW w:w="605" w:type="dxa"/>
          </w:tcPr>
          <w:p>
            <w:pPr>
              <w:pStyle w:val="TableParagraph"/>
              <w:spacing w:line="255" w:lineRule="exact"/>
              <w:ind w:left="122"/>
              <w:rPr>
                <w:b/>
                <w:sz w:val="24"/>
              </w:rPr>
            </w:pPr>
            <w:r>
              <w:rPr>
                <w:b/>
                <w:spacing w:val="-10"/>
                <w:sz w:val="24"/>
              </w:rPr>
              <w:t>6</w:t>
            </w:r>
          </w:p>
        </w:tc>
        <w:tc>
          <w:tcPr>
            <w:tcW w:w="3180" w:type="dxa"/>
          </w:tcPr>
          <w:p>
            <w:pPr>
              <w:pStyle w:val="TableParagraph"/>
              <w:spacing w:line="255" w:lineRule="exact"/>
              <w:ind w:left="107"/>
              <w:rPr>
                <w:sz w:val="24"/>
              </w:rPr>
            </w:pPr>
            <w:r>
              <w:rPr>
                <w:sz w:val="24"/>
              </w:rPr>
              <w:t>Private</w:t>
            </w:r>
            <w:r>
              <w:rPr>
                <w:spacing w:val="-4"/>
                <w:sz w:val="24"/>
              </w:rPr>
              <w:t> </w:t>
            </w:r>
            <w:r>
              <w:rPr>
                <w:sz w:val="24"/>
              </w:rPr>
              <w:t>covered</w:t>
            </w:r>
            <w:r>
              <w:rPr>
                <w:spacing w:val="-1"/>
                <w:sz w:val="24"/>
              </w:rPr>
              <w:t> </w:t>
            </w:r>
            <w:r>
              <w:rPr>
                <w:sz w:val="24"/>
              </w:rPr>
              <w:t>dug</w:t>
            </w:r>
            <w:r>
              <w:rPr>
                <w:spacing w:val="-3"/>
                <w:sz w:val="24"/>
              </w:rPr>
              <w:t> </w:t>
            </w:r>
            <w:r>
              <w:rPr>
                <w:spacing w:val="-4"/>
                <w:sz w:val="24"/>
              </w:rPr>
              <w:t>well</w:t>
            </w:r>
          </w:p>
        </w:tc>
        <w:tc>
          <w:tcPr>
            <w:tcW w:w="1431" w:type="dxa"/>
          </w:tcPr>
          <w:p>
            <w:pPr>
              <w:pStyle w:val="TableParagraph"/>
              <w:spacing w:line="255" w:lineRule="exact"/>
              <w:jc w:val="center"/>
              <w:rPr>
                <w:sz w:val="24"/>
              </w:rPr>
            </w:pPr>
            <w:r>
              <w:rPr>
                <w:spacing w:val="-4"/>
                <w:sz w:val="24"/>
              </w:rPr>
              <w:t>2.46</w:t>
            </w:r>
          </w:p>
        </w:tc>
        <w:tc>
          <w:tcPr>
            <w:tcW w:w="1544" w:type="dxa"/>
          </w:tcPr>
          <w:p>
            <w:pPr>
              <w:pStyle w:val="TableParagraph"/>
              <w:spacing w:line="255" w:lineRule="exact"/>
              <w:ind w:left="3" w:right="20"/>
              <w:jc w:val="center"/>
              <w:rPr>
                <w:sz w:val="24"/>
              </w:rPr>
            </w:pPr>
            <w:r>
              <w:rPr>
                <w:spacing w:val="-4"/>
                <w:sz w:val="24"/>
              </w:rPr>
              <w:t>8.70</w:t>
            </w:r>
          </w:p>
        </w:tc>
        <w:tc>
          <w:tcPr>
            <w:tcW w:w="1014" w:type="dxa"/>
          </w:tcPr>
          <w:p>
            <w:pPr>
              <w:pStyle w:val="TableParagraph"/>
              <w:spacing w:line="255" w:lineRule="exact"/>
              <w:ind w:right="22"/>
              <w:jc w:val="center"/>
              <w:rPr>
                <w:sz w:val="24"/>
              </w:rPr>
            </w:pPr>
            <w:r>
              <w:rPr>
                <w:spacing w:val="-2"/>
                <w:sz w:val="24"/>
              </w:rPr>
              <w:t>12.12</w:t>
            </w:r>
          </w:p>
        </w:tc>
        <w:tc>
          <w:tcPr>
            <w:tcW w:w="1084" w:type="dxa"/>
          </w:tcPr>
          <w:p>
            <w:pPr>
              <w:pStyle w:val="TableParagraph"/>
              <w:spacing w:line="255" w:lineRule="exact"/>
              <w:ind w:left="1" w:right="1"/>
              <w:jc w:val="center"/>
              <w:rPr>
                <w:sz w:val="24"/>
              </w:rPr>
            </w:pPr>
            <w:r>
              <w:rPr>
                <w:spacing w:val="-4"/>
                <w:sz w:val="24"/>
              </w:rPr>
              <w:t>3.23</w:t>
            </w:r>
          </w:p>
        </w:tc>
      </w:tr>
      <w:tr>
        <w:trPr>
          <w:trHeight w:val="275" w:hRule="atLeast"/>
        </w:trPr>
        <w:tc>
          <w:tcPr>
            <w:tcW w:w="605" w:type="dxa"/>
          </w:tcPr>
          <w:p>
            <w:pPr>
              <w:pStyle w:val="TableParagraph"/>
              <w:spacing w:line="256" w:lineRule="exact"/>
              <w:ind w:left="122"/>
              <w:rPr>
                <w:b/>
                <w:sz w:val="24"/>
              </w:rPr>
            </w:pPr>
            <w:r>
              <w:rPr>
                <w:b/>
                <w:spacing w:val="-10"/>
                <w:sz w:val="24"/>
              </w:rPr>
              <w:t>7</w:t>
            </w:r>
          </w:p>
        </w:tc>
        <w:tc>
          <w:tcPr>
            <w:tcW w:w="3180" w:type="dxa"/>
          </w:tcPr>
          <w:p>
            <w:pPr>
              <w:pStyle w:val="TableParagraph"/>
              <w:spacing w:line="256" w:lineRule="exact"/>
              <w:ind w:left="107"/>
              <w:rPr>
                <w:sz w:val="24"/>
              </w:rPr>
            </w:pPr>
            <w:r>
              <w:rPr>
                <w:sz w:val="24"/>
              </w:rPr>
              <w:t>Rain</w:t>
            </w:r>
            <w:r>
              <w:rPr>
                <w:spacing w:val="-1"/>
                <w:sz w:val="24"/>
              </w:rPr>
              <w:t> </w:t>
            </w:r>
            <w:r>
              <w:rPr>
                <w:spacing w:val="-2"/>
                <w:sz w:val="24"/>
              </w:rPr>
              <w:t>water</w:t>
            </w:r>
          </w:p>
        </w:tc>
        <w:tc>
          <w:tcPr>
            <w:tcW w:w="1431" w:type="dxa"/>
          </w:tcPr>
          <w:p>
            <w:pPr>
              <w:pStyle w:val="TableParagraph"/>
              <w:spacing w:line="256" w:lineRule="exact"/>
              <w:jc w:val="center"/>
              <w:rPr>
                <w:sz w:val="24"/>
              </w:rPr>
            </w:pPr>
            <w:r>
              <w:rPr>
                <w:spacing w:val="-4"/>
                <w:sz w:val="24"/>
              </w:rPr>
              <w:t>3.28</w:t>
            </w:r>
          </w:p>
        </w:tc>
        <w:tc>
          <w:tcPr>
            <w:tcW w:w="1544" w:type="dxa"/>
          </w:tcPr>
          <w:p>
            <w:pPr>
              <w:pStyle w:val="TableParagraph"/>
              <w:spacing w:line="256" w:lineRule="exact"/>
              <w:ind w:left="3" w:right="20"/>
              <w:jc w:val="center"/>
              <w:rPr>
                <w:sz w:val="24"/>
              </w:rPr>
            </w:pPr>
            <w:r>
              <w:rPr>
                <w:spacing w:val="-2"/>
                <w:sz w:val="24"/>
              </w:rPr>
              <w:t>24.15</w:t>
            </w:r>
          </w:p>
        </w:tc>
        <w:tc>
          <w:tcPr>
            <w:tcW w:w="1014" w:type="dxa"/>
          </w:tcPr>
          <w:p>
            <w:pPr>
              <w:pStyle w:val="TableParagraph"/>
              <w:spacing w:line="256" w:lineRule="exact"/>
              <w:ind w:right="22"/>
              <w:jc w:val="center"/>
              <w:rPr>
                <w:sz w:val="24"/>
              </w:rPr>
            </w:pPr>
            <w:r>
              <w:rPr>
                <w:spacing w:val="-4"/>
                <w:sz w:val="24"/>
              </w:rPr>
              <w:t>9.09</w:t>
            </w:r>
          </w:p>
        </w:tc>
        <w:tc>
          <w:tcPr>
            <w:tcW w:w="1084" w:type="dxa"/>
          </w:tcPr>
          <w:p>
            <w:pPr>
              <w:pStyle w:val="TableParagraph"/>
              <w:spacing w:line="256" w:lineRule="exact"/>
              <w:ind w:left="1" w:right="1"/>
              <w:jc w:val="center"/>
              <w:rPr>
                <w:sz w:val="24"/>
              </w:rPr>
            </w:pPr>
            <w:r>
              <w:rPr>
                <w:spacing w:val="-4"/>
                <w:sz w:val="24"/>
              </w:rPr>
              <w:t>5.99</w:t>
            </w:r>
          </w:p>
        </w:tc>
      </w:tr>
      <w:tr>
        <w:trPr>
          <w:trHeight w:val="276" w:hRule="atLeast"/>
        </w:trPr>
        <w:tc>
          <w:tcPr>
            <w:tcW w:w="605" w:type="dxa"/>
          </w:tcPr>
          <w:p>
            <w:pPr>
              <w:pStyle w:val="TableParagraph"/>
              <w:spacing w:line="256" w:lineRule="exact"/>
              <w:ind w:left="122"/>
              <w:rPr>
                <w:b/>
                <w:sz w:val="24"/>
              </w:rPr>
            </w:pPr>
            <w:r>
              <w:rPr>
                <w:b/>
                <w:spacing w:val="-10"/>
                <w:sz w:val="24"/>
              </w:rPr>
              <w:t>8</w:t>
            </w:r>
          </w:p>
        </w:tc>
        <w:tc>
          <w:tcPr>
            <w:tcW w:w="3180" w:type="dxa"/>
          </w:tcPr>
          <w:p>
            <w:pPr>
              <w:pStyle w:val="TableParagraph"/>
              <w:spacing w:line="256" w:lineRule="exact"/>
              <w:ind w:left="107"/>
              <w:rPr>
                <w:sz w:val="24"/>
              </w:rPr>
            </w:pPr>
            <w:r>
              <w:rPr>
                <w:sz w:val="24"/>
              </w:rPr>
              <w:t>Public</w:t>
            </w:r>
            <w:r>
              <w:rPr>
                <w:spacing w:val="-2"/>
                <w:sz w:val="24"/>
              </w:rPr>
              <w:t> </w:t>
            </w:r>
            <w:r>
              <w:rPr>
                <w:sz w:val="24"/>
              </w:rPr>
              <w:t>open </w:t>
            </w:r>
            <w:r>
              <w:rPr>
                <w:spacing w:val="-2"/>
                <w:sz w:val="24"/>
              </w:rPr>
              <w:t>borehole</w:t>
            </w:r>
          </w:p>
        </w:tc>
        <w:tc>
          <w:tcPr>
            <w:tcW w:w="1431" w:type="dxa"/>
          </w:tcPr>
          <w:p>
            <w:pPr>
              <w:pStyle w:val="TableParagraph"/>
              <w:spacing w:line="256" w:lineRule="exact"/>
              <w:jc w:val="center"/>
              <w:rPr>
                <w:sz w:val="24"/>
              </w:rPr>
            </w:pPr>
            <w:r>
              <w:rPr>
                <w:spacing w:val="-4"/>
                <w:sz w:val="24"/>
              </w:rPr>
              <w:t>0.82</w:t>
            </w:r>
          </w:p>
        </w:tc>
        <w:tc>
          <w:tcPr>
            <w:tcW w:w="1544" w:type="dxa"/>
          </w:tcPr>
          <w:p>
            <w:pPr>
              <w:pStyle w:val="TableParagraph"/>
              <w:spacing w:line="256" w:lineRule="exact"/>
              <w:ind w:left="3" w:right="20"/>
              <w:jc w:val="center"/>
              <w:rPr>
                <w:sz w:val="24"/>
              </w:rPr>
            </w:pPr>
            <w:r>
              <w:rPr>
                <w:spacing w:val="-4"/>
                <w:sz w:val="24"/>
              </w:rPr>
              <w:t>1.45</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4"/>
                <w:sz w:val="24"/>
              </w:rPr>
              <w:t>4.15</w:t>
            </w:r>
          </w:p>
        </w:tc>
      </w:tr>
      <w:tr>
        <w:trPr>
          <w:trHeight w:val="276" w:hRule="atLeast"/>
        </w:trPr>
        <w:tc>
          <w:tcPr>
            <w:tcW w:w="605" w:type="dxa"/>
          </w:tcPr>
          <w:p>
            <w:pPr>
              <w:pStyle w:val="TableParagraph"/>
              <w:spacing w:line="256" w:lineRule="exact"/>
              <w:ind w:left="122"/>
              <w:rPr>
                <w:b/>
                <w:sz w:val="24"/>
              </w:rPr>
            </w:pPr>
            <w:r>
              <w:rPr>
                <w:b/>
                <w:spacing w:val="-10"/>
                <w:sz w:val="24"/>
              </w:rPr>
              <w:t>9</w:t>
            </w:r>
          </w:p>
        </w:tc>
        <w:tc>
          <w:tcPr>
            <w:tcW w:w="3180" w:type="dxa"/>
          </w:tcPr>
          <w:p>
            <w:pPr>
              <w:pStyle w:val="TableParagraph"/>
              <w:spacing w:line="256" w:lineRule="exact"/>
              <w:ind w:left="107"/>
              <w:rPr>
                <w:sz w:val="24"/>
              </w:rPr>
            </w:pPr>
            <w:r>
              <w:rPr>
                <w:sz w:val="24"/>
              </w:rPr>
              <w:t>Bottled</w:t>
            </w:r>
            <w:r>
              <w:rPr>
                <w:spacing w:val="-4"/>
                <w:sz w:val="24"/>
              </w:rPr>
              <w:t> </w:t>
            </w:r>
            <w:r>
              <w:rPr>
                <w:spacing w:val="-2"/>
                <w:sz w:val="24"/>
              </w:rPr>
              <w:t>water</w:t>
            </w:r>
          </w:p>
        </w:tc>
        <w:tc>
          <w:tcPr>
            <w:tcW w:w="1431" w:type="dxa"/>
          </w:tcPr>
          <w:p>
            <w:pPr>
              <w:pStyle w:val="TableParagraph"/>
              <w:spacing w:line="256" w:lineRule="exact"/>
              <w:jc w:val="center"/>
              <w:rPr>
                <w:sz w:val="24"/>
              </w:rPr>
            </w:pPr>
            <w:r>
              <w:rPr>
                <w:spacing w:val="-2"/>
                <w:sz w:val="24"/>
              </w:rPr>
              <w:t>25.41</w:t>
            </w:r>
          </w:p>
        </w:tc>
        <w:tc>
          <w:tcPr>
            <w:tcW w:w="1544" w:type="dxa"/>
          </w:tcPr>
          <w:p>
            <w:pPr>
              <w:pStyle w:val="TableParagraph"/>
              <w:spacing w:line="256" w:lineRule="exact"/>
              <w:ind w:left="3" w:right="20"/>
              <w:jc w:val="center"/>
              <w:rPr>
                <w:sz w:val="24"/>
              </w:rPr>
            </w:pPr>
            <w:r>
              <w:rPr>
                <w:spacing w:val="-4"/>
                <w:sz w:val="24"/>
              </w:rPr>
              <w:t>7.73</w:t>
            </w:r>
          </w:p>
        </w:tc>
        <w:tc>
          <w:tcPr>
            <w:tcW w:w="1014" w:type="dxa"/>
          </w:tcPr>
          <w:p>
            <w:pPr>
              <w:pStyle w:val="TableParagraph"/>
              <w:spacing w:line="256" w:lineRule="exact"/>
              <w:ind w:right="22"/>
              <w:jc w:val="center"/>
              <w:rPr>
                <w:sz w:val="24"/>
              </w:rPr>
            </w:pPr>
            <w:r>
              <w:rPr>
                <w:spacing w:val="-2"/>
                <w:sz w:val="24"/>
              </w:rPr>
              <w:t>21.21</w:t>
            </w:r>
          </w:p>
        </w:tc>
        <w:tc>
          <w:tcPr>
            <w:tcW w:w="1084" w:type="dxa"/>
          </w:tcPr>
          <w:p>
            <w:pPr>
              <w:pStyle w:val="TableParagraph"/>
              <w:spacing w:line="256" w:lineRule="exact"/>
              <w:ind w:left="1" w:right="1"/>
              <w:jc w:val="center"/>
              <w:rPr>
                <w:sz w:val="24"/>
              </w:rPr>
            </w:pPr>
            <w:r>
              <w:rPr>
                <w:spacing w:val="-4"/>
                <w:sz w:val="24"/>
              </w:rPr>
              <w:t>0.46</w:t>
            </w:r>
          </w:p>
        </w:tc>
      </w:tr>
      <w:tr>
        <w:trPr>
          <w:trHeight w:val="276" w:hRule="atLeast"/>
        </w:trPr>
        <w:tc>
          <w:tcPr>
            <w:tcW w:w="605" w:type="dxa"/>
          </w:tcPr>
          <w:p>
            <w:pPr>
              <w:pStyle w:val="TableParagraph"/>
              <w:spacing w:line="256" w:lineRule="exact"/>
              <w:ind w:left="122"/>
              <w:rPr>
                <w:b/>
                <w:sz w:val="24"/>
              </w:rPr>
            </w:pPr>
            <w:r>
              <w:rPr>
                <w:b/>
                <w:spacing w:val="-5"/>
                <w:sz w:val="24"/>
              </w:rPr>
              <w:t>10</w:t>
            </w:r>
          </w:p>
        </w:tc>
        <w:tc>
          <w:tcPr>
            <w:tcW w:w="3180" w:type="dxa"/>
          </w:tcPr>
          <w:p>
            <w:pPr>
              <w:pStyle w:val="TableParagraph"/>
              <w:spacing w:line="256" w:lineRule="exact"/>
              <w:ind w:left="107"/>
              <w:rPr>
                <w:sz w:val="24"/>
              </w:rPr>
            </w:pPr>
            <w:r>
              <w:rPr>
                <w:sz w:val="24"/>
              </w:rPr>
              <w:t>Private</w:t>
            </w:r>
            <w:r>
              <w:rPr>
                <w:spacing w:val="-4"/>
                <w:sz w:val="24"/>
              </w:rPr>
              <w:t> </w:t>
            </w:r>
            <w:r>
              <w:rPr>
                <w:sz w:val="24"/>
              </w:rPr>
              <w:t>unprotected</w:t>
            </w:r>
            <w:r>
              <w:rPr>
                <w:spacing w:val="-2"/>
                <w:sz w:val="24"/>
              </w:rPr>
              <w:t> </w:t>
            </w:r>
            <w:r>
              <w:rPr>
                <w:sz w:val="24"/>
              </w:rPr>
              <w:t>dug</w:t>
            </w:r>
            <w:r>
              <w:rPr>
                <w:spacing w:val="-2"/>
                <w:sz w:val="24"/>
              </w:rPr>
              <w:t> </w:t>
            </w:r>
            <w:r>
              <w:rPr>
                <w:spacing w:val="-4"/>
                <w:sz w:val="24"/>
              </w:rPr>
              <w:t>well</w:t>
            </w:r>
          </w:p>
        </w:tc>
        <w:tc>
          <w:tcPr>
            <w:tcW w:w="1431" w:type="dxa"/>
          </w:tcPr>
          <w:p>
            <w:pPr>
              <w:pStyle w:val="TableParagraph"/>
              <w:spacing w:line="256" w:lineRule="exact"/>
              <w:jc w:val="center"/>
              <w:rPr>
                <w:sz w:val="24"/>
              </w:rPr>
            </w:pPr>
            <w:r>
              <w:rPr>
                <w:spacing w:val="-4"/>
                <w:sz w:val="24"/>
              </w:rPr>
              <w:t>0.00</w:t>
            </w:r>
          </w:p>
        </w:tc>
        <w:tc>
          <w:tcPr>
            <w:tcW w:w="1544" w:type="dxa"/>
          </w:tcPr>
          <w:p>
            <w:pPr>
              <w:pStyle w:val="TableParagraph"/>
              <w:spacing w:line="256" w:lineRule="exact"/>
              <w:ind w:left="3" w:right="20"/>
              <w:jc w:val="center"/>
              <w:rPr>
                <w:sz w:val="24"/>
              </w:rPr>
            </w:pPr>
            <w:r>
              <w:rPr>
                <w:spacing w:val="-4"/>
                <w:sz w:val="24"/>
              </w:rPr>
              <w:t>0.48</w:t>
            </w:r>
          </w:p>
        </w:tc>
        <w:tc>
          <w:tcPr>
            <w:tcW w:w="1014" w:type="dxa"/>
          </w:tcPr>
          <w:p>
            <w:pPr>
              <w:pStyle w:val="TableParagraph"/>
              <w:spacing w:line="256" w:lineRule="exact"/>
              <w:ind w:right="22"/>
              <w:jc w:val="center"/>
              <w:rPr>
                <w:sz w:val="24"/>
              </w:rPr>
            </w:pPr>
            <w:r>
              <w:rPr>
                <w:spacing w:val="-4"/>
                <w:sz w:val="24"/>
              </w:rPr>
              <w:t>6.06</w:t>
            </w:r>
          </w:p>
        </w:tc>
        <w:tc>
          <w:tcPr>
            <w:tcW w:w="1084" w:type="dxa"/>
          </w:tcPr>
          <w:p>
            <w:pPr>
              <w:pStyle w:val="TableParagraph"/>
              <w:spacing w:line="256" w:lineRule="exact"/>
              <w:ind w:left="1" w:right="1"/>
              <w:jc w:val="center"/>
              <w:rPr>
                <w:sz w:val="24"/>
              </w:rPr>
            </w:pPr>
            <w:r>
              <w:rPr>
                <w:spacing w:val="-4"/>
                <w:sz w:val="24"/>
              </w:rPr>
              <w:t>0.46</w:t>
            </w:r>
          </w:p>
        </w:tc>
      </w:tr>
      <w:tr>
        <w:trPr>
          <w:trHeight w:val="275" w:hRule="atLeast"/>
        </w:trPr>
        <w:tc>
          <w:tcPr>
            <w:tcW w:w="605" w:type="dxa"/>
          </w:tcPr>
          <w:p>
            <w:pPr>
              <w:pStyle w:val="TableParagraph"/>
              <w:spacing w:line="256" w:lineRule="exact"/>
              <w:ind w:left="122"/>
              <w:rPr>
                <w:b/>
                <w:sz w:val="24"/>
              </w:rPr>
            </w:pPr>
            <w:r>
              <w:rPr>
                <w:b/>
                <w:spacing w:val="-5"/>
                <w:sz w:val="24"/>
              </w:rPr>
              <w:t>11</w:t>
            </w:r>
          </w:p>
        </w:tc>
        <w:tc>
          <w:tcPr>
            <w:tcW w:w="3180" w:type="dxa"/>
          </w:tcPr>
          <w:p>
            <w:pPr>
              <w:pStyle w:val="TableParagraph"/>
              <w:spacing w:line="256" w:lineRule="exact"/>
              <w:ind w:left="107"/>
              <w:rPr>
                <w:sz w:val="24"/>
              </w:rPr>
            </w:pPr>
            <w:r>
              <w:rPr>
                <w:sz w:val="24"/>
              </w:rPr>
              <w:t>Tanker</w:t>
            </w:r>
            <w:r>
              <w:rPr>
                <w:spacing w:val="-5"/>
                <w:sz w:val="24"/>
              </w:rPr>
              <w:t> </w:t>
            </w:r>
            <w:r>
              <w:rPr>
                <w:spacing w:val="-2"/>
                <w:sz w:val="24"/>
              </w:rPr>
              <w:t>truck</w:t>
            </w:r>
          </w:p>
        </w:tc>
        <w:tc>
          <w:tcPr>
            <w:tcW w:w="1431" w:type="dxa"/>
          </w:tcPr>
          <w:p>
            <w:pPr>
              <w:pStyle w:val="TableParagraph"/>
              <w:spacing w:line="256" w:lineRule="exact"/>
              <w:jc w:val="center"/>
              <w:rPr>
                <w:sz w:val="24"/>
              </w:rPr>
            </w:pPr>
            <w:r>
              <w:rPr>
                <w:spacing w:val="-4"/>
                <w:sz w:val="24"/>
              </w:rPr>
              <w:t>0.00</w:t>
            </w:r>
          </w:p>
        </w:tc>
        <w:tc>
          <w:tcPr>
            <w:tcW w:w="1544" w:type="dxa"/>
          </w:tcPr>
          <w:p>
            <w:pPr>
              <w:pStyle w:val="TableParagraph"/>
              <w:spacing w:line="256" w:lineRule="exact"/>
              <w:ind w:left="3" w:right="20"/>
              <w:jc w:val="center"/>
              <w:rPr>
                <w:sz w:val="24"/>
              </w:rPr>
            </w:pPr>
            <w:r>
              <w:rPr>
                <w:spacing w:val="-4"/>
                <w:sz w:val="24"/>
              </w:rPr>
              <w:t>0.97</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4"/>
                <w:sz w:val="24"/>
              </w:rPr>
              <w:t>1.38</w:t>
            </w:r>
          </w:p>
        </w:tc>
      </w:tr>
      <w:tr>
        <w:trPr>
          <w:trHeight w:val="276" w:hRule="atLeast"/>
        </w:trPr>
        <w:tc>
          <w:tcPr>
            <w:tcW w:w="605" w:type="dxa"/>
          </w:tcPr>
          <w:p>
            <w:pPr>
              <w:pStyle w:val="TableParagraph"/>
              <w:spacing w:line="256" w:lineRule="exact"/>
              <w:ind w:left="122"/>
              <w:rPr>
                <w:b/>
                <w:sz w:val="24"/>
              </w:rPr>
            </w:pPr>
            <w:r>
              <w:rPr>
                <w:b/>
                <w:spacing w:val="-5"/>
                <w:sz w:val="24"/>
              </w:rPr>
              <w:t>12</w:t>
            </w:r>
          </w:p>
        </w:tc>
        <w:tc>
          <w:tcPr>
            <w:tcW w:w="3180" w:type="dxa"/>
          </w:tcPr>
          <w:p>
            <w:pPr>
              <w:pStyle w:val="TableParagraph"/>
              <w:spacing w:line="256" w:lineRule="exact"/>
              <w:ind w:left="107"/>
              <w:rPr>
                <w:sz w:val="24"/>
              </w:rPr>
            </w:pPr>
            <w:r>
              <w:rPr>
                <w:sz w:val="24"/>
              </w:rPr>
              <w:t>Water</w:t>
            </w:r>
            <w:r>
              <w:rPr>
                <w:spacing w:val="-3"/>
                <w:sz w:val="24"/>
              </w:rPr>
              <w:t> </w:t>
            </w:r>
            <w:r>
              <w:rPr>
                <w:sz w:val="24"/>
              </w:rPr>
              <w:t>vendor/Cart</w:t>
            </w:r>
            <w:r>
              <w:rPr>
                <w:spacing w:val="-1"/>
                <w:sz w:val="24"/>
              </w:rPr>
              <w:t> </w:t>
            </w:r>
            <w:r>
              <w:rPr>
                <w:sz w:val="24"/>
              </w:rPr>
              <w:t>with</w:t>
            </w:r>
            <w:r>
              <w:rPr>
                <w:spacing w:val="-1"/>
                <w:sz w:val="24"/>
              </w:rPr>
              <w:t> </w:t>
            </w:r>
            <w:r>
              <w:rPr>
                <w:spacing w:val="-4"/>
                <w:sz w:val="24"/>
              </w:rPr>
              <w:t>tank</w:t>
            </w:r>
          </w:p>
        </w:tc>
        <w:tc>
          <w:tcPr>
            <w:tcW w:w="1431" w:type="dxa"/>
          </w:tcPr>
          <w:p>
            <w:pPr>
              <w:pStyle w:val="TableParagraph"/>
              <w:spacing w:line="256" w:lineRule="exact"/>
              <w:jc w:val="center"/>
              <w:rPr>
                <w:sz w:val="24"/>
              </w:rPr>
            </w:pPr>
            <w:r>
              <w:rPr>
                <w:spacing w:val="-4"/>
                <w:sz w:val="24"/>
              </w:rPr>
              <w:t>1.64</w:t>
            </w:r>
          </w:p>
        </w:tc>
        <w:tc>
          <w:tcPr>
            <w:tcW w:w="1544" w:type="dxa"/>
          </w:tcPr>
          <w:p>
            <w:pPr>
              <w:pStyle w:val="TableParagraph"/>
              <w:spacing w:line="256" w:lineRule="exact"/>
              <w:ind w:left="3" w:right="20"/>
              <w:jc w:val="center"/>
              <w:rPr>
                <w:sz w:val="24"/>
              </w:rPr>
            </w:pPr>
            <w:r>
              <w:rPr>
                <w:spacing w:val="-2"/>
                <w:sz w:val="24"/>
              </w:rPr>
              <w:t>12.56</w:t>
            </w:r>
          </w:p>
        </w:tc>
        <w:tc>
          <w:tcPr>
            <w:tcW w:w="1014" w:type="dxa"/>
          </w:tcPr>
          <w:p>
            <w:pPr>
              <w:pStyle w:val="TableParagraph"/>
              <w:spacing w:line="256" w:lineRule="exact"/>
              <w:ind w:right="22"/>
              <w:jc w:val="center"/>
              <w:rPr>
                <w:sz w:val="24"/>
              </w:rPr>
            </w:pPr>
            <w:r>
              <w:rPr>
                <w:spacing w:val="-4"/>
                <w:sz w:val="24"/>
              </w:rPr>
              <w:t>3.03</w:t>
            </w:r>
          </w:p>
        </w:tc>
        <w:tc>
          <w:tcPr>
            <w:tcW w:w="1084" w:type="dxa"/>
          </w:tcPr>
          <w:p>
            <w:pPr>
              <w:pStyle w:val="TableParagraph"/>
              <w:spacing w:line="256" w:lineRule="exact"/>
              <w:ind w:left="1" w:right="1"/>
              <w:jc w:val="center"/>
              <w:rPr>
                <w:sz w:val="24"/>
              </w:rPr>
            </w:pPr>
            <w:r>
              <w:rPr>
                <w:spacing w:val="-4"/>
                <w:sz w:val="24"/>
              </w:rPr>
              <w:t>9.68</w:t>
            </w:r>
          </w:p>
        </w:tc>
      </w:tr>
      <w:tr>
        <w:trPr>
          <w:trHeight w:val="275" w:hRule="atLeast"/>
        </w:trPr>
        <w:tc>
          <w:tcPr>
            <w:tcW w:w="605" w:type="dxa"/>
          </w:tcPr>
          <w:p>
            <w:pPr>
              <w:pStyle w:val="TableParagraph"/>
              <w:spacing w:line="256" w:lineRule="exact"/>
              <w:ind w:left="122"/>
              <w:rPr>
                <w:b/>
                <w:sz w:val="24"/>
              </w:rPr>
            </w:pPr>
            <w:r>
              <w:rPr>
                <w:b/>
                <w:spacing w:val="-5"/>
                <w:sz w:val="24"/>
              </w:rPr>
              <w:t>13</w:t>
            </w:r>
          </w:p>
        </w:tc>
        <w:tc>
          <w:tcPr>
            <w:tcW w:w="3180" w:type="dxa"/>
          </w:tcPr>
          <w:p>
            <w:pPr>
              <w:pStyle w:val="TableParagraph"/>
              <w:spacing w:line="256" w:lineRule="exact"/>
              <w:ind w:left="107"/>
              <w:rPr>
                <w:sz w:val="24"/>
              </w:rPr>
            </w:pPr>
            <w:r>
              <w:rPr>
                <w:sz w:val="24"/>
              </w:rPr>
              <w:t>River</w:t>
            </w:r>
            <w:r>
              <w:rPr>
                <w:spacing w:val="-3"/>
                <w:sz w:val="24"/>
              </w:rPr>
              <w:t> </w:t>
            </w:r>
            <w:r>
              <w:rPr>
                <w:sz w:val="24"/>
              </w:rPr>
              <w:t>and </w:t>
            </w:r>
            <w:r>
              <w:rPr>
                <w:spacing w:val="-2"/>
                <w:sz w:val="24"/>
              </w:rPr>
              <w:t>stream</w:t>
            </w:r>
          </w:p>
        </w:tc>
        <w:tc>
          <w:tcPr>
            <w:tcW w:w="1431" w:type="dxa"/>
          </w:tcPr>
          <w:p>
            <w:pPr>
              <w:pStyle w:val="TableParagraph"/>
              <w:spacing w:line="256" w:lineRule="exact"/>
              <w:jc w:val="center"/>
              <w:rPr>
                <w:sz w:val="24"/>
              </w:rPr>
            </w:pPr>
            <w:r>
              <w:rPr>
                <w:spacing w:val="-4"/>
                <w:sz w:val="24"/>
              </w:rPr>
              <w:t>0.00</w:t>
            </w:r>
          </w:p>
        </w:tc>
        <w:tc>
          <w:tcPr>
            <w:tcW w:w="1544" w:type="dxa"/>
          </w:tcPr>
          <w:p>
            <w:pPr>
              <w:pStyle w:val="TableParagraph"/>
              <w:spacing w:line="256" w:lineRule="exact"/>
              <w:ind w:left="3" w:right="20"/>
              <w:jc w:val="center"/>
              <w:rPr>
                <w:sz w:val="24"/>
              </w:rPr>
            </w:pPr>
            <w:r>
              <w:rPr>
                <w:spacing w:val="-4"/>
                <w:sz w:val="24"/>
              </w:rPr>
              <w:t>0.97</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14</w:t>
            </w:r>
          </w:p>
        </w:tc>
        <w:tc>
          <w:tcPr>
            <w:tcW w:w="3180" w:type="dxa"/>
          </w:tcPr>
          <w:p>
            <w:pPr>
              <w:pStyle w:val="TableParagraph"/>
              <w:spacing w:line="256" w:lineRule="exact"/>
              <w:ind w:left="107"/>
              <w:rPr>
                <w:sz w:val="24"/>
              </w:rPr>
            </w:pPr>
            <w:r>
              <w:rPr>
                <w:sz w:val="24"/>
              </w:rPr>
              <w:t>Pond</w:t>
            </w:r>
            <w:r>
              <w:rPr>
                <w:spacing w:val="-1"/>
                <w:sz w:val="24"/>
              </w:rPr>
              <w:t> </w:t>
            </w:r>
            <w:r>
              <w:rPr>
                <w:sz w:val="24"/>
              </w:rPr>
              <w:t>and </w:t>
            </w:r>
            <w:r>
              <w:rPr>
                <w:spacing w:val="-4"/>
                <w:sz w:val="24"/>
              </w:rPr>
              <w:t>lake</w:t>
            </w:r>
          </w:p>
        </w:tc>
        <w:tc>
          <w:tcPr>
            <w:tcW w:w="1431" w:type="dxa"/>
          </w:tcPr>
          <w:p>
            <w:pPr>
              <w:pStyle w:val="TableParagraph"/>
              <w:spacing w:line="256" w:lineRule="exact"/>
              <w:jc w:val="center"/>
              <w:rPr>
                <w:sz w:val="24"/>
              </w:rPr>
            </w:pPr>
            <w:r>
              <w:rPr>
                <w:spacing w:val="-4"/>
                <w:sz w:val="24"/>
              </w:rPr>
              <w:t>0.00</w:t>
            </w:r>
          </w:p>
        </w:tc>
        <w:tc>
          <w:tcPr>
            <w:tcW w:w="1544" w:type="dxa"/>
          </w:tcPr>
          <w:p>
            <w:pPr>
              <w:pStyle w:val="TableParagraph"/>
              <w:spacing w:line="256" w:lineRule="exact"/>
              <w:ind w:left="3" w:right="20"/>
              <w:jc w:val="center"/>
              <w:rPr>
                <w:sz w:val="24"/>
              </w:rPr>
            </w:pPr>
            <w:r>
              <w:rPr>
                <w:spacing w:val="-4"/>
                <w:sz w:val="24"/>
              </w:rPr>
              <w:t>0.00</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15</w:t>
            </w:r>
          </w:p>
        </w:tc>
        <w:tc>
          <w:tcPr>
            <w:tcW w:w="3180" w:type="dxa"/>
          </w:tcPr>
          <w:p>
            <w:pPr>
              <w:pStyle w:val="TableParagraph"/>
              <w:spacing w:line="256" w:lineRule="exact"/>
              <w:ind w:left="107"/>
              <w:rPr>
                <w:sz w:val="24"/>
              </w:rPr>
            </w:pPr>
            <w:r>
              <w:rPr>
                <w:sz w:val="24"/>
              </w:rPr>
              <w:t>Dugout</w:t>
            </w:r>
            <w:r>
              <w:rPr>
                <w:spacing w:val="-3"/>
                <w:sz w:val="24"/>
              </w:rPr>
              <w:t> </w:t>
            </w:r>
            <w:r>
              <w:rPr>
                <w:sz w:val="24"/>
              </w:rPr>
              <w:t>and</w:t>
            </w:r>
            <w:r>
              <w:rPr>
                <w:spacing w:val="-1"/>
                <w:sz w:val="24"/>
              </w:rPr>
              <w:t> </w:t>
            </w:r>
            <w:r>
              <w:rPr>
                <w:sz w:val="24"/>
              </w:rPr>
              <w:t>shallow</w:t>
            </w:r>
            <w:r>
              <w:rPr>
                <w:spacing w:val="-1"/>
                <w:sz w:val="24"/>
              </w:rPr>
              <w:t> </w:t>
            </w:r>
            <w:r>
              <w:rPr>
                <w:spacing w:val="-4"/>
                <w:sz w:val="24"/>
              </w:rPr>
              <w:t>well</w:t>
            </w:r>
          </w:p>
        </w:tc>
        <w:tc>
          <w:tcPr>
            <w:tcW w:w="1431" w:type="dxa"/>
          </w:tcPr>
          <w:p>
            <w:pPr>
              <w:pStyle w:val="TableParagraph"/>
              <w:spacing w:line="256" w:lineRule="exact"/>
              <w:jc w:val="center"/>
              <w:rPr>
                <w:sz w:val="24"/>
              </w:rPr>
            </w:pPr>
            <w:r>
              <w:rPr>
                <w:spacing w:val="-4"/>
                <w:sz w:val="24"/>
              </w:rPr>
              <w:t>0.00</w:t>
            </w:r>
          </w:p>
        </w:tc>
        <w:tc>
          <w:tcPr>
            <w:tcW w:w="1544" w:type="dxa"/>
          </w:tcPr>
          <w:p>
            <w:pPr>
              <w:pStyle w:val="TableParagraph"/>
              <w:spacing w:line="256" w:lineRule="exact"/>
              <w:ind w:left="3" w:right="20"/>
              <w:jc w:val="center"/>
              <w:rPr>
                <w:sz w:val="24"/>
              </w:rPr>
            </w:pPr>
            <w:r>
              <w:rPr>
                <w:spacing w:val="-4"/>
                <w:sz w:val="24"/>
              </w:rPr>
              <w:t>0.00</w:t>
            </w:r>
          </w:p>
        </w:tc>
        <w:tc>
          <w:tcPr>
            <w:tcW w:w="1014" w:type="dxa"/>
          </w:tcPr>
          <w:p>
            <w:pPr>
              <w:pStyle w:val="TableParagraph"/>
              <w:spacing w:line="256" w:lineRule="exact"/>
              <w:ind w:right="22"/>
              <w:jc w:val="center"/>
              <w:rPr>
                <w:sz w:val="24"/>
              </w:rPr>
            </w:pPr>
            <w:r>
              <w:rPr>
                <w:spacing w:val="-4"/>
                <w:sz w:val="24"/>
              </w:rPr>
              <w:t>9.09</w:t>
            </w:r>
          </w:p>
        </w:tc>
        <w:tc>
          <w:tcPr>
            <w:tcW w:w="1084" w:type="dxa"/>
          </w:tcPr>
          <w:p>
            <w:pPr>
              <w:pStyle w:val="TableParagraph"/>
              <w:spacing w:line="256" w:lineRule="exact"/>
              <w:ind w:left="1" w:right="1"/>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16</w:t>
            </w:r>
          </w:p>
        </w:tc>
        <w:tc>
          <w:tcPr>
            <w:tcW w:w="3180" w:type="dxa"/>
          </w:tcPr>
          <w:p>
            <w:pPr>
              <w:pStyle w:val="TableParagraph"/>
              <w:spacing w:line="256" w:lineRule="exact"/>
              <w:ind w:left="107"/>
              <w:rPr>
                <w:sz w:val="24"/>
              </w:rPr>
            </w:pPr>
            <w:r>
              <w:rPr>
                <w:spacing w:val="-5"/>
                <w:sz w:val="24"/>
              </w:rPr>
              <w:t>Dam</w:t>
            </w:r>
          </w:p>
        </w:tc>
        <w:tc>
          <w:tcPr>
            <w:tcW w:w="1431" w:type="dxa"/>
          </w:tcPr>
          <w:p>
            <w:pPr>
              <w:pStyle w:val="TableParagraph"/>
              <w:spacing w:line="256" w:lineRule="exact"/>
              <w:jc w:val="center"/>
              <w:rPr>
                <w:sz w:val="24"/>
              </w:rPr>
            </w:pPr>
            <w:r>
              <w:rPr>
                <w:spacing w:val="-4"/>
                <w:sz w:val="24"/>
              </w:rPr>
              <w:t>0.00</w:t>
            </w:r>
          </w:p>
        </w:tc>
        <w:tc>
          <w:tcPr>
            <w:tcW w:w="1544" w:type="dxa"/>
          </w:tcPr>
          <w:p>
            <w:pPr>
              <w:pStyle w:val="TableParagraph"/>
              <w:spacing w:line="256" w:lineRule="exact"/>
              <w:ind w:left="3" w:right="20"/>
              <w:jc w:val="center"/>
              <w:rPr>
                <w:sz w:val="24"/>
              </w:rPr>
            </w:pPr>
            <w:r>
              <w:rPr>
                <w:spacing w:val="-4"/>
                <w:sz w:val="24"/>
              </w:rPr>
              <w:t>0.00</w:t>
            </w:r>
          </w:p>
        </w:tc>
        <w:tc>
          <w:tcPr>
            <w:tcW w:w="1014" w:type="dxa"/>
          </w:tcPr>
          <w:p>
            <w:pPr>
              <w:pStyle w:val="TableParagraph"/>
              <w:spacing w:line="256" w:lineRule="exact"/>
              <w:ind w:right="22"/>
              <w:jc w:val="center"/>
              <w:rPr>
                <w:sz w:val="24"/>
              </w:rPr>
            </w:pPr>
            <w:r>
              <w:rPr>
                <w:spacing w:val="-4"/>
                <w:sz w:val="24"/>
              </w:rPr>
              <w:t>0.00</w:t>
            </w:r>
          </w:p>
        </w:tc>
        <w:tc>
          <w:tcPr>
            <w:tcW w:w="1084" w:type="dxa"/>
          </w:tcPr>
          <w:p>
            <w:pPr>
              <w:pStyle w:val="TableParagraph"/>
              <w:spacing w:line="256" w:lineRule="exact"/>
              <w:ind w:left="1" w:right="1"/>
              <w:jc w:val="center"/>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17</w:t>
            </w:r>
          </w:p>
        </w:tc>
        <w:tc>
          <w:tcPr>
            <w:tcW w:w="3180" w:type="dxa"/>
          </w:tcPr>
          <w:p>
            <w:pPr>
              <w:pStyle w:val="TableParagraph"/>
              <w:spacing w:line="256" w:lineRule="exact"/>
              <w:ind w:left="107"/>
              <w:rPr>
                <w:sz w:val="24"/>
              </w:rPr>
            </w:pPr>
            <w:r>
              <w:rPr>
                <w:sz w:val="24"/>
              </w:rPr>
              <w:t>Sachet</w:t>
            </w:r>
            <w:r>
              <w:rPr>
                <w:spacing w:val="-5"/>
                <w:sz w:val="24"/>
              </w:rPr>
              <w:t> </w:t>
            </w:r>
            <w:r>
              <w:rPr>
                <w:spacing w:val="-2"/>
                <w:sz w:val="24"/>
              </w:rPr>
              <w:t>water</w:t>
            </w:r>
          </w:p>
        </w:tc>
        <w:tc>
          <w:tcPr>
            <w:tcW w:w="1431" w:type="dxa"/>
          </w:tcPr>
          <w:p>
            <w:pPr>
              <w:pStyle w:val="TableParagraph"/>
              <w:spacing w:line="256" w:lineRule="exact"/>
              <w:jc w:val="center"/>
              <w:rPr>
                <w:sz w:val="24"/>
              </w:rPr>
            </w:pPr>
            <w:r>
              <w:rPr>
                <w:spacing w:val="-2"/>
                <w:sz w:val="24"/>
              </w:rPr>
              <w:t>45.08</w:t>
            </w:r>
          </w:p>
        </w:tc>
        <w:tc>
          <w:tcPr>
            <w:tcW w:w="1544" w:type="dxa"/>
          </w:tcPr>
          <w:p>
            <w:pPr>
              <w:pStyle w:val="TableParagraph"/>
              <w:spacing w:line="256" w:lineRule="exact"/>
              <w:ind w:left="3" w:right="20"/>
              <w:jc w:val="center"/>
              <w:rPr>
                <w:sz w:val="24"/>
              </w:rPr>
            </w:pPr>
            <w:r>
              <w:rPr>
                <w:spacing w:val="-2"/>
                <w:sz w:val="24"/>
              </w:rPr>
              <w:t>26.57</w:t>
            </w:r>
          </w:p>
        </w:tc>
        <w:tc>
          <w:tcPr>
            <w:tcW w:w="1014" w:type="dxa"/>
          </w:tcPr>
          <w:p>
            <w:pPr>
              <w:pStyle w:val="TableParagraph"/>
              <w:spacing w:line="256" w:lineRule="exact"/>
              <w:ind w:right="22"/>
              <w:jc w:val="center"/>
              <w:rPr>
                <w:sz w:val="24"/>
              </w:rPr>
            </w:pPr>
            <w:r>
              <w:rPr>
                <w:spacing w:val="-2"/>
                <w:sz w:val="24"/>
              </w:rPr>
              <w:t>39.39</w:t>
            </w:r>
          </w:p>
        </w:tc>
        <w:tc>
          <w:tcPr>
            <w:tcW w:w="1084" w:type="dxa"/>
          </w:tcPr>
          <w:p>
            <w:pPr>
              <w:pStyle w:val="TableParagraph"/>
              <w:spacing w:line="256" w:lineRule="exact"/>
              <w:ind w:left="1" w:right="1"/>
              <w:jc w:val="center"/>
              <w:rPr>
                <w:sz w:val="24"/>
              </w:rPr>
            </w:pPr>
            <w:r>
              <w:rPr>
                <w:spacing w:val="-2"/>
                <w:sz w:val="24"/>
              </w:rPr>
              <w:t>29.03</w:t>
            </w:r>
          </w:p>
        </w:tc>
      </w:tr>
      <w:tr>
        <w:trPr>
          <w:trHeight w:val="273" w:hRule="atLeast"/>
        </w:trPr>
        <w:tc>
          <w:tcPr>
            <w:tcW w:w="605" w:type="dxa"/>
          </w:tcPr>
          <w:p>
            <w:pPr>
              <w:pStyle w:val="TableParagraph"/>
              <w:rPr>
                <w:sz w:val="20"/>
              </w:rPr>
            </w:pPr>
          </w:p>
        </w:tc>
        <w:tc>
          <w:tcPr>
            <w:tcW w:w="3180" w:type="dxa"/>
          </w:tcPr>
          <w:p>
            <w:pPr>
              <w:pStyle w:val="TableParagraph"/>
              <w:spacing w:line="254" w:lineRule="exact"/>
              <w:ind w:left="107"/>
              <w:rPr>
                <w:sz w:val="24"/>
              </w:rPr>
            </w:pPr>
            <w:r>
              <w:rPr>
                <w:sz w:val="24"/>
              </w:rPr>
              <w:t>Respondents</w:t>
            </w:r>
            <w:r>
              <w:rPr>
                <w:spacing w:val="-1"/>
                <w:sz w:val="24"/>
              </w:rPr>
              <w:t> </w:t>
            </w:r>
            <w:r>
              <w:rPr>
                <w:sz w:val="24"/>
              </w:rPr>
              <w:t>with</w:t>
            </w:r>
            <w:r>
              <w:rPr>
                <w:spacing w:val="-1"/>
                <w:sz w:val="24"/>
              </w:rPr>
              <w:t> </w:t>
            </w:r>
            <w:r>
              <w:rPr>
                <w:sz w:val="24"/>
              </w:rPr>
              <w:t>pipe</w:t>
            </w:r>
            <w:r>
              <w:rPr>
                <w:spacing w:val="-1"/>
                <w:sz w:val="24"/>
              </w:rPr>
              <w:t> </w:t>
            </w:r>
            <w:r>
              <w:rPr>
                <w:spacing w:val="-2"/>
                <w:sz w:val="24"/>
              </w:rPr>
              <w:t>water</w:t>
            </w:r>
          </w:p>
        </w:tc>
        <w:tc>
          <w:tcPr>
            <w:tcW w:w="1431" w:type="dxa"/>
          </w:tcPr>
          <w:p>
            <w:pPr>
              <w:pStyle w:val="TableParagraph"/>
              <w:spacing w:line="254" w:lineRule="exact"/>
              <w:jc w:val="center"/>
              <w:rPr>
                <w:sz w:val="24"/>
              </w:rPr>
            </w:pPr>
            <w:r>
              <w:rPr>
                <w:spacing w:val="-2"/>
                <w:sz w:val="24"/>
              </w:rPr>
              <w:t>18.86%</w:t>
            </w:r>
          </w:p>
        </w:tc>
        <w:tc>
          <w:tcPr>
            <w:tcW w:w="1544" w:type="dxa"/>
          </w:tcPr>
          <w:p>
            <w:pPr>
              <w:pStyle w:val="TableParagraph"/>
              <w:spacing w:line="254" w:lineRule="exact"/>
              <w:ind w:left="1" w:right="20"/>
              <w:jc w:val="center"/>
              <w:rPr>
                <w:sz w:val="24"/>
              </w:rPr>
            </w:pPr>
            <w:r>
              <w:rPr>
                <w:spacing w:val="-2"/>
                <w:sz w:val="24"/>
              </w:rPr>
              <w:t>2.42%</w:t>
            </w:r>
          </w:p>
        </w:tc>
        <w:tc>
          <w:tcPr>
            <w:tcW w:w="1014" w:type="dxa"/>
          </w:tcPr>
          <w:p>
            <w:pPr>
              <w:pStyle w:val="TableParagraph"/>
              <w:spacing w:line="254" w:lineRule="exact"/>
              <w:ind w:left="3" w:right="22"/>
              <w:jc w:val="center"/>
              <w:rPr>
                <w:sz w:val="24"/>
              </w:rPr>
            </w:pPr>
            <w:r>
              <w:rPr>
                <w:spacing w:val="-2"/>
                <w:sz w:val="24"/>
              </w:rPr>
              <w:t>0.00%</w:t>
            </w:r>
          </w:p>
        </w:tc>
        <w:tc>
          <w:tcPr>
            <w:tcW w:w="1084" w:type="dxa"/>
          </w:tcPr>
          <w:p>
            <w:pPr>
              <w:pStyle w:val="TableParagraph"/>
              <w:spacing w:line="254" w:lineRule="exact"/>
              <w:ind w:right="1"/>
              <w:jc w:val="center"/>
              <w:rPr>
                <w:sz w:val="24"/>
              </w:rPr>
            </w:pPr>
            <w:r>
              <w:rPr>
                <w:spacing w:val="-2"/>
                <w:sz w:val="24"/>
              </w:rPr>
              <w:t>54.84%</w:t>
            </w:r>
          </w:p>
        </w:tc>
      </w:tr>
      <w:tr>
        <w:trPr>
          <w:trHeight w:val="276" w:hRule="atLeast"/>
        </w:trPr>
        <w:tc>
          <w:tcPr>
            <w:tcW w:w="605" w:type="dxa"/>
          </w:tcPr>
          <w:p>
            <w:pPr>
              <w:pStyle w:val="TableParagraph"/>
              <w:rPr>
                <w:sz w:val="20"/>
              </w:rPr>
            </w:pPr>
          </w:p>
        </w:tc>
        <w:tc>
          <w:tcPr>
            <w:tcW w:w="3180" w:type="dxa"/>
          </w:tcPr>
          <w:p>
            <w:pPr>
              <w:pStyle w:val="TableParagraph"/>
              <w:spacing w:line="256" w:lineRule="exact"/>
              <w:ind w:left="107"/>
              <w:rPr>
                <w:sz w:val="24"/>
              </w:rPr>
            </w:pPr>
            <w:r>
              <w:rPr>
                <w:sz w:val="24"/>
              </w:rPr>
              <w:t>Water</w:t>
            </w:r>
            <w:r>
              <w:rPr>
                <w:spacing w:val="-4"/>
                <w:sz w:val="24"/>
              </w:rPr>
              <w:t> </w:t>
            </w:r>
            <w:r>
              <w:rPr>
                <w:sz w:val="24"/>
              </w:rPr>
              <w:t>from</w:t>
            </w:r>
            <w:r>
              <w:rPr>
                <w:spacing w:val="-1"/>
                <w:sz w:val="24"/>
              </w:rPr>
              <w:t> </w:t>
            </w:r>
            <w:r>
              <w:rPr>
                <w:sz w:val="24"/>
              </w:rPr>
              <w:t>improved</w:t>
            </w:r>
            <w:r>
              <w:rPr>
                <w:spacing w:val="-1"/>
                <w:sz w:val="24"/>
              </w:rPr>
              <w:t> </w:t>
            </w:r>
            <w:r>
              <w:rPr>
                <w:spacing w:val="-2"/>
                <w:sz w:val="24"/>
              </w:rPr>
              <w:t>sources</w:t>
            </w:r>
          </w:p>
        </w:tc>
        <w:tc>
          <w:tcPr>
            <w:tcW w:w="1431" w:type="dxa"/>
          </w:tcPr>
          <w:p>
            <w:pPr>
              <w:pStyle w:val="TableParagraph"/>
              <w:spacing w:line="256" w:lineRule="exact"/>
              <w:jc w:val="center"/>
              <w:rPr>
                <w:sz w:val="24"/>
              </w:rPr>
            </w:pPr>
            <w:r>
              <w:rPr>
                <w:spacing w:val="-2"/>
                <w:sz w:val="24"/>
              </w:rPr>
              <w:t>27.06%</w:t>
            </w:r>
          </w:p>
        </w:tc>
        <w:tc>
          <w:tcPr>
            <w:tcW w:w="1544" w:type="dxa"/>
          </w:tcPr>
          <w:p>
            <w:pPr>
              <w:pStyle w:val="TableParagraph"/>
              <w:spacing w:line="256" w:lineRule="exact"/>
              <w:ind w:left="1" w:right="20"/>
              <w:jc w:val="center"/>
              <w:rPr>
                <w:sz w:val="24"/>
              </w:rPr>
            </w:pPr>
            <w:r>
              <w:rPr>
                <w:spacing w:val="-2"/>
                <w:sz w:val="24"/>
              </w:rPr>
              <w:t>49.28%</w:t>
            </w:r>
          </w:p>
        </w:tc>
        <w:tc>
          <w:tcPr>
            <w:tcW w:w="1014" w:type="dxa"/>
          </w:tcPr>
          <w:p>
            <w:pPr>
              <w:pStyle w:val="TableParagraph"/>
              <w:spacing w:line="256" w:lineRule="exact"/>
              <w:ind w:left="3" w:right="22"/>
              <w:jc w:val="center"/>
              <w:rPr>
                <w:sz w:val="24"/>
              </w:rPr>
            </w:pPr>
            <w:r>
              <w:rPr>
                <w:spacing w:val="-2"/>
                <w:sz w:val="24"/>
              </w:rPr>
              <w:t>21.21%</w:t>
            </w:r>
          </w:p>
        </w:tc>
        <w:tc>
          <w:tcPr>
            <w:tcW w:w="1084" w:type="dxa"/>
          </w:tcPr>
          <w:p>
            <w:pPr>
              <w:pStyle w:val="TableParagraph"/>
              <w:spacing w:line="256" w:lineRule="exact"/>
              <w:ind w:right="1"/>
              <w:jc w:val="center"/>
              <w:rPr>
                <w:sz w:val="24"/>
              </w:rPr>
            </w:pPr>
            <w:r>
              <w:rPr>
                <w:spacing w:val="-2"/>
                <w:sz w:val="24"/>
              </w:rPr>
              <w:t>54.84%</w:t>
            </w:r>
          </w:p>
        </w:tc>
      </w:tr>
      <w:tr>
        <w:trPr>
          <w:trHeight w:val="552" w:hRule="atLeast"/>
        </w:trPr>
        <w:tc>
          <w:tcPr>
            <w:tcW w:w="605" w:type="dxa"/>
          </w:tcPr>
          <w:p>
            <w:pPr>
              <w:pStyle w:val="TableParagraph"/>
              <w:rPr>
                <w:sz w:val="24"/>
              </w:rPr>
            </w:pPr>
          </w:p>
        </w:tc>
        <w:tc>
          <w:tcPr>
            <w:tcW w:w="3180" w:type="dxa"/>
          </w:tcPr>
          <w:p>
            <w:pPr>
              <w:pStyle w:val="TableParagraph"/>
              <w:tabs>
                <w:tab w:pos="1069" w:val="left" w:leader="none"/>
                <w:tab w:pos="1911" w:val="left" w:leader="none"/>
              </w:tabs>
              <w:spacing w:line="271" w:lineRule="exact"/>
              <w:ind w:left="107"/>
              <w:rPr>
                <w:sz w:val="24"/>
              </w:rPr>
            </w:pPr>
            <w:r>
              <w:rPr>
                <w:spacing w:val="-2"/>
                <w:sz w:val="24"/>
              </w:rPr>
              <w:t>Water</w:t>
            </w:r>
            <w:r>
              <w:rPr>
                <w:sz w:val="24"/>
              </w:rPr>
              <w:tab/>
            </w:r>
            <w:r>
              <w:rPr>
                <w:spacing w:val="-4"/>
                <w:sz w:val="24"/>
              </w:rPr>
              <w:t>from</w:t>
            </w:r>
            <w:r>
              <w:rPr>
                <w:sz w:val="24"/>
              </w:rPr>
              <w:tab/>
            </w:r>
            <w:r>
              <w:rPr>
                <w:spacing w:val="-2"/>
                <w:sz w:val="24"/>
              </w:rPr>
              <w:t>unimproved</w:t>
            </w:r>
          </w:p>
          <w:p>
            <w:pPr>
              <w:pStyle w:val="TableParagraph"/>
              <w:spacing w:line="261" w:lineRule="exact"/>
              <w:ind w:left="107"/>
              <w:rPr>
                <w:sz w:val="24"/>
              </w:rPr>
            </w:pPr>
            <w:r>
              <w:rPr>
                <w:spacing w:val="-2"/>
                <w:sz w:val="24"/>
              </w:rPr>
              <w:t>sources</w:t>
            </w:r>
          </w:p>
        </w:tc>
        <w:tc>
          <w:tcPr>
            <w:tcW w:w="1431" w:type="dxa"/>
          </w:tcPr>
          <w:p>
            <w:pPr>
              <w:pStyle w:val="TableParagraph"/>
              <w:spacing w:line="271" w:lineRule="exact"/>
              <w:jc w:val="center"/>
              <w:rPr>
                <w:sz w:val="24"/>
              </w:rPr>
            </w:pPr>
            <w:r>
              <w:rPr>
                <w:spacing w:val="-2"/>
                <w:sz w:val="24"/>
              </w:rPr>
              <w:t>72.94%</w:t>
            </w:r>
          </w:p>
        </w:tc>
        <w:tc>
          <w:tcPr>
            <w:tcW w:w="1544" w:type="dxa"/>
          </w:tcPr>
          <w:p>
            <w:pPr>
              <w:pStyle w:val="TableParagraph"/>
              <w:spacing w:line="271" w:lineRule="exact"/>
              <w:ind w:left="1" w:right="20"/>
              <w:jc w:val="center"/>
              <w:rPr>
                <w:sz w:val="24"/>
              </w:rPr>
            </w:pPr>
            <w:r>
              <w:rPr>
                <w:spacing w:val="-2"/>
                <w:sz w:val="24"/>
              </w:rPr>
              <w:t>50.72%</w:t>
            </w:r>
          </w:p>
        </w:tc>
        <w:tc>
          <w:tcPr>
            <w:tcW w:w="1014" w:type="dxa"/>
          </w:tcPr>
          <w:p>
            <w:pPr>
              <w:pStyle w:val="TableParagraph"/>
              <w:spacing w:line="271" w:lineRule="exact"/>
              <w:ind w:left="3" w:right="22"/>
              <w:jc w:val="center"/>
              <w:rPr>
                <w:sz w:val="24"/>
              </w:rPr>
            </w:pPr>
            <w:r>
              <w:rPr>
                <w:spacing w:val="-2"/>
                <w:sz w:val="24"/>
              </w:rPr>
              <w:t>78.79%</w:t>
            </w:r>
          </w:p>
        </w:tc>
        <w:tc>
          <w:tcPr>
            <w:tcW w:w="1084" w:type="dxa"/>
          </w:tcPr>
          <w:p>
            <w:pPr>
              <w:pStyle w:val="TableParagraph"/>
              <w:spacing w:line="271" w:lineRule="exact"/>
              <w:ind w:right="1"/>
              <w:jc w:val="center"/>
              <w:rPr>
                <w:sz w:val="24"/>
              </w:rPr>
            </w:pPr>
            <w:r>
              <w:rPr>
                <w:spacing w:val="-2"/>
                <w:sz w:val="24"/>
              </w:rPr>
              <w:t>45.16%</w:t>
            </w:r>
          </w:p>
        </w:tc>
      </w:tr>
      <w:tr>
        <w:trPr>
          <w:trHeight w:val="276" w:hRule="atLeast"/>
        </w:trPr>
        <w:tc>
          <w:tcPr>
            <w:tcW w:w="605" w:type="dxa"/>
          </w:tcPr>
          <w:p>
            <w:pPr>
              <w:pStyle w:val="TableParagraph"/>
              <w:rPr>
                <w:sz w:val="20"/>
              </w:rPr>
            </w:pPr>
          </w:p>
        </w:tc>
        <w:tc>
          <w:tcPr>
            <w:tcW w:w="3180" w:type="dxa"/>
          </w:tcPr>
          <w:p>
            <w:pPr>
              <w:pStyle w:val="TableParagraph"/>
              <w:spacing w:line="256"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respondents</w:t>
            </w:r>
          </w:p>
        </w:tc>
        <w:tc>
          <w:tcPr>
            <w:tcW w:w="1431" w:type="dxa"/>
          </w:tcPr>
          <w:p>
            <w:pPr>
              <w:pStyle w:val="TableParagraph"/>
              <w:spacing w:line="256" w:lineRule="exact"/>
              <w:jc w:val="center"/>
              <w:rPr>
                <w:sz w:val="24"/>
              </w:rPr>
            </w:pPr>
            <w:r>
              <w:rPr>
                <w:spacing w:val="-5"/>
                <w:sz w:val="24"/>
              </w:rPr>
              <w:t>69</w:t>
            </w:r>
          </w:p>
        </w:tc>
        <w:tc>
          <w:tcPr>
            <w:tcW w:w="1544" w:type="dxa"/>
          </w:tcPr>
          <w:p>
            <w:pPr>
              <w:pStyle w:val="TableParagraph"/>
              <w:spacing w:line="256" w:lineRule="exact"/>
              <w:ind w:right="20"/>
              <w:jc w:val="center"/>
              <w:rPr>
                <w:sz w:val="24"/>
              </w:rPr>
            </w:pPr>
            <w:r>
              <w:rPr>
                <w:spacing w:val="-5"/>
                <w:sz w:val="24"/>
              </w:rPr>
              <w:t>65</w:t>
            </w:r>
          </w:p>
        </w:tc>
        <w:tc>
          <w:tcPr>
            <w:tcW w:w="1014" w:type="dxa"/>
          </w:tcPr>
          <w:p>
            <w:pPr>
              <w:pStyle w:val="TableParagraph"/>
              <w:spacing w:line="256" w:lineRule="exact"/>
              <w:ind w:left="4" w:right="22"/>
              <w:jc w:val="center"/>
              <w:rPr>
                <w:sz w:val="24"/>
              </w:rPr>
            </w:pPr>
            <w:r>
              <w:rPr>
                <w:spacing w:val="-5"/>
                <w:sz w:val="24"/>
              </w:rPr>
              <w:t>15</w:t>
            </w:r>
          </w:p>
        </w:tc>
        <w:tc>
          <w:tcPr>
            <w:tcW w:w="1084" w:type="dxa"/>
          </w:tcPr>
          <w:p>
            <w:pPr>
              <w:pStyle w:val="TableParagraph"/>
              <w:spacing w:line="256" w:lineRule="exact"/>
              <w:ind w:right="1"/>
              <w:jc w:val="center"/>
              <w:rPr>
                <w:sz w:val="24"/>
              </w:rPr>
            </w:pPr>
            <w:r>
              <w:rPr>
                <w:spacing w:val="-5"/>
                <w:sz w:val="24"/>
              </w:rPr>
              <w:t>75</w:t>
            </w:r>
          </w:p>
        </w:tc>
      </w:tr>
      <w:tr>
        <w:trPr>
          <w:trHeight w:val="280" w:hRule="atLeast"/>
        </w:trPr>
        <w:tc>
          <w:tcPr>
            <w:tcW w:w="605" w:type="dxa"/>
            <w:tcBorders>
              <w:bottom w:val="single" w:sz="8" w:space="0" w:color="000000"/>
            </w:tcBorders>
          </w:tcPr>
          <w:p>
            <w:pPr>
              <w:pStyle w:val="TableParagraph"/>
              <w:rPr>
                <w:sz w:val="20"/>
              </w:rPr>
            </w:pPr>
          </w:p>
        </w:tc>
        <w:tc>
          <w:tcPr>
            <w:tcW w:w="3180" w:type="dxa"/>
            <w:tcBorders>
              <w:bottom w:val="single" w:sz="8" w:space="0" w:color="000000"/>
            </w:tcBorders>
          </w:tcPr>
          <w:p>
            <w:pPr>
              <w:pStyle w:val="TableParagraph"/>
              <w:spacing w:line="261"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responses</w:t>
            </w:r>
          </w:p>
        </w:tc>
        <w:tc>
          <w:tcPr>
            <w:tcW w:w="1431" w:type="dxa"/>
            <w:tcBorders>
              <w:bottom w:val="single" w:sz="8" w:space="0" w:color="000000"/>
            </w:tcBorders>
          </w:tcPr>
          <w:p>
            <w:pPr>
              <w:pStyle w:val="TableParagraph"/>
              <w:spacing w:line="261" w:lineRule="exact"/>
              <w:jc w:val="center"/>
              <w:rPr>
                <w:sz w:val="24"/>
              </w:rPr>
            </w:pPr>
            <w:r>
              <w:rPr>
                <w:spacing w:val="-5"/>
                <w:sz w:val="24"/>
              </w:rPr>
              <w:t>122</w:t>
            </w:r>
          </w:p>
        </w:tc>
        <w:tc>
          <w:tcPr>
            <w:tcW w:w="1544" w:type="dxa"/>
            <w:tcBorders>
              <w:bottom w:val="single" w:sz="8" w:space="0" w:color="000000"/>
            </w:tcBorders>
          </w:tcPr>
          <w:p>
            <w:pPr>
              <w:pStyle w:val="TableParagraph"/>
              <w:spacing w:line="261" w:lineRule="exact"/>
              <w:ind w:right="20"/>
              <w:jc w:val="center"/>
              <w:rPr>
                <w:sz w:val="24"/>
              </w:rPr>
            </w:pPr>
            <w:r>
              <w:rPr>
                <w:spacing w:val="-5"/>
                <w:sz w:val="24"/>
              </w:rPr>
              <w:t>207</w:t>
            </w:r>
          </w:p>
        </w:tc>
        <w:tc>
          <w:tcPr>
            <w:tcW w:w="1014" w:type="dxa"/>
            <w:tcBorders>
              <w:bottom w:val="single" w:sz="8" w:space="0" w:color="000000"/>
            </w:tcBorders>
          </w:tcPr>
          <w:p>
            <w:pPr>
              <w:pStyle w:val="TableParagraph"/>
              <w:spacing w:line="261" w:lineRule="exact"/>
              <w:ind w:left="4" w:right="22"/>
              <w:jc w:val="center"/>
              <w:rPr>
                <w:sz w:val="24"/>
              </w:rPr>
            </w:pPr>
            <w:r>
              <w:rPr>
                <w:spacing w:val="-5"/>
                <w:sz w:val="24"/>
              </w:rPr>
              <w:t>33</w:t>
            </w:r>
          </w:p>
        </w:tc>
        <w:tc>
          <w:tcPr>
            <w:tcW w:w="1084" w:type="dxa"/>
            <w:tcBorders>
              <w:bottom w:val="single" w:sz="8" w:space="0" w:color="000000"/>
            </w:tcBorders>
          </w:tcPr>
          <w:p>
            <w:pPr>
              <w:pStyle w:val="TableParagraph"/>
              <w:spacing w:line="261" w:lineRule="exact"/>
              <w:ind w:right="1"/>
              <w:jc w:val="center"/>
              <w:rPr>
                <w:sz w:val="24"/>
              </w:rPr>
            </w:pPr>
            <w:r>
              <w:rPr>
                <w:spacing w:val="-5"/>
                <w:sz w:val="24"/>
              </w:rPr>
              <w:t>217</w:t>
            </w:r>
          </w:p>
        </w:tc>
      </w:tr>
    </w:tbl>
    <w:p>
      <w:pPr>
        <w:pStyle w:val="BodyText"/>
        <w:rPr>
          <w:b/>
        </w:rPr>
      </w:pPr>
    </w:p>
    <w:p>
      <w:pPr>
        <w:pStyle w:val="BodyText"/>
        <w:spacing w:before="2"/>
        <w:rPr>
          <w:b/>
        </w:rPr>
      </w:pPr>
    </w:p>
    <w:p>
      <w:pPr>
        <w:pStyle w:val="BodyText"/>
        <w:spacing w:line="480" w:lineRule="auto" w:before="1"/>
        <w:ind w:left="267" w:right="728"/>
        <w:jc w:val="both"/>
      </w:pPr>
      <w:r>
        <w:rPr/>
        <w:t>As observed in the table, various water sources are available to the respondents residing within the limit of public water supply</w:t>
      </w:r>
      <w:r>
        <w:rPr>
          <w:spacing w:val="-2"/>
        </w:rPr>
        <w:t> </w:t>
      </w:r>
      <w:r>
        <w:rPr/>
        <w:t>coverage. In terms of pipe water which is safe and a reliable source of water for drinking, Minna Central had the highest level of access with 54.84% of the respondents reported to have pipe water either into dwelling, plot or from neighbor. This is followed by Dutsenkura and Tudun-Wada, as 18.86% and 2.42% of the respondents respectively identified public pipe water as their main water source. However, pipe water was not in existent in F-Layout as none of the surveyed respondent provided response</w:t>
      </w:r>
      <w:r>
        <w:rPr>
          <w:spacing w:val="-1"/>
        </w:rPr>
        <w:t> </w:t>
      </w:r>
      <w:r>
        <w:rPr/>
        <w:t>on its availability. This result indicates</w:t>
      </w:r>
      <w:r>
        <w:rPr>
          <w:spacing w:val="-1"/>
        </w:rPr>
        <w:t> </w:t>
      </w:r>
      <w:r>
        <w:rPr/>
        <w:t>that disparity</w:t>
      </w:r>
      <w:r>
        <w:rPr>
          <w:spacing w:val="-3"/>
        </w:rPr>
        <w:t> </w:t>
      </w:r>
      <w:r>
        <w:rPr/>
        <w:t>exist in terms</w:t>
      </w:r>
      <w:r>
        <w:rPr>
          <w:spacing w:val="-2"/>
        </w:rPr>
        <w:t> </w:t>
      </w:r>
      <w:r>
        <w:rPr/>
        <w:t>of</w:t>
      </w:r>
      <w:r>
        <w:rPr>
          <w:spacing w:val="-1"/>
        </w:rPr>
        <w:t> </w:t>
      </w:r>
      <w:r>
        <w:rPr/>
        <w:t>public</w:t>
      </w:r>
      <w:r>
        <w:rPr>
          <w:spacing w:val="-1"/>
        </w:rPr>
        <w:t> </w:t>
      </w:r>
      <w:r>
        <w:rPr/>
        <w:t>water service</w:t>
      </w:r>
      <w:r>
        <w:rPr>
          <w:spacing w:val="9"/>
        </w:rPr>
        <w:t> </w:t>
      </w:r>
      <w:r>
        <w:rPr/>
        <w:t>level</w:t>
      </w:r>
      <w:r>
        <w:rPr>
          <w:spacing w:val="12"/>
        </w:rPr>
        <w:t> </w:t>
      </w:r>
      <w:r>
        <w:rPr/>
        <w:t>in</w:t>
      </w:r>
      <w:r>
        <w:rPr>
          <w:spacing w:val="12"/>
        </w:rPr>
        <w:t> </w:t>
      </w:r>
      <w:r>
        <w:rPr/>
        <w:t>the</w:t>
      </w:r>
      <w:r>
        <w:rPr>
          <w:spacing w:val="10"/>
        </w:rPr>
        <w:t> </w:t>
      </w:r>
      <w:r>
        <w:rPr/>
        <w:t>study</w:t>
      </w:r>
      <w:r>
        <w:rPr>
          <w:spacing w:val="9"/>
        </w:rPr>
        <w:t> </w:t>
      </w:r>
      <w:r>
        <w:rPr/>
        <w:t>area.</w:t>
      </w:r>
      <w:r>
        <w:rPr>
          <w:spacing w:val="11"/>
        </w:rPr>
        <w:t> </w:t>
      </w:r>
      <w:r>
        <w:rPr/>
        <w:t>Moreover,</w:t>
      </w:r>
      <w:r>
        <w:rPr>
          <w:spacing w:val="10"/>
        </w:rPr>
        <w:t> </w:t>
      </w:r>
      <w:r>
        <w:rPr/>
        <w:t>when</w:t>
      </w:r>
      <w:r>
        <w:rPr>
          <w:spacing w:val="11"/>
        </w:rPr>
        <w:t> </w:t>
      </w:r>
      <w:r>
        <w:rPr/>
        <w:t>this</w:t>
      </w:r>
      <w:r>
        <w:rPr>
          <w:spacing w:val="12"/>
        </w:rPr>
        <w:t> </w:t>
      </w:r>
      <w:r>
        <w:rPr/>
        <w:t>result</w:t>
      </w:r>
      <w:r>
        <w:rPr>
          <w:spacing w:val="11"/>
        </w:rPr>
        <w:t> </w:t>
      </w:r>
      <w:r>
        <w:rPr/>
        <w:t>is</w:t>
      </w:r>
      <w:r>
        <w:rPr>
          <w:spacing w:val="12"/>
        </w:rPr>
        <w:t> </w:t>
      </w:r>
      <w:r>
        <w:rPr/>
        <w:t>compared</w:t>
      </w:r>
      <w:r>
        <w:rPr>
          <w:spacing w:val="14"/>
        </w:rPr>
        <w:t> </w:t>
      </w:r>
      <w:r>
        <w:rPr/>
        <w:t>with</w:t>
      </w:r>
      <w:r>
        <w:rPr>
          <w:spacing w:val="11"/>
        </w:rPr>
        <w:t> </w:t>
      </w:r>
      <w:r>
        <w:rPr/>
        <w:t>access</w:t>
      </w:r>
      <w:r>
        <w:rPr>
          <w:spacing w:val="12"/>
        </w:rPr>
        <w:t> </w:t>
      </w:r>
      <w:r>
        <w:rPr/>
        <w:t>to</w:t>
      </w:r>
      <w:r>
        <w:rPr>
          <w:spacing w:val="12"/>
        </w:rPr>
        <w:t> </w:t>
      </w:r>
      <w:r>
        <w:rPr>
          <w:spacing w:val="-4"/>
        </w:rPr>
        <w:t>pipe</w:t>
      </w:r>
    </w:p>
    <w:p>
      <w:pPr>
        <w:spacing w:after="0" w:line="480" w:lineRule="auto"/>
        <w:jc w:val="both"/>
        <w:sectPr>
          <w:pgSz w:w="12240" w:h="15840"/>
          <w:pgMar w:header="0" w:footer="1068" w:top="1340" w:bottom="1260" w:left="1720" w:right="680"/>
        </w:sectPr>
      </w:pPr>
    </w:p>
    <w:p>
      <w:pPr>
        <w:pStyle w:val="BodyText"/>
        <w:spacing w:line="480" w:lineRule="auto" w:before="63"/>
        <w:ind w:left="267" w:right="730"/>
        <w:jc w:val="both"/>
      </w:pPr>
      <w:r>
        <w:rPr/>
        <w:t>water</w:t>
      </w:r>
      <w:r>
        <w:rPr>
          <w:spacing w:val="-2"/>
        </w:rPr>
        <w:t> </w:t>
      </w:r>
      <w:r>
        <w:rPr/>
        <w:t>outside the</w:t>
      </w:r>
      <w:r>
        <w:rPr>
          <w:spacing w:val="-1"/>
        </w:rPr>
        <w:t> </w:t>
      </w:r>
      <w:r>
        <w:rPr/>
        <w:t>public water</w:t>
      </w:r>
      <w:r>
        <w:rPr>
          <w:spacing w:val="-2"/>
        </w:rPr>
        <w:t> </w:t>
      </w:r>
      <w:r>
        <w:rPr/>
        <w:t>mains (in</w:t>
      </w:r>
      <w:r>
        <w:rPr>
          <w:spacing w:val="-1"/>
        </w:rPr>
        <w:t> </w:t>
      </w:r>
      <w:r>
        <w:rPr/>
        <w:t>Table</w:t>
      </w:r>
      <w:r>
        <w:rPr>
          <w:spacing w:val="-1"/>
        </w:rPr>
        <w:t> </w:t>
      </w:r>
      <w:r>
        <w:rPr/>
        <w:t>4.4),</w:t>
      </w:r>
      <w:r>
        <w:rPr>
          <w:spacing w:val="-1"/>
        </w:rPr>
        <w:t> </w:t>
      </w:r>
      <w:r>
        <w:rPr/>
        <w:t>it becomes obvious that residing</w:t>
      </w:r>
      <w:r>
        <w:rPr>
          <w:spacing w:val="-3"/>
        </w:rPr>
        <w:t> </w:t>
      </w:r>
      <w:r>
        <w:rPr/>
        <w:t>within the</w:t>
      </w:r>
      <w:r>
        <w:rPr>
          <w:spacing w:val="-2"/>
        </w:rPr>
        <w:t> </w:t>
      </w:r>
      <w:r>
        <w:rPr/>
        <w:t>formal</w:t>
      </w:r>
      <w:r>
        <w:rPr>
          <w:spacing w:val="-2"/>
        </w:rPr>
        <w:t> </w:t>
      </w:r>
      <w:r>
        <w:rPr/>
        <w:t>water</w:t>
      </w:r>
      <w:r>
        <w:rPr>
          <w:spacing w:val="-4"/>
        </w:rPr>
        <w:t> </w:t>
      </w:r>
      <w:r>
        <w:rPr/>
        <w:t>supply</w:t>
      </w:r>
      <w:r>
        <w:rPr>
          <w:spacing w:val="-7"/>
        </w:rPr>
        <w:t> </w:t>
      </w:r>
      <w:r>
        <w:rPr/>
        <w:t>coverage</w:t>
      </w:r>
      <w:r>
        <w:rPr>
          <w:spacing w:val="-1"/>
        </w:rPr>
        <w:t> </w:t>
      </w:r>
      <w:r>
        <w:rPr/>
        <w:t>of</w:t>
      </w:r>
      <w:r>
        <w:rPr>
          <w:spacing w:val="-2"/>
        </w:rPr>
        <w:t> </w:t>
      </w:r>
      <w:r>
        <w:rPr/>
        <w:t>NSWSC</w:t>
      </w:r>
      <w:r>
        <w:rPr>
          <w:spacing w:val="-2"/>
        </w:rPr>
        <w:t> </w:t>
      </w:r>
      <w:r>
        <w:rPr/>
        <w:t>those</w:t>
      </w:r>
      <w:r>
        <w:rPr>
          <w:spacing w:val="-3"/>
        </w:rPr>
        <w:t> </w:t>
      </w:r>
      <w:r>
        <w:rPr/>
        <w:t>not</w:t>
      </w:r>
      <w:r>
        <w:rPr>
          <w:spacing w:val="-2"/>
        </w:rPr>
        <w:t> </w:t>
      </w:r>
      <w:r>
        <w:rPr/>
        <w:t>confer</w:t>
      </w:r>
      <w:r>
        <w:rPr>
          <w:spacing w:val="-2"/>
        </w:rPr>
        <w:t> </w:t>
      </w:r>
      <w:r>
        <w:rPr/>
        <w:t>access</w:t>
      </w:r>
      <w:r>
        <w:rPr>
          <w:spacing w:val="-2"/>
        </w:rPr>
        <w:t> </w:t>
      </w:r>
      <w:r>
        <w:rPr/>
        <w:t>to</w:t>
      </w:r>
      <w:r>
        <w:rPr>
          <w:spacing w:val="-2"/>
        </w:rPr>
        <w:t> </w:t>
      </w:r>
      <w:r>
        <w:rPr/>
        <w:t>public</w:t>
      </w:r>
      <w:r>
        <w:rPr>
          <w:spacing w:val="-3"/>
        </w:rPr>
        <w:t> </w:t>
      </w:r>
      <w:r>
        <w:rPr/>
        <w:t>water</w:t>
      </w:r>
      <w:r>
        <w:rPr>
          <w:spacing w:val="-4"/>
        </w:rPr>
        <w:t> </w:t>
      </w:r>
      <w:r>
        <w:rPr/>
        <w:t>supply on the respondents.</w:t>
      </w:r>
    </w:p>
    <w:p>
      <w:pPr>
        <w:pStyle w:val="BodyText"/>
      </w:pPr>
    </w:p>
    <w:p>
      <w:pPr>
        <w:pStyle w:val="BodyText"/>
        <w:ind w:left="267"/>
        <w:jc w:val="both"/>
      </w:pPr>
      <w:r>
        <w:rPr/>
        <w:t>In</w:t>
      </w:r>
      <w:r>
        <w:rPr>
          <w:spacing w:val="-6"/>
        </w:rPr>
        <w:t> </w:t>
      </w:r>
      <w:r>
        <w:rPr/>
        <w:t>view</w:t>
      </w:r>
      <w:r>
        <w:rPr>
          <w:spacing w:val="-7"/>
        </w:rPr>
        <w:t> </w:t>
      </w:r>
      <w:r>
        <w:rPr/>
        <w:t>of</w:t>
      </w:r>
      <w:r>
        <w:rPr>
          <w:spacing w:val="-7"/>
        </w:rPr>
        <w:t> </w:t>
      </w:r>
      <w:r>
        <w:rPr/>
        <w:t>the</w:t>
      </w:r>
      <w:r>
        <w:rPr>
          <w:spacing w:val="-7"/>
        </w:rPr>
        <w:t> </w:t>
      </w:r>
      <w:r>
        <w:rPr/>
        <w:t>observed</w:t>
      </w:r>
      <w:r>
        <w:rPr>
          <w:spacing w:val="-5"/>
        </w:rPr>
        <w:t> </w:t>
      </w:r>
      <w:r>
        <w:rPr/>
        <w:t>low/no</w:t>
      </w:r>
      <w:r>
        <w:rPr>
          <w:spacing w:val="-6"/>
        </w:rPr>
        <w:t> </w:t>
      </w:r>
      <w:r>
        <w:rPr/>
        <w:t>access</w:t>
      </w:r>
      <w:r>
        <w:rPr>
          <w:spacing w:val="-6"/>
        </w:rPr>
        <w:t> </w:t>
      </w:r>
      <w:r>
        <w:rPr/>
        <w:t>to</w:t>
      </w:r>
      <w:r>
        <w:rPr>
          <w:spacing w:val="-6"/>
        </w:rPr>
        <w:t> </w:t>
      </w:r>
      <w:r>
        <w:rPr/>
        <w:t>pipe</w:t>
      </w:r>
      <w:r>
        <w:rPr>
          <w:spacing w:val="-7"/>
        </w:rPr>
        <w:t> </w:t>
      </w:r>
      <w:r>
        <w:rPr/>
        <w:t>water</w:t>
      </w:r>
      <w:r>
        <w:rPr>
          <w:spacing w:val="-7"/>
        </w:rPr>
        <w:t> </w:t>
      </w:r>
      <w:r>
        <w:rPr/>
        <w:t>supply</w:t>
      </w:r>
      <w:r>
        <w:rPr>
          <w:spacing w:val="-10"/>
        </w:rPr>
        <w:t> </w:t>
      </w:r>
      <w:r>
        <w:rPr/>
        <w:t>which</w:t>
      </w:r>
      <w:r>
        <w:rPr>
          <w:spacing w:val="-6"/>
        </w:rPr>
        <w:t> </w:t>
      </w:r>
      <w:r>
        <w:rPr/>
        <w:t>also</w:t>
      </w:r>
      <w:r>
        <w:rPr>
          <w:spacing w:val="-6"/>
        </w:rPr>
        <w:t> </w:t>
      </w:r>
      <w:r>
        <w:rPr/>
        <w:t>characterized</w:t>
      </w:r>
      <w:r>
        <w:rPr>
          <w:spacing w:val="-6"/>
        </w:rPr>
        <w:t> </w:t>
      </w:r>
      <w:r>
        <w:rPr/>
        <w:t>the</w:t>
      </w:r>
      <w:r>
        <w:rPr>
          <w:spacing w:val="-6"/>
        </w:rPr>
        <w:t> </w:t>
      </w:r>
      <w:r>
        <w:rPr>
          <w:spacing w:val="-4"/>
        </w:rPr>
        <w:t>four</w:t>
      </w:r>
    </w:p>
    <w:p>
      <w:pPr>
        <w:pStyle w:val="BodyText"/>
      </w:pPr>
    </w:p>
    <w:p>
      <w:pPr>
        <w:pStyle w:val="BodyText"/>
        <w:spacing w:line="480" w:lineRule="auto"/>
        <w:ind w:left="267" w:right="726"/>
        <w:jc w:val="both"/>
      </w:pPr>
      <w:r>
        <w:rPr/>
        <w:t>(4) neighbourhoods located within the public water mains, it can be implied that the respondents complement pipe water supply with other off-plot water sources to meet their water needs. These off-plot water sources as shown in Table 4.5 are informal non-network water</w:t>
      </w:r>
      <w:r>
        <w:rPr>
          <w:spacing w:val="-15"/>
        </w:rPr>
        <w:t> </w:t>
      </w:r>
      <w:r>
        <w:rPr/>
        <w:t>supplies/</w:t>
      </w:r>
      <w:r>
        <w:rPr>
          <w:spacing w:val="-14"/>
        </w:rPr>
        <w:t> </w:t>
      </w:r>
      <w:r>
        <w:rPr/>
        <w:t>other</w:t>
      </w:r>
      <w:r>
        <w:rPr>
          <w:spacing w:val="-15"/>
        </w:rPr>
        <w:t> </w:t>
      </w:r>
      <w:r>
        <w:rPr/>
        <w:t>sources</w:t>
      </w:r>
      <w:r>
        <w:rPr>
          <w:spacing w:val="-14"/>
        </w:rPr>
        <w:t> </w:t>
      </w:r>
      <w:r>
        <w:rPr/>
        <w:t>such</w:t>
      </w:r>
      <w:r>
        <w:rPr>
          <w:spacing w:val="-14"/>
        </w:rPr>
        <w:t> </w:t>
      </w:r>
      <w:r>
        <w:rPr/>
        <w:t>as</w:t>
      </w:r>
      <w:r>
        <w:rPr>
          <w:spacing w:val="-14"/>
        </w:rPr>
        <w:t> </w:t>
      </w:r>
      <w:r>
        <w:rPr/>
        <w:t>public</w:t>
      </w:r>
      <w:r>
        <w:rPr>
          <w:spacing w:val="-15"/>
        </w:rPr>
        <w:t> </w:t>
      </w:r>
      <w:r>
        <w:rPr/>
        <w:t>water,</w:t>
      </w:r>
      <w:r>
        <w:rPr>
          <w:spacing w:val="-14"/>
        </w:rPr>
        <w:t> </w:t>
      </w:r>
      <w:r>
        <w:rPr/>
        <w:t>public</w:t>
      </w:r>
      <w:r>
        <w:rPr>
          <w:spacing w:val="-15"/>
        </w:rPr>
        <w:t> </w:t>
      </w:r>
      <w:r>
        <w:rPr/>
        <w:t>covered</w:t>
      </w:r>
      <w:r>
        <w:rPr>
          <w:spacing w:val="-14"/>
        </w:rPr>
        <w:t> </w:t>
      </w:r>
      <w:r>
        <w:rPr/>
        <w:t>borehole,</w:t>
      </w:r>
      <w:r>
        <w:rPr>
          <w:spacing w:val="-12"/>
        </w:rPr>
        <w:t> </w:t>
      </w:r>
      <w:r>
        <w:rPr/>
        <w:t>private</w:t>
      </w:r>
      <w:r>
        <w:rPr>
          <w:spacing w:val="-15"/>
        </w:rPr>
        <w:t> </w:t>
      </w:r>
      <w:r>
        <w:rPr/>
        <w:t>protected dug well, public open borehole, tanker and water vendor.</w:t>
      </w:r>
      <w:r>
        <w:rPr>
          <w:spacing w:val="40"/>
        </w:rPr>
        <w:t> </w:t>
      </w:r>
      <w:r>
        <w:rPr/>
        <w:t>It is further shown in Table 4.5 that,</w:t>
      </w:r>
      <w:r>
        <w:rPr>
          <w:spacing w:val="-13"/>
        </w:rPr>
        <w:t> </w:t>
      </w:r>
      <w:r>
        <w:rPr/>
        <w:t>in</w:t>
      </w:r>
      <w:r>
        <w:rPr>
          <w:spacing w:val="-12"/>
        </w:rPr>
        <w:t> </w:t>
      </w:r>
      <w:r>
        <w:rPr/>
        <w:t>total,</w:t>
      </w:r>
      <w:r>
        <w:rPr>
          <w:spacing w:val="-12"/>
        </w:rPr>
        <w:t> </w:t>
      </w:r>
      <w:r>
        <w:rPr/>
        <w:t>only</w:t>
      </w:r>
      <w:r>
        <w:rPr>
          <w:spacing w:val="-15"/>
        </w:rPr>
        <w:t> </w:t>
      </w:r>
      <w:r>
        <w:rPr/>
        <w:t>27.06%</w:t>
      </w:r>
      <w:r>
        <w:rPr>
          <w:spacing w:val="-13"/>
        </w:rPr>
        <w:t> </w:t>
      </w:r>
      <w:r>
        <w:rPr/>
        <w:t>of</w:t>
      </w:r>
      <w:r>
        <w:rPr>
          <w:spacing w:val="-13"/>
        </w:rPr>
        <w:t> </w:t>
      </w:r>
      <w:r>
        <w:rPr/>
        <w:t>the</w:t>
      </w:r>
      <w:r>
        <w:rPr>
          <w:spacing w:val="-10"/>
        </w:rPr>
        <w:t> </w:t>
      </w:r>
      <w:r>
        <w:rPr/>
        <w:t>households</w:t>
      </w:r>
      <w:r>
        <w:rPr>
          <w:spacing w:val="-12"/>
        </w:rPr>
        <w:t> </w:t>
      </w:r>
      <w:r>
        <w:rPr/>
        <w:t>in</w:t>
      </w:r>
      <w:r>
        <w:rPr>
          <w:spacing w:val="-12"/>
        </w:rPr>
        <w:t> </w:t>
      </w:r>
      <w:r>
        <w:rPr/>
        <w:t>Dutsenkura,</w:t>
      </w:r>
      <w:r>
        <w:rPr>
          <w:spacing w:val="-12"/>
        </w:rPr>
        <w:t> </w:t>
      </w:r>
      <w:r>
        <w:rPr/>
        <w:t>49.28%</w:t>
      </w:r>
      <w:r>
        <w:rPr>
          <w:spacing w:val="-11"/>
        </w:rPr>
        <w:t> </w:t>
      </w:r>
      <w:r>
        <w:rPr/>
        <w:t>in</w:t>
      </w:r>
      <w:r>
        <w:rPr>
          <w:spacing w:val="-12"/>
        </w:rPr>
        <w:t> </w:t>
      </w:r>
      <w:r>
        <w:rPr/>
        <w:t>Tudun-Wada,</w:t>
      </w:r>
      <w:r>
        <w:rPr>
          <w:spacing w:val="-12"/>
        </w:rPr>
        <w:t> </w:t>
      </w:r>
      <w:r>
        <w:rPr/>
        <w:t>21.21% in F-Layout and 54.84% in Minna-Central had access to improved source of drinking</w:t>
      </w:r>
      <w:r>
        <w:rPr>
          <w:spacing w:val="-1"/>
        </w:rPr>
        <w:t> </w:t>
      </w:r>
      <w:r>
        <w:rPr/>
        <w:t>water within the neighbourhoods covered by public water mains in the study area. With the exception of Minna-Central, water service level is low as water from improved sources for drinking is below the top of the service ladder occupied by unimproved water sources. Surprisingly, it can further be observed that this percentage of respondents with improved water is abysmally lower when compared to those outside public water supply.</w:t>
      </w:r>
    </w:p>
    <w:p>
      <w:pPr>
        <w:pStyle w:val="BodyText"/>
        <w:spacing w:before="9"/>
      </w:pPr>
    </w:p>
    <w:p>
      <w:pPr>
        <w:pStyle w:val="Heading1"/>
        <w:numPr>
          <w:ilvl w:val="2"/>
          <w:numId w:val="10"/>
        </w:numPr>
        <w:tabs>
          <w:tab w:pos="986" w:val="left" w:leader="none"/>
        </w:tabs>
        <w:spacing w:line="240" w:lineRule="auto" w:before="0" w:after="0"/>
        <w:ind w:left="986" w:right="0" w:hanging="719"/>
        <w:jc w:val="both"/>
      </w:pPr>
      <w:r>
        <w:rPr/>
        <w:t>Households’</w:t>
      </w:r>
      <w:r>
        <w:rPr>
          <w:spacing w:val="-4"/>
        </w:rPr>
        <w:t> </w:t>
      </w:r>
      <w:r>
        <w:rPr/>
        <w:t>water</w:t>
      </w:r>
      <w:r>
        <w:rPr>
          <w:spacing w:val="-3"/>
        </w:rPr>
        <w:t> </w:t>
      </w:r>
      <w:r>
        <w:rPr/>
        <w:t>sources</w:t>
      </w:r>
      <w:r>
        <w:rPr>
          <w:spacing w:val="-1"/>
        </w:rPr>
        <w:t> </w:t>
      </w:r>
      <w:r>
        <w:rPr/>
        <w:t>for</w:t>
      </w:r>
      <w:r>
        <w:rPr>
          <w:spacing w:val="-3"/>
        </w:rPr>
        <w:t> </w:t>
      </w:r>
      <w:r>
        <w:rPr/>
        <w:t>domestic</w:t>
      </w:r>
      <w:r>
        <w:rPr>
          <w:spacing w:val="-2"/>
        </w:rPr>
        <w:t> purpose</w:t>
      </w:r>
    </w:p>
    <w:p>
      <w:pPr>
        <w:pStyle w:val="BodyText"/>
        <w:spacing w:before="14"/>
        <w:rPr>
          <w:b/>
        </w:rPr>
      </w:pPr>
    </w:p>
    <w:p>
      <w:pPr>
        <w:pStyle w:val="BodyText"/>
        <w:spacing w:line="480" w:lineRule="auto" w:before="1"/>
        <w:ind w:left="267" w:right="725"/>
        <w:jc w:val="both"/>
      </w:pPr>
      <w:r>
        <w:rPr/>
        <w:t>The</w:t>
      </w:r>
      <w:r>
        <w:rPr>
          <w:spacing w:val="-6"/>
        </w:rPr>
        <w:t> </w:t>
      </w:r>
      <w:r>
        <w:rPr/>
        <w:t>percentage</w:t>
      </w:r>
      <w:r>
        <w:rPr>
          <w:spacing w:val="-5"/>
        </w:rPr>
        <w:t> </w:t>
      </w:r>
      <w:r>
        <w:rPr/>
        <w:t>breakdown</w:t>
      </w:r>
      <w:r>
        <w:rPr>
          <w:spacing w:val="-4"/>
        </w:rPr>
        <w:t> </w:t>
      </w:r>
      <w:r>
        <w:rPr/>
        <w:t>of</w:t>
      </w:r>
      <w:r>
        <w:rPr>
          <w:spacing w:val="-6"/>
        </w:rPr>
        <w:t> </w:t>
      </w:r>
      <w:r>
        <w:rPr/>
        <w:t>households’</w:t>
      </w:r>
      <w:r>
        <w:rPr>
          <w:spacing w:val="-4"/>
        </w:rPr>
        <w:t> </w:t>
      </w:r>
      <w:r>
        <w:rPr/>
        <w:t>water</w:t>
      </w:r>
      <w:r>
        <w:rPr>
          <w:spacing w:val="-4"/>
        </w:rPr>
        <w:t> </w:t>
      </w:r>
      <w:r>
        <w:rPr/>
        <w:t>sources</w:t>
      </w:r>
      <w:r>
        <w:rPr>
          <w:spacing w:val="-5"/>
        </w:rPr>
        <w:t> </w:t>
      </w:r>
      <w:r>
        <w:rPr/>
        <w:t>for</w:t>
      </w:r>
      <w:r>
        <w:rPr>
          <w:spacing w:val="-6"/>
        </w:rPr>
        <w:t> </w:t>
      </w:r>
      <w:r>
        <w:rPr/>
        <w:t>domestic</w:t>
      </w:r>
      <w:r>
        <w:rPr>
          <w:spacing w:val="-5"/>
        </w:rPr>
        <w:t> </w:t>
      </w:r>
      <w:r>
        <w:rPr/>
        <w:t>use</w:t>
      </w:r>
      <w:r>
        <w:rPr>
          <w:spacing w:val="-3"/>
        </w:rPr>
        <w:t> </w:t>
      </w:r>
      <w:r>
        <w:rPr/>
        <w:t>(bathing,</w:t>
      </w:r>
      <w:r>
        <w:rPr>
          <w:spacing w:val="-4"/>
        </w:rPr>
        <w:t> </w:t>
      </w:r>
      <w:r>
        <w:rPr/>
        <w:t>cooking and hygiene) is shown in Table 4.5.</w:t>
      </w:r>
    </w:p>
    <w:p>
      <w:pPr>
        <w:spacing w:after="0" w:line="480" w:lineRule="auto"/>
        <w:jc w:val="both"/>
        <w:sectPr>
          <w:pgSz w:w="12240" w:h="15840"/>
          <w:pgMar w:header="0" w:footer="1068" w:top="1340" w:bottom="1260" w:left="1720" w:right="680"/>
        </w:sectPr>
      </w:pPr>
    </w:p>
    <w:p>
      <w:pPr>
        <w:pStyle w:val="Heading1"/>
        <w:spacing w:before="68" w:after="3"/>
        <w:jc w:val="both"/>
      </w:pPr>
      <w:r>
        <w:rPr/>
        <w:t>Table</w:t>
      </w:r>
      <w:r>
        <w:rPr>
          <w:spacing w:val="-3"/>
        </w:rPr>
        <w:t> </w:t>
      </w:r>
      <w:r>
        <w:rPr/>
        <w:t>4.53:</w:t>
      </w:r>
      <w:r>
        <w:rPr>
          <w:spacing w:val="-3"/>
        </w:rPr>
        <w:t> </w:t>
      </w:r>
      <w:r>
        <w:rPr/>
        <w:t>Frequency</w:t>
      </w:r>
      <w:r>
        <w:rPr>
          <w:spacing w:val="-1"/>
        </w:rPr>
        <w:t> </w:t>
      </w:r>
      <w:r>
        <w:rPr/>
        <w:t>and Percentage</w:t>
      </w:r>
      <w:r>
        <w:rPr>
          <w:spacing w:val="-3"/>
        </w:rPr>
        <w:t> </w:t>
      </w:r>
      <w:r>
        <w:rPr/>
        <w:t>of</w:t>
      </w:r>
      <w:r>
        <w:rPr>
          <w:spacing w:val="-1"/>
        </w:rPr>
        <w:t> </w:t>
      </w:r>
      <w:r>
        <w:rPr/>
        <w:t>Households</w:t>
      </w:r>
      <w:r>
        <w:rPr>
          <w:spacing w:val="-1"/>
        </w:rPr>
        <w:t> </w:t>
      </w:r>
      <w:r>
        <w:rPr/>
        <w:t>by</w:t>
      </w:r>
      <w:r>
        <w:rPr>
          <w:spacing w:val="-2"/>
        </w:rPr>
        <w:t> </w:t>
      </w:r>
      <w:r>
        <w:rPr/>
        <w:t>Source</w:t>
      </w:r>
      <w:r>
        <w:rPr>
          <w:spacing w:val="-2"/>
        </w:rPr>
        <w:t> </w:t>
      </w:r>
      <w:r>
        <w:rPr/>
        <w:t>of</w:t>
      </w:r>
      <w:r>
        <w:rPr>
          <w:spacing w:val="-1"/>
        </w:rPr>
        <w:t> </w:t>
      </w:r>
      <w:r>
        <w:rPr/>
        <w:t>Domestic</w:t>
      </w:r>
      <w:r>
        <w:rPr>
          <w:spacing w:val="-2"/>
        </w:rPr>
        <w:t> Water</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8"/>
        <w:gridCol w:w="3511"/>
        <w:gridCol w:w="3065"/>
        <w:gridCol w:w="1663"/>
      </w:tblGrid>
      <w:tr>
        <w:trPr>
          <w:trHeight w:val="275" w:hRule="atLeast"/>
        </w:trPr>
        <w:tc>
          <w:tcPr>
            <w:tcW w:w="618" w:type="dxa"/>
            <w:tcBorders>
              <w:top w:val="single" w:sz="8" w:space="0" w:color="000000"/>
              <w:bottom w:val="single" w:sz="8" w:space="0" w:color="000000"/>
            </w:tcBorders>
          </w:tcPr>
          <w:p>
            <w:pPr>
              <w:pStyle w:val="TableParagraph"/>
              <w:spacing w:line="255" w:lineRule="exact"/>
              <w:ind w:left="122"/>
              <w:rPr>
                <w:b/>
                <w:sz w:val="24"/>
              </w:rPr>
            </w:pPr>
            <w:r>
              <w:rPr>
                <w:b/>
                <w:spacing w:val="-5"/>
                <w:sz w:val="24"/>
              </w:rPr>
              <w:t>S/N</w:t>
            </w:r>
          </w:p>
        </w:tc>
        <w:tc>
          <w:tcPr>
            <w:tcW w:w="3511" w:type="dxa"/>
            <w:tcBorders>
              <w:top w:val="single" w:sz="8" w:space="0" w:color="000000"/>
              <w:bottom w:val="single" w:sz="8" w:space="0" w:color="000000"/>
            </w:tcBorders>
          </w:tcPr>
          <w:p>
            <w:pPr>
              <w:pStyle w:val="TableParagraph"/>
              <w:spacing w:line="255" w:lineRule="exact"/>
              <w:ind w:left="121"/>
              <w:rPr>
                <w:b/>
                <w:sz w:val="24"/>
              </w:rPr>
            </w:pPr>
            <w:r>
              <w:rPr>
                <w:b/>
                <w:sz w:val="24"/>
              </w:rPr>
              <w:t>Water</w:t>
            </w:r>
            <w:r>
              <w:rPr>
                <w:b/>
                <w:spacing w:val="-2"/>
                <w:sz w:val="24"/>
              </w:rPr>
              <w:t> </w:t>
            </w:r>
            <w:r>
              <w:rPr>
                <w:b/>
                <w:sz w:val="24"/>
              </w:rPr>
              <w:t>sources</w:t>
            </w:r>
            <w:r>
              <w:rPr>
                <w:b/>
                <w:spacing w:val="-1"/>
                <w:sz w:val="24"/>
              </w:rPr>
              <w:t> </w:t>
            </w:r>
            <w:r>
              <w:rPr>
                <w:b/>
                <w:sz w:val="24"/>
              </w:rPr>
              <w:t>for</w:t>
            </w:r>
            <w:r>
              <w:rPr>
                <w:b/>
                <w:spacing w:val="-1"/>
                <w:sz w:val="24"/>
              </w:rPr>
              <w:t> </w:t>
            </w:r>
            <w:r>
              <w:rPr>
                <w:b/>
                <w:spacing w:val="-2"/>
                <w:sz w:val="24"/>
              </w:rPr>
              <w:t>Domestic</w:t>
            </w:r>
          </w:p>
        </w:tc>
        <w:tc>
          <w:tcPr>
            <w:tcW w:w="3065" w:type="dxa"/>
            <w:tcBorders>
              <w:top w:val="single" w:sz="8" w:space="0" w:color="000000"/>
              <w:bottom w:val="single" w:sz="8" w:space="0" w:color="000000"/>
            </w:tcBorders>
          </w:tcPr>
          <w:p>
            <w:pPr>
              <w:pStyle w:val="TableParagraph"/>
              <w:spacing w:line="255" w:lineRule="exact"/>
              <w:ind w:left="83" w:right="2"/>
              <w:jc w:val="center"/>
              <w:rPr>
                <w:b/>
                <w:sz w:val="24"/>
              </w:rPr>
            </w:pPr>
            <w:r>
              <w:rPr>
                <w:b/>
                <w:sz w:val="24"/>
              </w:rPr>
              <w:t>*Frequency</w:t>
            </w:r>
            <w:r>
              <w:rPr>
                <w:b/>
                <w:spacing w:val="-3"/>
                <w:sz w:val="24"/>
              </w:rPr>
              <w:t> </w:t>
            </w:r>
            <w:r>
              <w:rPr>
                <w:b/>
                <w:sz w:val="24"/>
              </w:rPr>
              <w:t>of</w:t>
            </w:r>
            <w:r>
              <w:rPr>
                <w:b/>
                <w:spacing w:val="-1"/>
                <w:sz w:val="24"/>
              </w:rPr>
              <w:t> </w:t>
            </w:r>
            <w:r>
              <w:rPr>
                <w:b/>
                <w:spacing w:val="-2"/>
                <w:sz w:val="24"/>
              </w:rPr>
              <w:t>Responses</w:t>
            </w:r>
          </w:p>
        </w:tc>
        <w:tc>
          <w:tcPr>
            <w:tcW w:w="1663" w:type="dxa"/>
            <w:tcBorders>
              <w:top w:val="single" w:sz="8" w:space="0" w:color="000000"/>
              <w:bottom w:val="single" w:sz="8" w:space="0" w:color="000000"/>
            </w:tcBorders>
          </w:tcPr>
          <w:p>
            <w:pPr>
              <w:pStyle w:val="TableParagraph"/>
              <w:spacing w:line="255" w:lineRule="exact"/>
              <w:ind w:left="2" w:right="18"/>
              <w:jc w:val="center"/>
              <w:rPr>
                <w:b/>
                <w:sz w:val="24"/>
              </w:rPr>
            </w:pPr>
            <w:r>
              <w:rPr>
                <w:b/>
                <w:sz w:val="24"/>
              </w:rPr>
              <w:t>Percent</w:t>
            </w:r>
            <w:r>
              <w:rPr>
                <w:b/>
                <w:spacing w:val="-5"/>
                <w:sz w:val="24"/>
              </w:rPr>
              <w:t> (%)</w:t>
            </w:r>
          </w:p>
        </w:tc>
      </w:tr>
      <w:tr>
        <w:trPr>
          <w:trHeight w:val="277" w:hRule="atLeast"/>
        </w:trPr>
        <w:tc>
          <w:tcPr>
            <w:tcW w:w="618" w:type="dxa"/>
            <w:tcBorders>
              <w:top w:val="single" w:sz="8" w:space="0" w:color="000000"/>
            </w:tcBorders>
          </w:tcPr>
          <w:p>
            <w:pPr>
              <w:pStyle w:val="TableParagraph"/>
              <w:spacing w:line="257" w:lineRule="exact"/>
              <w:ind w:left="122"/>
              <w:rPr>
                <w:b/>
                <w:sz w:val="24"/>
              </w:rPr>
            </w:pPr>
            <w:r>
              <w:rPr>
                <w:b/>
                <w:spacing w:val="-10"/>
                <w:sz w:val="24"/>
              </w:rPr>
              <w:t>1</w:t>
            </w:r>
          </w:p>
        </w:tc>
        <w:tc>
          <w:tcPr>
            <w:tcW w:w="3511" w:type="dxa"/>
            <w:tcBorders>
              <w:top w:val="single" w:sz="8" w:space="0" w:color="000000"/>
            </w:tcBorders>
          </w:tcPr>
          <w:p>
            <w:pPr>
              <w:pStyle w:val="TableParagraph"/>
              <w:spacing w:line="257" w:lineRule="exact"/>
              <w:ind w:left="121"/>
              <w:rPr>
                <w:sz w:val="24"/>
              </w:rPr>
            </w:pPr>
            <w:r>
              <w:rPr>
                <w:sz w:val="24"/>
              </w:rPr>
              <w:t>Piped into </w:t>
            </w:r>
            <w:r>
              <w:rPr>
                <w:spacing w:val="-2"/>
                <w:sz w:val="24"/>
              </w:rPr>
              <w:t>dwelling</w:t>
            </w:r>
          </w:p>
        </w:tc>
        <w:tc>
          <w:tcPr>
            <w:tcW w:w="3065" w:type="dxa"/>
            <w:tcBorders>
              <w:top w:val="single" w:sz="8" w:space="0" w:color="000000"/>
            </w:tcBorders>
          </w:tcPr>
          <w:p>
            <w:pPr>
              <w:pStyle w:val="TableParagraph"/>
              <w:spacing w:line="257" w:lineRule="exact"/>
              <w:ind w:left="83"/>
              <w:jc w:val="center"/>
              <w:rPr>
                <w:sz w:val="24"/>
              </w:rPr>
            </w:pPr>
            <w:r>
              <w:rPr>
                <w:spacing w:val="-5"/>
                <w:sz w:val="24"/>
              </w:rPr>
              <w:t>59</w:t>
            </w:r>
          </w:p>
        </w:tc>
        <w:tc>
          <w:tcPr>
            <w:tcW w:w="1663" w:type="dxa"/>
            <w:tcBorders>
              <w:top w:val="single" w:sz="8" w:space="0" w:color="000000"/>
            </w:tcBorders>
          </w:tcPr>
          <w:p>
            <w:pPr>
              <w:pStyle w:val="TableParagraph"/>
              <w:spacing w:line="257" w:lineRule="exact"/>
              <w:ind w:left="2" w:right="18"/>
              <w:jc w:val="center"/>
              <w:rPr>
                <w:sz w:val="24"/>
              </w:rPr>
            </w:pPr>
            <w:r>
              <w:rPr>
                <w:spacing w:val="-4"/>
                <w:sz w:val="24"/>
              </w:rPr>
              <w:t>6.40</w:t>
            </w:r>
          </w:p>
        </w:tc>
      </w:tr>
      <w:tr>
        <w:trPr>
          <w:trHeight w:val="275" w:hRule="atLeast"/>
        </w:trPr>
        <w:tc>
          <w:tcPr>
            <w:tcW w:w="618" w:type="dxa"/>
          </w:tcPr>
          <w:p>
            <w:pPr>
              <w:pStyle w:val="TableParagraph"/>
              <w:spacing w:line="256" w:lineRule="exact"/>
              <w:ind w:left="122"/>
              <w:rPr>
                <w:b/>
                <w:sz w:val="24"/>
              </w:rPr>
            </w:pPr>
            <w:r>
              <w:rPr>
                <w:b/>
                <w:spacing w:val="-10"/>
                <w:sz w:val="24"/>
              </w:rPr>
              <w:t>2</w:t>
            </w:r>
          </w:p>
        </w:tc>
        <w:tc>
          <w:tcPr>
            <w:tcW w:w="3511" w:type="dxa"/>
          </w:tcPr>
          <w:p>
            <w:pPr>
              <w:pStyle w:val="TableParagraph"/>
              <w:spacing w:line="256" w:lineRule="exact"/>
              <w:ind w:left="121"/>
              <w:rPr>
                <w:sz w:val="24"/>
              </w:rPr>
            </w:pPr>
            <w:r>
              <w:rPr>
                <w:sz w:val="24"/>
              </w:rPr>
              <w:t>Piped</w:t>
            </w:r>
            <w:r>
              <w:rPr>
                <w:spacing w:val="-2"/>
                <w:sz w:val="24"/>
              </w:rPr>
              <w:t> </w:t>
            </w:r>
            <w:r>
              <w:rPr>
                <w:sz w:val="24"/>
              </w:rPr>
              <w:t>into</w:t>
            </w:r>
            <w:r>
              <w:rPr>
                <w:spacing w:val="2"/>
                <w:sz w:val="24"/>
              </w:rPr>
              <w:t> </w:t>
            </w:r>
            <w:r>
              <w:rPr>
                <w:spacing w:val="-2"/>
                <w:sz w:val="24"/>
              </w:rPr>
              <w:t>yard/plot/compound</w:t>
            </w:r>
          </w:p>
        </w:tc>
        <w:tc>
          <w:tcPr>
            <w:tcW w:w="3065" w:type="dxa"/>
          </w:tcPr>
          <w:p>
            <w:pPr>
              <w:pStyle w:val="TableParagraph"/>
              <w:spacing w:line="256" w:lineRule="exact"/>
              <w:ind w:left="83"/>
              <w:jc w:val="center"/>
              <w:rPr>
                <w:sz w:val="24"/>
              </w:rPr>
            </w:pPr>
            <w:r>
              <w:rPr>
                <w:spacing w:val="-5"/>
                <w:sz w:val="24"/>
              </w:rPr>
              <w:t>83</w:t>
            </w:r>
          </w:p>
        </w:tc>
        <w:tc>
          <w:tcPr>
            <w:tcW w:w="1663" w:type="dxa"/>
          </w:tcPr>
          <w:p>
            <w:pPr>
              <w:pStyle w:val="TableParagraph"/>
              <w:spacing w:line="256" w:lineRule="exact"/>
              <w:ind w:left="2" w:right="18"/>
              <w:jc w:val="center"/>
              <w:rPr>
                <w:sz w:val="24"/>
              </w:rPr>
            </w:pPr>
            <w:r>
              <w:rPr>
                <w:spacing w:val="-4"/>
                <w:sz w:val="24"/>
              </w:rPr>
              <w:t>9.00</w:t>
            </w:r>
          </w:p>
        </w:tc>
      </w:tr>
      <w:tr>
        <w:trPr>
          <w:trHeight w:val="276" w:hRule="atLeast"/>
        </w:trPr>
        <w:tc>
          <w:tcPr>
            <w:tcW w:w="618" w:type="dxa"/>
          </w:tcPr>
          <w:p>
            <w:pPr>
              <w:pStyle w:val="TableParagraph"/>
              <w:spacing w:line="256" w:lineRule="exact"/>
              <w:ind w:left="122"/>
              <w:rPr>
                <w:b/>
                <w:sz w:val="24"/>
              </w:rPr>
            </w:pPr>
            <w:r>
              <w:rPr>
                <w:b/>
                <w:spacing w:val="-10"/>
                <w:sz w:val="24"/>
              </w:rPr>
              <w:t>3</w:t>
            </w:r>
          </w:p>
        </w:tc>
        <w:tc>
          <w:tcPr>
            <w:tcW w:w="3511" w:type="dxa"/>
          </w:tcPr>
          <w:p>
            <w:pPr>
              <w:pStyle w:val="TableParagraph"/>
              <w:spacing w:line="256" w:lineRule="exact"/>
              <w:ind w:left="121"/>
              <w:rPr>
                <w:sz w:val="24"/>
              </w:rPr>
            </w:pPr>
            <w:r>
              <w:rPr>
                <w:sz w:val="24"/>
              </w:rPr>
              <w:t>Piped</w:t>
            </w:r>
            <w:r>
              <w:rPr>
                <w:spacing w:val="-1"/>
                <w:sz w:val="24"/>
              </w:rPr>
              <w:t> </w:t>
            </w:r>
            <w:r>
              <w:rPr>
                <w:sz w:val="24"/>
              </w:rPr>
              <w:t>water</w:t>
            </w:r>
            <w:r>
              <w:rPr>
                <w:spacing w:val="-3"/>
                <w:sz w:val="24"/>
              </w:rPr>
              <w:t> </w:t>
            </w:r>
            <w:r>
              <w:rPr>
                <w:sz w:val="24"/>
              </w:rPr>
              <w:t>from </w:t>
            </w:r>
            <w:r>
              <w:rPr>
                <w:spacing w:val="-2"/>
                <w:sz w:val="24"/>
              </w:rPr>
              <w:t>neighbor</w:t>
            </w:r>
          </w:p>
        </w:tc>
        <w:tc>
          <w:tcPr>
            <w:tcW w:w="3065" w:type="dxa"/>
          </w:tcPr>
          <w:p>
            <w:pPr>
              <w:pStyle w:val="TableParagraph"/>
              <w:spacing w:line="256" w:lineRule="exact"/>
              <w:ind w:left="83"/>
              <w:jc w:val="center"/>
              <w:rPr>
                <w:sz w:val="24"/>
              </w:rPr>
            </w:pPr>
            <w:r>
              <w:rPr>
                <w:spacing w:val="-5"/>
                <w:sz w:val="24"/>
              </w:rPr>
              <w:t>40</w:t>
            </w:r>
          </w:p>
        </w:tc>
        <w:tc>
          <w:tcPr>
            <w:tcW w:w="1663" w:type="dxa"/>
          </w:tcPr>
          <w:p>
            <w:pPr>
              <w:pStyle w:val="TableParagraph"/>
              <w:spacing w:line="256" w:lineRule="exact"/>
              <w:ind w:left="2" w:right="18"/>
              <w:jc w:val="center"/>
              <w:rPr>
                <w:sz w:val="24"/>
              </w:rPr>
            </w:pPr>
            <w:r>
              <w:rPr>
                <w:spacing w:val="-4"/>
                <w:sz w:val="24"/>
              </w:rPr>
              <w:t>4.30</w:t>
            </w:r>
          </w:p>
        </w:tc>
      </w:tr>
      <w:tr>
        <w:trPr>
          <w:trHeight w:val="276" w:hRule="atLeast"/>
        </w:trPr>
        <w:tc>
          <w:tcPr>
            <w:tcW w:w="618" w:type="dxa"/>
          </w:tcPr>
          <w:p>
            <w:pPr>
              <w:pStyle w:val="TableParagraph"/>
              <w:spacing w:line="256" w:lineRule="exact"/>
              <w:ind w:left="122"/>
              <w:rPr>
                <w:b/>
                <w:sz w:val="24"/>
              </w:rPr>
            </w:pPr>
            <w:r>
              <w:rPr>
                <w:b/>
                <w:spacing w:val="-10"/>
                <w:sz w:val="24"/>
              </w:rPr>
              <w:t>4</w:t>
            </w:r>
          </w:p>
        </w:tc>
        <w:tc>
          <w:tcPr>
            <w:tcW w:w="3511" w:type="dxa"/>
          </w:tcPr>
          <w:p>
            <w:pPr>
              <w:pStyle w:val="TableParagraph"/>
              <w:spacing w:line="256" w:lineRule="exact"/>
              <w:ind w:left="121"/>
              <w:rPr>
                <w:sz w:val="24"/>
              </w:rPr>
            </w:pPr>
            <w:r>
              <w:rPr>
                <w:sz w:val="24"/>
              </w:rPr>
              <w:t>Public</w:t>
            </w:r>
            <w:r>
              <w:rPr>
                <w:spacing w:val="-1"/>
                <w:sz w:val="24"/>
              </w:rPr>
              <w:t> </w:t>
            </w:r>
            <w:r>
              <w:rPr>
                <w:spacing w:val="-5"/>
                <w:sz w:val="24"/>
              </w:rPr>
              <w:t>tap</w:t>
            </w:r>
          </w:p>
        </w:tc>
        <w:tc>
          <w:tcPr>
            <w:tcW w:w="3065" w:type="dxa"/>
          </w:tcPr>
          <w:p>
            <w:pPr>
              <w:pStyle w:val="TableParagraph"/>
              <w:spacing w:line="256" w:lineRule="exact"/>
              <w:ind w:left="83"/>
              <w:jc w:val="center"/>
              <w:rPr>
                <w:sz w:val="24"/>
              </w:rPr>
            </w:pPr>
            <w:r>
              <w:rPr>
                <w:spacing w:val="-5"/>
                <w:sz w:val="24"/>
              </w:rPr>
              <w:t>96</w:t>
            </w:r>
          </w:p>
        </w:tc>
        <w:tc>
          <w:tcPr>
            <w:tcW w:w="1663" w:type="dxa"/>
          </w:tcPr>
          <w:p>
            <w:pPr>
              <w:pStyle w:val="TableParagraph"/>
              <w:spacing w:line="256" w:lineRule="exact"/>
              <w:ind w:left="2" w:right="18"/>
              <w:jc w:val="center"/>
              <w:rPr>
                <w:sz w:val="24"/>
              </w:rPr>
            </w:pPr>
            <w:r>
              <w:rPr>
                <w:spacing w:val="-2"/>
                <w:sz w:val="24"/>
              </w:rPr>
              <w:t>10.40</w:t>
            </w:r>
          </w:p>
        </w:tc>
      </w:tr>
      <w:tr>
        <w:trPr>
          <w:trHeight w:val="275" w:hRule="atLeast"/>
        </w:trPr>
        <w:tc>
          <w:tcPr>
            <w:tcW w:w="618" w:type="dxa"/>
          </w:tcPr>
          <w:p>
            <w:pPr>
              <w:pStyle w:val="TableParagraph"/>
              <w:spacing w:line="256" w:lineRule="exact"/>
              <w:ind w:left="122"/>
              <w:rPr>
                <w:b/>
                <w:sz w:val="24"/>
              </w:rPr>
            </w:pPr>
            <w:r>
              <w:rPr>
                <w:b/>
                <w:spacing w:val="-10"/>
                <w:sz w:val="24"/>
              </w:rPr>
              <w:t>5</w:t>
            </w:r>
          </w:p>
        </w:tc>
        <w:tc>
          <w:tcPr>
            <w:tcW w:w="3511" w:type="dxa"/>
          </w:tcPr>
          <w:p>
            <w:pPr>
              <w:pStyle w:val="TableParagraph"/>
              <w:spacing w:line="256" w:lineRule="exact"/>
              <w:ind w:left="121"/>
              <w:rPr>
                <w:sz w:val="24"/>
              </w:rPr>
            </w:pPr>
            <w:r>
              <w:rPr>
                <w:sz w:val="24"/>
              </w:rPr>
              <w:t>Public</w:t>
            </w:r>
            <w:r>
              <w:rPr>
                <w:spacing w:val="-3"/>
                <w:sz w:val="24"/>
              </w:rPr>
              <w:t> </w:t>
            </w:r>
            <w:r>
              <w:rPr>
                <w:sz w:val="24"/>
              </w:rPr>
              <w:t>covered</w:t>
            </w:r>
            <w:r>
              <w:rPr>
                <w:spacing w:val="-2"/>
                <w:sz w:val="24"/>
              </w:rPr>
              <w:t> borehole</w:t>
            </w:r>
          </w:p>
        </w:tc>
        <w:tc>
          <w:tcPr>
            <w:tcW w:w="3065" w:type="dxa"/>
          </w:tcPr>
          <w:p>
            <w:pPr>
              <w:pStyle w:val="TableParagraph"/>
              <w:spacing w:line="256" w:lineRule="exact"/>
              <w:ind w:left="83"/>
              <w:jc w:val="center"/>
              <w:rPr>
                <w:sz w:val="24"/>
              </w:rPr>
            </w:pPr>
            <w:r>
              <w:rPr>
                <w:spacing w:val="-5"/>
                <w:sz w:val="24"/>
              </w:rPr>
              <w:t>51</w:t>
            </w:r>
          </w:p>
        </w:tc>
        <w:tc>
          <w:tcPr>
            <w:tcW w:w="1663" w:type="dxa"/>
          </w:tcPr>
          <w:p>
            <w:pPr>
              <w:pStyle w:val="TableParagraph"/>
              <w:spacing w:line="256" w:lineRule="exact"/>
              <w:ind w:left="2" w:right="18"/>
              <w:jc w:val="center"/>
              <w:rPr>
                <w:sz w:val="24"/>
              </w:rPr>
            </w:pPr>
            <w:r>
              <w:rPr>
                <w:spacing w:val="-4"/>
                <w:sz w:val="24"/>
              </w:rPr>
              <w:t>5.50</w:t>
            </w:r>
          </w:p>
        </w:tc>
      </w:tr>
      <w:tr>
        <w:trPr>
          <w:trHeight w:val="275" w:hRule="atLeast"/>
        </w:trPr>
        <w:tc>
          <w:tcPr>
            <w:tcW w:w="618" w:type="dxa"/>
          </w:tcPr>
          <w:p>
            <w:pPr>
              <w:pStyle w:val="TableParagraph"/>
              <w:spacing w:line="256" w:lineRule="exact"/>
              <w:ind w:left="122"/>
              <w:rPr>
                <w:b/>
                <w:sz w:val="24"/>
              </w:rPr>
            </w:pPr>
            <w:r>
              <w:rPr>
                <w:b/>
                <w:spacing w:val="-10"/>
                <w:sz w:val="24"/>
              </w:rPr>
              <w:t>6</w:t>
            </w:r>
          </w:p>
        </w:tc>
        <w:tc>
          <w:tcPr>
            <w:tcW w:w="3511" w:type="dxa"/>
          </w:tcPr>
          <w:p>
            <w:pPr>
              <w:pStyle w:val="TableParagraph"/>
              <w:spacing w:line="256" w:lineRule="exact"/>
              <w:ind w:left="121"/>
              <w:rPr>
                <w:sz w:val="24"/>
              </w:rPr>
            </w:pPr>
            <w:r>
              <w:rPr>
                <w:sz w:val="24"/>
              </w:rPr>
              <w:t>Private</w:t>
            </w:r>
            <w:r>
              <w:rPr>
                <w:spacing w:val="-4"/>
                <w:sz w:val="24"/>
              </w:rPr>
              <w:t> </w:t>
            </w:r>
            <w:r>
              <w:rPr>
                <w:sz w:val="24"/>
              </w:rPr>
              <w:t>covered</w:t>
            </w:r>
            <w:r>
              <w:rPr>
                <w:spacing w:val="-1"/>
                <w:sz w:val="24"/>
              </w:rPr>
              <w:t> </w:t>
            </w:r>
            <w:r>
              <w:rPr>
                <w:sz w:val="24"/>
              </w:rPr>
              <w:t>dug</w:t>
            </w:r>
            <w:r>
              <w:rPr>
                <w:spacing w:val="-3"/>
                <w:sz w:val="24"/>
              </w:rPr>
              <w:t> </w:t>
            </w:r>
            <w:r>
              <w:rPr>
                <w:spacing w:val="-4"/>
                <w:sz w:val="24"/>
              </w:rPr>
              <w:t>well</w:t>
            </w:r>
          </w:p>
        </w:tc>
        <w:tc>
          <w:tcPr>
            <w:tcW w:w="3065" w:type="dxa"/>
          </w:tcPr>
          <w:p>
            <w:pPr>
              <w:pStyle w:val="TableParagraph"/>
              <w:spacing w:line="256" w:lineRule="exact"/>
              <w:ind w:left="83"/>
              <w:jc w:val="center"/>
              <w:rPr>
                <w:sz w:val="24"/>
              </w:rPr>
            </w:pPr>
            <w:r>
              <w:rPr>
                <w:spacing w:val="-5"/>
                <w:sz w:val="24"/>
              </w:rPr>
              <w:t>124</w:t>
            </w:r>
          </w:p>
        </w:tc>
        <w:tc>
          <w:tcPr>
            <w:tcW w:w="1663" w:type="dxa"/>
          </w:tcPr>
          <w:p>
            <w:pPr>
              <w:pStyle w:val="TableParagraph"/>
              <w:spacing w:line="256" w:lineRule="exact"/>
              <w:ind w:left="2" w:right="18"/>
              <w:jc w:val="center"/>
              <w:rPr>
                <w:sz w:val="24"/>
              </w:rPr>
            </w:pPr>
            <w:r>
              <w:rPr>
                <w:spacing w:val="-2"/>
                <w:sz w:val="24"/>
              </w:rPr>
              <w:t>13.50</w:t>
            </w:r>
          </w:p>
        </w:tc>
      </w:tr>
      <w:tr>
        <w:trPr>
          <w:trHeight w:val="274" w:hRule="atLeast"/>
        </w:trPr>
        <w:tc>
          <w:tcPr>
            <w:tcW w:w="618" w:type="dxa"/>
          </w:tcPr>
          <w:p>
            <w:pPr>
              <w:pStyle w:val="TableParagraph"/>
              <w:spacing w:line="255" w:lineRule="exact"/>
              <w:ind w:left="122"/>
              <w:rPr>
                <w:b/>
                <w:sz w:val="24"/>
              </w:rPr>
            </w:pPr>
            <w:r>
              <w:rPr>
                <w:b/>
                <w:spacing w:val="-10"/>
                <w:sz w:val="24"/>
              </w:rPr>
              <w:t>7</w:t>
            </w:r>
          </w:p>
        </w:tc>
        <w:tc>
          <w:tcPr>
            <w:tcW w:w="3511" w:type="dxa"/>
          </w:tcPr>
          <w:p>
            <w:pPr>
              <w:pStyle w:val="TableParagraph"/>
              <w:spacing w:line="255" w:lineRule="exact"/>
              <w:ind w:left="121"/>
              <w:rPr>
                <w:sz w:val="24"/>
              </w:rPr>
            </w:pPr>
            <w:r>
              <w:rPr>
                <w:sz w:val="24"/>
              </w:rPr>
              <w:t>Rain</w:t>
            </w:r>
            <w:r>
              <w:rPr>
                <w:spacing w:val="-1"/>
                <w:sz w:val="24"/>
              </w:rPr>
              <w:t> </w:t>
            </w:r>
            <w:r>
              <w:rPr>
                <w:spacing w:val="-2"/>
                <w:sz w:val="24"/>
              </w:rPr>
              <w:t>water</w:t>
            </w:r>
          </w:p>
        </w:tc>
        <w:tc>
          <w:tcPr>
            <w:tcW w:w="3065" w:type="dxa"/>
          </w:tcPr>
          <w:p>
            <w:pPr>
              <w:pStyle w:val="TableParagraph"/>
              <w:spacing w:line="255" w:lineRule="exact"/>
              <w:ind w:left="83"/>
              <w:jc w:val="center"/>
              <w:rPr>
                <w:sz w:val="24"/>
              </w:rPr>
            </w:pPr>
            <w:r>
              <w:rPr>
                <w:spacing w:val="-5"/>
                <w:sz w:val="24"/>
              </w:rPr>
              <w:t>168</w:t>
            </w:r>
          </w:p>
        </w:tc>
        <w:tc>
          <w:tcPr>
            <w:tcW w:w="1663" w:type="dxa"/>
          </w:tcPr>
          <w:p>
            <w:pPr>
              <w:pStyle w:val="TableParagraph"/>
              <w:spacing w:line="255" w:lineRule="exact"/>
              <w:ind w:left="2" w:right="18"/>
              <w:jc w:val="center"/>
              <w:rPr>
                <w:sz w:val="24"/>
              </w:rPr>
            </w:pPr>
            <w:r>
              <w:rPr>
                <w:spacing w:val="-2"/>
                <w:sz w:val="24"/>
              </w:rPr>
              <w:t>18.20</w:t>
            </w:r>
          </w:p>
        </w:tc>
      </w:tr>
      <w:tr>
        <w:trPr>
          <w:trHeight w:val="274" w:hRule="atLeast"/>
        </w:trPr>
        <w:tc>
          <w:tcPr>
            <w:tcW w:w="618" w:type="dxa"/>
          </w:tcPr>
          <w:p>
            <w:pPr>
              <w:pStyle w:val="TableParagraph"/>
              <w:spacing w:line="255" w:lineRule="exact"/>
              <w:ind w:left="122"/>
              <w:rPr>
                <w:b/>
                <w:sz w:val="24"/>
              </w:rPr>
            </w:pPr>
            <w:r>
              <w:rPr>
                <w:b/>
                <w:spacing w:val="-10"/>
                <w:sz w:val="24"/>
              </w:rPr>
              <w:t>8</w:t>
            </w:r>
          </w:p>
        </w:tc>
        <w:tc>
          <w:tcPr>
            <w:tcW w:w="3511" w:type="dxa"/>
          </w:tcPr>
          <w:p>
            <w:pPr>
              <w:pStyle w:val="TableParagraph"/>
              <w:spacing w:line="255" w:lineRule="exact"/>
              <w:ind w:left="121"/>
              <w:rPr>
                <w:sz w:val="24"/>
              </w:rPr>
            </w:pPr>
            <w:r>
              <w:rPr>
                <w:sz w:val="24"/>
              </w:rPr>
              <w:t>Public</w:t>
            </w:r>
            <w:r>
              <w:rPr>
                <w:spacing w:val="-2"/>
                <w:sz w:val="24"/>
              </w:rPr>
              <w:t> </w:t>
            </w:r>
            <w:r>
              <w:rPr>
                <w:sz w:val="24"/>
              </w:rPr>
              <w:t>open </w:t>
            </w:r>
            <w:r>
              <w:rPr>
                <w:spacing w:val="-2"/>
                <w:sz w:val="24"/>
              </w:rPr>
              <w:t>borehole</w:t>
            </w:r>
          </w:p>
        </w:tc>
        <w:tc>
          <w:tcPr>
            <w:tcW w:w="3065" w:type="dxa"/>
          </w:tcPr>
          <w:p>
            <w:pPr>
              <w:pStyle w:val="TableParagraph"/>
              <w:spacing w:line="255" w:lineRule="exact"/>
              <w:ind w:left="83"/>
              <w:jc w:val="center"/>
              <w:rPr>
                <w:sz w:val="24"/>
              </w:rPr>
            </w:pPr>
            <w:r>
              <w:rPr>
                <w:spacing w:val="-5"/>
                <w:sz w:val="24"/>
              </w:rPr>
              <w:t>57</w:t>
            </w:r>
          </w:p>
        </w:tc>
        <w:tc>
          <w:tcPr>
            <w:tcW w:w="1663" w:type="dxa"/>
          </w:tcPr>
          <w:p>
            <w:pPr>
              <w:pStyle w:val="TableParagraph"/>
              <w:spacing w:line="255" w:lineRule="exact"/>
              <w:ind w:left="2" w:right="18"/>
              <w:jc w:val="center"/>
              <w:rPr>
                <w:sz w:val="24"/>
              </w:rPr>
            </w:pPr>
            <w:r>
              <w:rPr>
                <w:spacing w:val="-4"/>
                <w:sz w:val="24"/>
              </w:rPr>
              <w:t>6.20</w:t>
            </w:r>
          </w:p>
        </w:tc>
      </w:tr>
      <w:tr>
        <w:trPr>
          <w:trHeight w:val="277" w:hRule="atLeast"/>
        </w:trPr>
        <w:tc>
          <w:tcPr>
            <w:tcW w:w="618" w:type="dxa"/>
          </w:tcPr>
          <w:p>
            <w:pPr>
              <w:pStyle w:val="TableParagraph"/>
              <w:spacing w:line="257" w:lineRule="exact"/>
              <w:ind w:left="122"/>
              <w:rPr>
                <w:b/>
                <w:sz w:val="24"/>
              </w:rPr>
            </w:pPr>
            <w:r>
              <w:rPr>
                <w:b/>
                <w:spacing w:val="-10"/>
                <w:sz w:val="24"/>
              </w:rPr>
              <w:t>9</w:t>
            </w:r>
          </w:p>
        </w:tc>
        <w:tc>
          <w:tcPr>
            <w:tcW w:w="3511" w:type="dxa"/>
          </w:tcPr>
          <w:p>
            <w:pPr>
              <w:pStyle w:val="TableParagraph"/>
              <w:spacing w:line="257" w:lineRule="exact"/>
              <w:ind w:left="121"/>
              <w:rPr>
                <w:sz w:val="24"/>
              </w:rPr>
            </w:pPr>
            <w:r>
              <w:rPr>
                <w:sz w:val="24"/>
              </w:rPr>
              <w:t>Bottled</w:t>
            </w:r>
            <w:r>
              <w:rPr>
                <w:spacing w:val="-4"/>
                <w:sz w:val="24"/>
              </w:rPr>
              <w:t> </w:t>
            </w:r>
            <w:r>
              <w:rPr>
                <w:spacing w:val="-2"/>
                <w:sz w:val="24"/>
              </w:rPr>
              <w:t>water</w:t>
            </w:r>
          </w:p>
        </w:tc>
        <w:tc>
          <w:tcPr>
            <w:tcW w:w="3065" w:type="dxa"/>
          </w:tcPr>
          <w:p>
            <w:pPr>
              <w:pStyle w:val="TableParagraph"/>
              <w:spacing w:line="257" w:lineRule="exact"/>
              <w:ind w:left="83"/>
              <w:jc w:val="center"/>
              <w:rPr>
                <w:sz w:val="24"/>
              </w:rPr>
            </w:pPr>
            <w:r>
              <w:rPr>
                <w:spacing w:val="-10"/>
                <w:sz w:val="24"/>
              </w:rPr>
              <w:t>3</w:t>
            </w:r>
          </w:p>
        </w:tc>
        <w:tc>
          <w:tcPr>
            <w:tcW w:w="1663" w:type="dxa"/>
          </w:tcPr>
          <w:p>
            <w:pPr>
              <w:pStyle w:val="TableParagraph"/>
              <w:spacing w:line="257" w:lineRule="exact"/>
              <w:ind w:left="2" w:right="18"/>
              <w:jc w:val="center"/>
              <w:rPr>
                <w:sz w:val="24"/>
              </w:rPr>
            </w:pPr>
            <w:r>
              <w:rPr>
                <w:spacing w:val="-4"/>
                <w:sz w:val="24"/>
              </w:rPr>
              <w:t>0.30</w:t>
            </w:r>
          </w:p>
        </w:tc>
      </w:tr>
      <w:tr>
        <w:trPr>
          <w:trHeight w:val="277" w:hRule="atLeast"/>
        </w:trPr>
        <w:tc>
          <w:tcPr>
            <w:tcW w:w="618" w:type="dxa"/>
          </w:tcPr>
          <w:p>
            <w:pPr>
              <w:pStyle w:val="TableParagraph"/>
              <w:spacing w:line="257" w:lineRule="exact"/>
              <w:ind w:left="122"/>
              <w:rPr>
                <w:b/>
                <w:sz w:val="24"/>
              </w:rPr>
            </w:pPr>
            <w:r>
              <w:rPr>
                <w:b/>
                <w:spacing w:val="-5"/>
                <w:sz w:val="24"/>
              </w:rPr>
              <w:t>10</w:t>
            </w:r>
          </w:p>
        </w:tc>
        <w:tc>
          <w:tcPr>
            <w:tcW w:w="3511" w:type="dxa"/>
          </w:tcPr>
          <w:p>
            <w:pPr>
              <w:pStyle w:val="TableParagraph"/>
              <w:spacing w:line="257" w:lineRule="exact"/>
              <w:ind w:left="121"/>
              <w:rPr>
                <w:sz w:val="24"/>
              </w:rPr>
            </w:pPr>
            <w:r>
              <w:rPr>
                <w:sz w:val="24"/>
              </w:rPr>
              <w:t>Private</w:t>
            </w:r>
            <w:r>
              <w:rPr>
                <w:spacing w:val="-5"/>
                <w:sz w:val="24"/>
              </w:rPr>
              <w:t> </w:t>
            </w:r>
            <w:r>
              <w:rPr>
                <w:sz w:val="24"/>
              </w:rPr>
              <w:t>unprotected</w:t>
            </w:r>
            <w:r>
              <w:rPr>
                <w:spacing w:val="-1"/>
                <w:sz w:val="24"/>
              </w:rPr>
              <w:t> </w:t>
            </w:r>
            <w:r>
              <w:rPr>
                <w:sz w:val="24"/>
              </w:rPr>
              <w:t>dug</w:t>
            </w:r>
            <w:r>
              <w:rPr>
                <w:spacing w:val="-2"/>
                <w:sz w:val="24"/>
              </w:rPr>
              <w:t> </w:t>
            </w:r>
            <w:r>
              <w:rPr>
                <w:spacing w:val="-4"/>
                <w:sz w:val="24"/>
              </w:rPr>
              <w:t>well</w:t>
            </w:r>
          </w:p>
        </w:tc>
        <w:tc>
          <w:tcPr>
            <w:tcW w:w="3065" w:type="dxa"/>
          </w:tcPr>
          <w:p>
            <w:pPr>
              <w:pStyle w:val="TableParagraph"/>
              <w:spacing w:line="257" w:lineRule="exact"/>
              <w:ind w:left="83"/>
              <w:jc w:val="center"/>
              <w:rPr>
                <w:sz w:val="24"/>
              </w:rPr>
            </w:pPr>
            <w:r>
              <w:rPr>
                <w:spacing w:val="-5"/>
                <w:sz w:val="24"/>
              </w:rPr>
              <w:t>13</w:t>
            </w:r>
          </w:p>
        </w:tc>
        <w:tc>
          <w:tcPr>
            <w:tcW w:w="1663" w:type="dxa"/>
          </w:tcPr>
          <w:p>
            <w:pPr>
              <w:pStyle w:val="TableParagraph"/>
              <w:spacing w:line="257" w:lineRule="exact"/>
              <w:ind w:left="2" w:right="18"/>
              <w:jc w:val="center"/>
              <w:rPr>
                <w:sz w:val="24"/>
              </w:rPr>
            </w:pPr>
            <w:r>
              <w:rPr>
                <w:spacing w:val="-4"/>
                <w:sz w:val="24"/>
              </w:rPr>
              <w:t>1.40</w:t>
            </w:r>
          </w:p>
        </w:tc>
      </w:tr>
      <w:tr>
        <w:trPr>
          <w:trHeight w:val="276" w:hRule="atLeast"/>
        </w:trPr>
        <w:tc>
          <w:tcPr>
            <w:tcW w:w="618" w:type="dxa"/>
          </w:tcPr>
          <w:p>
            <w:pPr>
              <w:pStyle w:val="TableParagraph"/>
              <w:spacing w:line="256" w:lineRule="exact"/>
              <w:ind w:left="122"/>
              <w:rPr>
                <w:b/>
                <w:sz w:val="24"/>
              </w:rPr>
            </w:pPr>
            <w:r>
              <w:rPr>
                <w:b/>
                <w:spacing w:val="-5"/>
                <w:sz w:val="24"/>
              </w:rPr>
              <w:t>11</w:t>
            </w:r>
          </w:p>
        </w:tc>
        <w:tc>
          <w:tcPr>
            <w:tcW w:w="3511" w:type="dxa"/>
          </w:tcPr>
          <w:p>
            <w:pPr>
              <w:pStyle w:val="TableParagraph"/>
              <w:spacing w:line="256" w:lineRule="exact"/>
              <w:ind w:left="121"/>
              <w:rPr>
                <w:sz w:val="24"/>
              </w:rPr>
            </w:pPr>
            <w:r>
              <w:rPr>
                <w:sz w:val="24"/>
              </w:rPr>
              <w:t>Tanker</w:t>
            </w:r>
            <w:r>
              <w:rPr>
                <w:spacing w:val="-5"/>
                <w:sz w:val="24"/>
              </w:rPr>
              <w:t> </w:t>
            </w:r>
            <w:r>
              <w:rPr>
                <w:spacing w:val="-2"/>
                <w:sz w:val="24"/>
              </w:rPr>
              <w:t>truck</w:t>
            </w:r>
          </w:p>
        </w:tc>
        <w:tc>
          <w:tcPr>
            <w:tcW w:w="3065" w:type="dxa"/>
          </w:tcPr>
          <w:p>
            <w:pPr>
              <w:pStyle w:val="TableParagraph"/>
              <w:spacing w:line="256" w:lineRule="exact"/>
              <w:ind w:left="83"/>
              <w:jc w:val="center"/>
              <w:rPr>
                <w:sz w:val="24"/>
              </w:rPr>
            </w:pPr>
            <w:r>
              <w:rPr>
                <w:spacing w:val="-5"/>
                <w:sz w:val="24"/>
              </w:rPr>
              <w:t>17</w:t>
            </w:r>
          </w:p>
        </w:tc>
        <w:tc>
          <w:tcPr>
            <w:tcW w:w="1663" w:type="dxa"/>
          </w:tcPr>
          <w:p>
            <w:pPr>
              <w:pStyle w:val="TableParagraph"/>
              <w:spacing w:line="256" w:lineRule="exact"/>
              <w:ind w:left="2" w:right="18"/>
              <w:jc w:val="center"/>
              <w:rPr>
                <w:sz w:val="24"/>
              </w:rPr>
            </w:pPr>
            <w:r>
              <w:rPr>
                <w:spacing w:val="-4"/>
                <w:sz w:val="24"/>
              </w:rPr>
              <w:t>1.80</w:t>
            </w:r>
          </w:p>
        </w:tc>
      </w:tr>
      <w:tr>
        <w:trPr>
          <w:trHeight w:val="276" w:hRule="atLeast"/>
        </w:trPr>
        <w:tc>
          <w:tcPr>
            <w:tcW w:w="618" w:type="dxa"/>
          </w:tcPr>
          <w:p>
            <w:pPr>
              <w:pStyle w:val="TableParagraph"/>
              <w:spacing w:line="256" w:lineRule="exact"/>
              <w:ind w:left="122"/>
              <w:rPr>
                <w:b/>
                <w:sz w:val="24"/>
              </w:rPr>
            </w:pPr>
            <w:r>
              <w:rPr>
                <w:b/>
                <w:spacing w:val="-5"/>
                <w:sz w:val="24"/>
              </w:rPr>
              <w:t>12</w:t>
            </w:r>
          </w:p>
        </w:tc>
        <w:tc>
          <w:tcPr>
            <w:tcW w:w="3511" w:type="dxa"/>
          </w:tcPr>
          <w:p>
            <w:pPr>
              <w:pStyle w:val="TableParagraph"/>
              <w:spacing w:line="256" w:lineRule="exact"/>
              <w:ind w:left="121"/>
              <w:rPr>
                <w:sz w:val="24"/>
              </w:rPr>
            </w:pPr>
            <w:r>
              <w:rPr>
                <w:sz w:val="24"/>
              </w:rPr>
              <w:t>Water</w:t>
            </w:r>
            <w:r>
              <w:rPr>
                <w:spacing w:val="-3"/>
                <w:sz w:val="24"/>
              </w:rPr>
              <w:t> </w:t>
            </w:r>
            <w:r>
              <w:rPr>
                <w:sz w:val="24"/>
              </w:rPr>
              <w:t>vendor/Cart</w:t>
            </w:r>
            <w:r>
              <w:rPr>
                <w:spacing w:val="-1"/>
                <w:sz w:val="24"/>
              </w:rPr>
              <w:t> </w:t>
            </w:r>
            <w:r>
              <w:rPr>
                <w:sz w:val="24"/>
              </w:rPr>
              <w:t>with</w:t>
            </w:r>
            <w:r>
              <w:rPr>
                <w:spacing w:val="-1"/>
                <w:sz w:val="24"/>
              </w:rPr>
              <w:t> </w:t>
            </w:r>
            <w:r>
              <w:rPr>
                <w:spacing w:val="-4"/>
                <w:sz w:val="24"/>
              </w:rPr>
              <w:t>tank</w:t>
            </w:r>
          </w:p>
        </w:tc>
        <w:tc>
          <w:tcPr>
            <w:tcW w:w="3065" w:type="dxa"/>
          </w:tcPr>
          <w:p>
            <w:pPr>
              <w:pStyle w:val="TableParagraph"/>
              <w:spacing w:line="256" w:lineRule="exact"/>
              <w:ind w:left="83"/>
              <w:jc w:val="center"/>
              <w:rPr>
                <w:sz w:val="24"/>
              </w:rPr>
            </w:pPr>
            <w:r>
              <w:rPr>
                <w:spacing w:val="-5"/>
                <w:sz w:val="24"/>
              </w:rPr>
              <w:t>127</w:t>
            </w:r>
          </w:p>
        </w:tc>
        <w:tc>
          <w:tcPr>
            <w:tcW w:w="1663" w:type="dxa"/>
          </w:tcPr>
          <w:p>
            <w:pPr>
              <w:pStyle w:val="TableParagraph"/>
              <w:spacing w:line="256" w:lineRule="exact"/>
              <w:ind w:left="2" w:right="18"/>
              <w:jc w:val="center"/>
              <w:rPr>
                <w:sz w:val="24"/>
              </w:rPr>
            </w:pPr>
            <w:r>
              <w:rPr>
                <w:spacing w:val="-2"/>
                <w:sz w:val="24"/>
              </w:rPr>
              <w:t>13.80</w:t>
            </w:r>
          </w:p>
        </w:tc>
      </w:tr>
      <w:tr>
        <w:trPr>
          <w:trHeight w:val="276" w:hRule="atLeast"/>
        </w:trPr>
        <w:tc>
          <w:tcPr>
            <w:tcW w:w="618" w:type="dxa"/>
          </w:tcPr>
          <w:p>
            <w:pPr>
              <w:pStyle w:val="TableParagraph"/>
              <w:spacing w:line="256" w:lineRule="exact"/>
              <w:ind w:left="122"/>
              <w:rPr>
                <w:b/>
                <w:sz w:val="24"/>
              </w:rPr>
            </w:pPr>
            <w:r>
              <w:rPr>
                <w:b/>
                <w:spacing w:val="-5"/>
                <w:sz w:val="24"/>
              </w:rPr>
              <w:t>13</w:t>
            </w:r>
          </w:p>
        </w:tc>
        <w:tc>
          <w:tcPr>
            <w:tcW w:w="3511" w:type="dxa"/>
          </w:tcPr>
          <w:p>
            <w:pPr>
              <w:pStyle w:val="TableParagraph"/>
              <w:spacing w:line="256" w:lineRule="exact"/>
              <w:ind w:left="121"/>
              <w:rPr>
                <w:sz w:val="24"/>
              </w:rPr>
            </w:pPr>
            <w:r>
              <w:rPr>
                <w:sz w:val="24"/>
              </w:rPr>
              <w:t>River</w:t>
            </w:r>
            <w:r>
              <w:rPr>
                <w:spacing w:val="-3"/>
                <w:sz w:val="24"/>
              </w:rPr>
              <w:t> </w:t>
            </w:r>
            <w:r>
              <w:rPr>
                <w:sz w:val="24"/>
              </w:rPr>
              <w:t>and </w:t>
            </w:r>
            <w:r>
              <w:rPr>
                <w:spacing w:val="-2"/>
                <w:sz w:val="24"/>
              </w:rPr>
              <w:t>stream</w:t>
            </w:r>
          </w:p>
        </w:tc>
        <w:tc>
          <w:tcPr>
            <w:tcW w:w="3065" w:type="dxa"/>
          </w:tcPr>
          <w:p>
            <w:pPr>
              <w:pStyle w:val="TableParagraph"/>
              <w:spacing w:line="256" w:lineRule="exact"/>
              <w:ind w:left="83"/>
              <w:jc w:val="center"/>
              <w:rPr>
                <w:sz w:val="24"/>
              </w:rPr>
            </w:pPr>
            <w:r>
              <w:rPr>
                <w:spacing w:val="-10"/>
                <w:sz w:val="24"/>
              </w:rPr>
              <w:t>5</w:t>
            </w:r>
          </w:p>
        </w:tc>
        <w:tc>
          <w:tcPr>
            <w:tcW w:w="1663" w:type="dxa"/>
          </w:tcPr>
          <w:p>
            <w:pPr>
              <w:pStyle w:val="TableParagraph"/>
              <w:spacing w:line="256" w:lineRule="exact"/>
              <w:ind w:left="2" w:right="18"/>
              <w:jc w:val="center"/>
              <w:rPr>
                <w:sz w:val="24"/>
              </w:rPr>
            </w:pPr>
            <w:r>
              <w:rPr>
                <w:spacing w:val="-4"/>
                <w:sz w:val="24"/>
              </w:rPr>
              <w:t>0.50</w:t>
            </w:r>
          </w:p>
        </w:tc>
      </w:tr>
      <w:tr>
        <w:trPr>
          <w:trHeight w:val="275" w:hRule="atLeast"/>
        </w:trPr>
        <w:tc>
          <w:tcPr>
            <w:tcW w:w="618" w:type="dxa"/>
          </w:tcPr>
          <w:p>
            <w:pPr>
              <w:pStyle w:val="TableParagraph"/>
              <w:spacing w:line="256" w:lineRule="exact"/>
              <w:ind w:left="122"/>
              <w:rPr>
                <w:b/>
                <w:sz w:val="24"/>
              </w:rPr>
            </w:pPr>
            <w:r>
              <w:rPr>
                <w:b/>
                <w:spacing w:val="-5"/>
                <w:sz w:val="24"/>
              </w:rPr>
              <w:t>14</w:t>
            </w:r>
          </w:p>
        </w:tc>
        <w:tc>
          <w:tcPr>
            <w:tcW w:w="3511" w:type="dxa"/>
          </w:tcPr>
          <w:p>
            <w:pPr>
              <w:pStyle w:val="TableParagraph"/>
              <w:spacing w:line="256" w:lineRule="exact"/>
              <w:ind w:left="121"/>
              <w:rPr>
                <w:sz w:val="24"/>
              </w:rPr>
            </w:pPr>
            <w:r>
              <w:rPr>
                <w:sz w:val="24"/>
              </w:rPr>
              <w:t>Pond</w:t>
            </w:r>
            <w:r>
              <w:rPr>
                <w:spacing w:val="-1"/>
                <w:sz w:val="24"/>
              </w:rPr>
              <w:t> </w:t>
            </w:r>
            <w:r>
              <w:rPr>
                <w:sz w:val="24"/>
              </w:rPr>
              <w:t>and </w:t>
            </w:r>
            <w:r>
              <w:rPr>
                <w:spacing w:val="-4"/>
                <w:sz w:val="24"/>
              </w:rPr>
              <w:t>lake</w:t>
            </w:r>
          </w:p>
        </w:tc>
        <w:tc>
          <w:tcPr>
            <w:tcW w:w="3065" w:type="dxa"/>
          </w:tcPr>
          <w:p>
            <w:pPr>
              <w:pStyle w:val="TableParagraph"/>
              <w:spacing w:line="256" w:lineRule="exact"/>
              <w:ind w:left="83"/>
              <w:jc w:val="center"/>
              <w:rPr>
                <w:sz w:val="24"/>
              </w:rPr>
            </w:pPr>
            <w:r>
              <w:rPr>
                <w:spacing w:val="-10"/>
                <w:sz w:val="24"/>
              </w:rPr>
              <w:t>0</w:t>
            </w:r>
          </w:p>
        </w:tc>
        <w:tc>
          <w:tcPr>
            <w:tcW w:w="1663" w:type="dxa"/>
          </w:tcPr>
          <w:p>
            <w:pPr>
              <w:pStyle w:val="TableParagraph"/>
              <w:spacing w:line="256" w:lineRule="exact"/>
              <w:ind w:left="2" w:right="18"/>
              <w:jc w:val="center"/>
              <w:rPr>
                <w:sz w:val="24"/>
              </w:rPr>
            </w:pPr>
            <w:r>
              <w:rPr>
                <w:spacing w:val="-4"/>
                <w:sz w:val="24"/>
              </w:rPr>
              <w:t>0.00</w:t>
            </w:r>
          </w:p>
        </w:tc>
      </w:tr>
      <w:tr>
        <w:trPr>
          <w:trHeight w:val="275" w:hRule="atLeast"/>
        </w:trPr>
        <w:tc>
          <w:tcPr>
            <w:tcW w:w="618" w:type="dxa"/>
          </w:tcPr>
          <w:p>
            <w:pPr>
              <w:pStyle w:val="TableParagraph"/>
              <w:spacing w:line="256" w:lineRule="exact"/>
              <w:ind w:left="122"/>
              <w:rPr>
                <w:b/>
                <w:sz w:val="24"/>
              </w:rPr>
            </w:pPr>
            <w:r>
              <w:rPr>
                <w:b/>
                <w:spacing w:val="-5"/>
                <w:sz w:val="24"/>
              </w:rPr>
              <w:t>15</w:t>
            </w:r>
          </w:p>
        </w:tc>
        <w:tc>
          <w:tcPr>
            <w:tcW w:w="3511" w:type="dxa"/>
          </w:tcPr>
          <w:p>
            <w:pPr>
              <w:pStyle w:val="TableParagraph"/>
              <w:spacing w:line="256" w:lineRule="exact"/>
              <w:ind w:left="121"/>
              <w:rPr>
                <w:sz w:val="24"/>
              </w:rPr>
            </w:pPr>
            <w:r>
              <w:rPr>
                <w:sz w:val="24"/>
              </w:rPr>
              <w:t>Dugout</w:t>
            </w:r>
            <w:r>
              <w:rPr>
                <w:spacing w:val="-3"/>
                <w:sz w:val="24"/>
              </w:rPr>
              <w:t> </w:t>
            </w:r>
            <w:r>
              <w:rPr>
                <w:sz w:val="24"/>
              </w:rPr>
              <w:t>and</w:t>
            </w:r>
            <w:r>
              <w:rPr>
                <w:spacing w:val="-1"/>
                <w:sz w:val="24"/>
              </w:rPr>
              <w:t> </w:t>
            </w:r>
            <w:r>
              <w:rPr>
                <w:sz w:val="24"/>
              </w:rPr>
              <w:t>shallow</w:t>
            </w:r>
            <w:r>
              <w:rPr>
                <w:spacing w:val="-1"/>
                <w:sz w:val="24"/>
              </w:rPr>
              <w:t> </w:t>
            </w:r>
            <w:r>
              <w:rPr>
                <w:spacing w:val="-4"/>
                <w:sz w:val="24"/>
              </w:rPr>
              <w:t>well</w:t>
            </w:r>
          </w:p>
        </w:tc>
        <w:tc>
          <w:tcPr>
            <w:tcW w:w="3065" w:type="dxa"/>
          </w:tcPr>
          <w:p>
            <w:pPr>
              <w:pStyle w:val="TableParagraph"/>
              <w:spacing w:line="256" w:lineRule="exact"/>
              <w:ind w:left="83"/>
              <w:jc w:val="center"/>
              <w:rPr>
                <w:sz w:val="24"/>
              </w:rPr>
            </w:pPr>
            <w:r>
              <w:rPr>
                <w:spacing w:val="-5"/>
                <w:sz w:val="24"/>
              </w:rPr>
              <w:t>23</w:t>
            </w:r>
          </w:p>
        </w:tc>
        <w:tc>
          <w:tcPr>
            <w:tcW w:w="1663" w:type="dxa"/>
          </w:tcPr>
          <w:p>
            <w:pPr>
              <w:pStyle w:val="TableParagraph"/>
              <w:spacing w:line="256" w:lineRule="exact"/>
              <w:ind w:left="2" w:right="18"/>
              <w:jc w:val="center"/>
              <w:rPr>
                <w:sz w:val="24"/>
              </w:rPr>
            </w:pPr>
            <w:r>
              <w:rPr>
                <w:spacing w:val="-4"/>
                <w:sz w:val="24"/>
              </w:rPr>
              <w:t>2.50</w:t>
            </w:r>
          </w:p>
        </w:tc>
      </w:tr>
      <w:tr>
        <w:trPr>
          <w:trHeight w:val="276" w:hRule="atLeast"/>
        </w:trPr>
        <w:tc>
          <w:tcPr>
            <w:tcW w:w="618" w:type="dxa"/>
          </w:tcPr>
          <w:p>
            <w:pPr>
              <w:pStyle w:val="TableParagraph"/>
              <w:spacing w:line="256" w:lineRule="exact"/>
              <w:ind w:left="122"/>
              <w:rPr>
                <w:b/>
                <w:sz w:val="24"/>
              </w:rPr>
            </w:pPr>
            <w:r>
              <w:rPr>
                <w:b/>
                <w:spacing w:val="-5"/>
                <w:sz w:val="24"/>
              </w:rPr>
              <w:t>16</w:t>
            </w:r>
          </w:p>
        </w:tc>
        <w:tc>
          <w:tcPr>
            <w:tcW w:w="3511" w:type="dxa"/>
          </w:tcPr>
          <w:p>
            <w:pPr>
              <w:pStyle w:val="TableParagraph"/>
              <w:spacing w:line="256" w:lineRule="exact"/>
              <w:ind w:left="121"/>
              <w:rPr>
                <w:sz w:val="24"/>
              </w:rPr>
            </w:pPr>
            <w:r>
              <w:rPr>
                <w:spacing w:val="-5"/>
                <w:sz w:val="24"/>
              </w:rPr>
              <w:t>Dam</w:t>
            </w:r>
          </w:p>
        </w:tc>
        <w:tc>
          <w:tcPr>
            <w:tcW w:w="3065" w:type="dxa"/>
          </w:tcPr>
          <w:p>
            <w:pPr>
              <w:pStyle w:val="TableParagraph"/>
              <w:spacing w:line="256" w:lineRule="exact"/>
              <w:ind w:left="83"/>
              <w:jc w:val="center"/>
              <w:rPr>
                <w:sz w:val="24"/>
              </w:rPr>
            </w:pPr>
            <w:r>
              <w:rPr>
                <w:spacing w:val="-10"/>
                <w:sz w:val="24"/>
              </w:rPr>
              <w:t>0</w:t>
            </w:r>
          </w:p>
        </w:tc>
        <w:tc>
          <w:tcPr>
            <w:tcW w:w="1663" w:type="dxa"/>
          </w:tcPr>
          <w:p>
            <w:pPr>
              <w:pStyle w:val="TableParagraph"/>
              <w:spacing w:line="256" w:lineRule="exact"/>
              <w:ind w:left="2" w:right="18"/>
              <w:jc w:val="center"/>
              <w:rPr>
                <w:sz w:val="24"/>
              </w:rPr>
            </w:pPr>
            <w:r>
              <w:rPr>
                <w:spacing w:val="-4"/>
                <w:sz w:val="24"/>
              </w:rPr>
              <w:t>0.00</w:t>
            </w:r>
          </w:p>
        </w:tc>
      </w:tr>
      <w:tr>
        <w:trPr>
          <w:trHeight w:val="413" w:hRule="atLeast"/>
        </w:trPr>
        <w:tc>
          <w:tcPr>
            <w:tcW w:w="618" w:type="dxa"/>
          </w:tcPr>
          <w:p>
            <w:pPr>
              <w:pStyle w:val="TableParagraph"/>
              <w:spacing w:line="273" w:lineRule="exact"/>
              <w:ind w:left="122"/>
              <w:rPr>
                <w:b/>
                <w:sz w:val="24"/>
              </w:rPr>
            </w:pPr>
            <w:r>
              <w:rPr>
                <w:b/>
                <w:spacing w:val="-5"/>
                <w:sz w:val="24"/>
              </w:rPr>
              <w:t>17</w:t>
            </w:r>
          </w:p>
        </w:tc>
        <w:tc>
          <w:tcPr>
            <w:tcW w:w="3511" w:type="dxa"/>
          </w:tcPr>
          <w:p>
            <w:pPr>
              <w:pStyle w:val="TableParagraph"/>
              <w:spacing w:line="268" w:lineRule="exact"/>
              <w:ind w:left="121"/>
              <w:rPr>
                <w:sz w:val="24"/>
              </w:rPr>
            </w:pPr>
            <w:r>
              <w:rPr>
                <w:sz w:val="24"/>
              </w:rPr>
              <w:t>Sachet</w:t>
            </w:r>
            <w:r>
              <w:rPr>
                <w:spacing w:val="-5"/>
                <w:sz w:val="24"/>
              </w:rPr>
              <w:t> </w:t>
            </w:r>
            <w:r>
              <w:rPr>
                <w:spacing w:val="-2"/>
                <w:sz w:val="24"/>
              </w:rPr>
              <w:t>water</w:t>
            </w:r>
          </w:p>
        </w:tc>
        <w:tc>
          <w:tcPr>
            <w:tcW w:w="3065" w:type="dxa"/>
          </w:tcPr>
          <w:p>
            <w:pPr>
              <w:pStyle w:val="TableParagraph"/>
              <w:spacing w:line="268" w:lineRule="exact"/>
              <w:ind w:left="83"/>
              <w:jc w:val="center"/>
              <w:rPr>
                <w:sz w:val="24"/>
              </w:rPr>
            </w:pPr>
            <w:r>
              <w:rPr>
                <w:spacing w:val="-5"/>
                <w:sz w:val="24"/>
              </w:rPr>
              <w:t>55</w:t>
            </w:r>
          </w:p>
        </w:tc>
        <w:tc>
          <w:tcPr>
            <w:tcW w:w="1663" w:type="dxa"/>
          </w:tcPr>
          <w:p>
            <w:pPr>
              <w:pStyle w:val="TableParagraph"/>
              <w:spacing w:line="268" w:lineRule="exact"/>
              <w:ind w:left="2" w:right="18"/>
              <w:jc w:val="center"/>
              <w:rPr>
                <w:sz w:val="24"/>
              </w:rPr>
            </w:pPr>
            <w:r>
              <w:rPr>
                <w:spacing w:val="-4"/>
                <w:sz w:val="24"/>
              </w:rPr>
              <w:t>6.00</w:t>
            </w:r>
          </w:p>
        </w:tc>
      </w:tr>
      <w:tr>
        <w:trPr>
          <w:trHeight w:val="411" w:hRule="atLeast"/>
        </w:trPr>
        <w:tc>
          <w:tcPr>
            <w:tcW w:w="618" w:type="dxa"/>
          </w:tcPr>
          <w:p>
            <w:pPr>
              <w:pStyle w:val="TableParagraph"/>
              <w:rPr>
                <w:sz w:val="24"/>
              </w:rPr>
            </w:pPr>
          </w:p>
        </w:tc>
        <w:tc>
          <w:tcPr>
            <w:tcW w:w="3511" w:type="dxa"/>
          </w:tcPr>
          <w:p>
            <w:pPr>
              <w:pStyle w:val="TableParagraph"/>
              <w:spacing w:line="261" w:lineRule="exact" w:before="130"/>
              <w:ind w:left="121"/>
              <w:rPr>
                <w:sz w:val="24"/>
              </w:rPr>
            </w:pPr>
            <w:r>
              <w:rPr>
                <w:sz w:val="24"/>
              </w:rPr>
              <w:t>Respondents</w:t>
            </w:r>
            <w:r>
              <w:rPr>
                <w:spacing w:val="-1"/>
                <w:sz w:val="24"/>
              </w:rPr>
              <w:t> </w:t>
            </w:r>
            <w:r>
              <w:rPr>
                <w:sz w:val="24"/>
              </w:rPr>
              <w:t>with</w:t>
            </w:r>
            <w:r>
              <w:rPr>
                <w:spacing w:val="-1"/>
                <w:sz w:val="24"/>
              </w:rPr>
              <w:t> </w:t>
            </w:r>
            <w:r>
              <w:rPr>
                <w:sz w:val="24"/>
              </w:rPr>
              <w:t>pipe</w:t>
            </w:r>
            <w:r>
              <w:rPr>
                <w:spacing w:val="-1"/>
                <w:sz w:val="24"/>
              </w:rPr>
              <w:t> </w:t>
            </w:r>
            <w:r>
              <w:rPr>
                <w:spacing w:val="-2"/>
                <w:sz w:val="24"/>
              </w:rPr>
              <w:t>water</w:t>
            </w:r>
          </w:p>
        </w:tc>
        <w:tc>
          <w:tcPr>
            <w:tcW w:w="3065" w:type="dxa"/>
          </w:tcPr>
          <w:p>
            <w:pPr>
              <w:pStyle w:val="TableParagraph"/>
              <w:rPr>
                <w:sz w:val="24"/>
              </w:rPr>
            </w:pPr>
          </w:p>
        </w:tc>
        <w:tc>
          <w:tcPr>
            <w:tcW w:w="1663" w:type="dxa"/>
          </w:tcPr>
          <w:p>
            <w:pPr>
              <w:pStyle w:val="TableParagraph"/>
              <w:spacing w:line="261" w:lineRule="exact" w:before="130"/>
              <w:ind w:right="18"/>
              <w:jc w:val="center"/>
              <w:rPr>
                <w:sz w:val="24"/>
              </w:rPr>
            </w:pPr>
            <w:r>
              <w:rPr>
                <w:spacing w:val="-2"/>
                <w:sz w:val="24"/>
              </w:rPr>
              <w:t>19.30%</w:t>
            </w:r>
          </w:p>
        </w:tc>
      </w:tr>
      <w:tr>
        <w:trPr>
          <w:trHeight w:val="275" w:hRule="atLeast"/>
        </w:trPr>
        <w:tc>
          <w:tcPr>
            <w:tcW w:w="618" w:type="dxa"/>
          </w:tcPr>
          <w:p>
            <w:pPr>
              <w:pStyle w:val="TableParagraph"/>
              <w:rPr>
                <w:sz w:val="20"/>
              </w:rPr>
            </w:pPr>
          </w:p>
        </w:tc>
        <w:tc>
          <w:tcPr>
            <w:tcW w:w="3511" w:type="dxa"/>
          </w:tcPr>
          <w:p>
            <w:pPr>
              <w:pStyle w:val="TableParagraph"/>
              <w:spacing w:line="256" w:lineRule="exact"/>
              <w:ind w:left="121"/>
              <w:rPr>
                <w:sz w:val="24"/>
              </w:rPr>
            </w:pPr>
            <w:r>
              <w:rPr>
                <w:sz w:val="24"/>
              </w:rPr>
              <w:t>Water</w:t>
            </w:r>
            <w:r>
              <w:rPr>
                <w:spacing w:val="-4"/>
                <w:sz w:val="24"/>
              </w:rPr>
              <w:t> </w:t>
            </w:r>
            <w:r>
              <w:rPr>
                <w:sz w:val="24"/>
              </w:rPr>
              <w:t>from</w:t>
            </w:r>
            <w:r>
              <w:rPr>
                <w:spacing w:val="-1"/>
                <w:sz w:val="24"/>
              </w:rPr>
              <w:t> </w:t>
            </w:r>
            <w:r>
              <w:rPr>
                <w:sz w:val="24"/>
              </w:rPr>
              <w:t>improved</w:t>
            </w:r>
            <w:r>
              <w:rPr>
                <w:spacing w:val="-1"/>
                <w:sz w:val="24"/>
              </w:rPr>
              <w:t> </w:t>
            </w:r>
            <w:r>
              <w:rPr>
                <w:spacing w:val="-2"/>
                <w:sz w:val="24"/>
              </w:rPr>
              <w:t>sources</w:t>
            </w:r>
          </w:p>
        </w:tc>
        <w:tc>
          <w:tcPr>
            <w:tcW w:w="3065" w:type="dxa"/>
          </w:tcPr>
          <w:p>
            <w:pPr>
              <w:pStyle w:val="TableParagraph"/>
              <w:rPr>
                <w:sz w:val="20"/>
              </w:rPr>
            </w:pPr>
          </w:p>
        </w:tc>
        <w:tc>
          <w:tcPr>
            <w:tcW w:w="1663" w:type="dxa"/>
          </w:tcPr>
          <w:p>
            <w:pPr>
              <w:pStyle w:val="TableParagraph"/>
              <w:spacing w:line="256" w:lineRule="exact"/>
              <w:ind w:right="18"/>
              <w:jc w:val="center"/>
              <w:rPr>
                <w:sz w:val="24"/>
              </w:rPr>
            </w:pPr>
            <w:r>
              <w:rPr>
                <w:spacing w:val="-2"/>
                <w:sz w:val="24"/>
              </w:rPr>
              <w:t>67.30%</w:t>
            </w:r>
          </w:p>
        </w:tc>
      </w:tr>
      <w:tr>
        <w:trPr>
          <w:trHeight w:val="276" w:hRule="atLeast"/>
        </w:trPr>
        <w:tc>
          <w:tcPr>
            <w:tcW w:w="618" w:type="dxa"/>
          </w:tcPr>
          <w:p>
            <w:pPr>
              <w:pStyle w:val="TableParagraph"/>
              <w:rPr>
                <w:sz w:val="20"/>
              </w:rPr>
            </w:pPr>
          </w:p>
        </w:tc>
        <w:tc>
          <w:tcPr>
            <w:tcW w:w="3511" w:type="dxa"/>
          </w:tcPr>
          <w:p>
            <w:pPr>
              <w:pStyle w:val="TableParagraph"/>
              <w:spacing w:line="256" w:lineRule="exact"/>
              <w:ind w:left="121"/>
              <w:rPr>
                <w:sz w:val="24"/>
              </w:rPr>
            </w:pPr>
            <w:r>
              <w:rPr>
                <w:sz w:val="24"/>
              </w:rPr>
              <w:t>Water</w:t>
            </w:r>
            <w:r>
              <w:rPr>
                <w:spacing w:val="-4"/>
                <w:sz w:val="24"/>
              </w:rPr>
              <w:t> </w:t>
            </w:r>
            <w:r>
              <w:rPr>
                <w:sz w:val="24"/>
              </w:rPr>
              <w:t>from</w:t>
            </w:r>
            <w:r>
              <w:rPr>
                <w:spacing w:val="-1"/>
                <w:sz w:val="24"/>
              </w:rPr>
              <w:t> </w:t>
            </w:r>
            <w:r>
              <w:rPr>
                <w:sz w:val="24"/>
              </w:rPr>
              <w:t>unimproved</w:t>
            </w:r>
            <w:r>
              <w:rPr>
                <w:spacing w:val="1"/>
                <w:sz w:val="24"/>
              </w:rPr>
              <w:t> </w:t>
            </w:r>
            <w:r>
              <w:rPr>
                <w:spacing w:val="-2"/>
                <w:sz w:val="24"/>
              </w:rPr>
              <w:t>sources</w:t>
            </w:r>
          </w:p>
        </w:tc>
        <w:tc>
          <w:tcPr>
            <w:tcW w:w="3065" w:type="dxa"/>
          </w:tcPr>
          <w:p>
            <w:pPr>
              <w:pStyle w:val="TableParagraph"/>
              <w:rPr>
                <w:sz w:val="20"/>
              </w:rPr>
            </w:pPr>
          </w:p>
        </w:tc>
        <w:tc>
          <w:tcPr>
            <w:tcW w:w="1663" w:type="dxa"/>
          </w:tcPr>
          <w:p>
            <w:pPr>
              <w:pStyle w:val="TableParagraph"/>
              <w:spacing w:line="256" w:lineRule="exact"/>
              <w:ind w:right="18"/>
              <w:jc w:val="center"/>
              <w:rPr>
                <w:sz w:val="24"/>
              </w:rPr>
            </w:pPr>
            <w:r>
              <w:rPr>
                <w:spacing w:val="-2"/>
                <w:sz w:val="24"/>
              </w:rPr>
              <w:t>32.70%</w:t>
            </w:r>
          </w:p>
        </w:tc>
      </w:tr>
      <w:tr>
        <w:trPr>
          <w:trHeight w:val="275" w:hRule="atLeast"/>
        </w:trPr>
        <w:tc>
          <w:tcPr>
            <w:tcW w:w="618" w:type="dxa"/>
          </w:tcPr>
          <w:p>
            <w:pPr>
              <w:pStyle w:val="TableParagraph"/>
              <w:rPr>
                <w:sz w:val="20"/>
              </w:rPr>
            </w:pPr>
          </w:p>
        </w:tc>
        <w:tc>
          <w:tcPr>
            <w:tcW w:w="3511" w:type="dxa"/>
          </w:tcPr>
          <w:p>
            <w:pPr>
              <w:pStyle w:val="TableParagraph"/>
              <w:spacing w:line="256" w:lineRule="exact"/>
              <w:ind w:left="121"/>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respondents</w:t>
            </w:r>
          </w:p>
        </w:tc>
        <w:tc>
          <w:tcPr>
            <w:tcW w:w="3065" w:type="dxa"/>
          </w:tcPr>
          <w:p>
            <w:pPr>
              <w:pStyle w:val="TableParagraph"/>
              <w:spacing w:line="256" w:lineRule="exact"/>
              <w:ind w:left="83"/>
              <w:jc w:val="center"/>
              <w:rPr>
                <w:sz w:val="24"/>
              </w:rPr>
            </w:pPr>
            <w:r>
              <w:rPr>
                <w:spacing w:val="-5"/>
                <w:sz w:val="24"/>
              </w:rPr>
              <w:t>359</w:t>
            </w:r>
          </w:p>
        </w:tc>
        <w:tc>
          <w:tcPr>
            <w:tcW w:w="1663" w:type="dxa"/>
          </w:tcPr>
          <w:p>
            <w:pPr>
              <w:pStyle w:val="TableParagraph"/>
              <w:rPr>
                <w:sz w:val="20"/>
              </w:rPr>
            </w:pPr>
          </w:p>
        </w:tc>
      </w:tr>
      <w:tr>
        <w:trPr>
          <w:trHeight w:val="281" w:hRule="atLeast"/>
        </w:trPr>
        <w:tc>
          <w:tcPr>
            <w:tcW w:w="618" w:type="dxa"/>
            <w:tcBorders>
              <w:bottom w:val="single" w:sz="8" w:space="0" w:color="000000"/>
            </w:tcBorders>
          </w:tcPr>
          <w:p>
            <w:pPr>
              <w:pStyle w:val="TableParagraph"/>
              <w:rPr>
                <w:sz w:val="20"/>
              </w:rPr>
            </w:pPr>
          </w:p>
        </w:tc>
        <w:tc>
          <w:tcPr>
            <w:tcW w:w="3511" w:type="dxa"/>
            <w:tcBorders>
              <w:bottom w:val="single" w:sz="8" w:space="0" w:color="000000"/>
            </w:tcBorders>
          </w:tcPr>
          <w:p>
            <w:pPr>
              <w:pStyle w:val="TableParagraph"/>
              <w:spacing w:line="261" w:lineRule="exact"/>
              <w:ind w:left="121"/>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responses</w:t>
            </w:r>
          </w:p>
        </w:tc>
        <w:tc>
          <w:tcPr>
            <w:tcW w:w="3065" w:type="dxa"/>
            <w:tcBorders>
              <w:bottom w:val="single" w:sz="8" w:space="0" w:color="000000"/>
            </w:tcBorders>
          </w:tcPr>
          <w:p>
            <w:pPr>
              <w:pStyle w:val="TableParagraph"/>
              <w:spacing w:line="261" w:lineRule="exact"/>
              <w:ind w:left="83"/>
              <w:jc w:val="center"/>
              <w:rPr>
                <w:sz w:val="24"/>
              </w:rPr>
            </w:pPr>
            <w:r>
              <w:rPr>
                <w:spacing w:val="-5"/>
                <w:sz w:val="24"/>
              </w:rPr>
              <w:t>921</w:t>
            </w:r>
          </w:p>
        </w:tc>
        <w:tc>
          <w:tcPr>
            <w:tcW w:w="1663" w:type="dxa"/>
            <w:tcBorders>
              <w:bottom w:val="single" w:sz="8" w:space="0" w:color="000000"/>
            </w:tcBorders>
          </w:tcPr>
          <w:p>
            <w:pPr>
              <w:pStyle w:val="TableParagraph"/>
              <w:spacing w:line="261" w:lineRule="exact"/>
              <w:ind w:left="3" w:right="18"/>
              <w:jc w:val="center"/>
              <w:rPr>
                <w:sz w:val="24"/>
              </w:rPr>
            </w:pPr>
            <w:r>
              <w:rPr>
                <w:spacing w:val="-4"/>
                <w:sz w:val="24"/>
              </w:rPr>
              <w:t>100%</w:t>
            </w:r>
          </w:p>
        </w:tc>
      </w:tr>
    </w:tbl>
    <w:p>
      <w:pPr>
        <w:pStyle w:val="BodyText"/>
        <w:rPr>
          <w:b/>
        </w:rPr>
      </w:pPr>
    </w:p>
    <w:p>
      <w:pPr>
        <w:pStyle w:val="BodyText"/>
        <w:spacing w:before="1"/>
        <w:rPr>
          <w:b/>
        </w:rPr>
      </w:pPr>
    </w:p>
    <w:p>
      <w:pPr>
        <w:pStyle w:val="BodyText"/>
        <w:spacing w:line="480" w:lineRule="auto"/>
        <w:ind w:left="267" w:right="726"/>
        <w:jc w:val="both"/>
      </w:pPr>
      <w:r>
        <w:rPr/>
        <w:t>As</w:t>
      </w:r>
      <w:r>
        <w:rPr>
          <w:spacing w:val="-9"/>
        </w:rPr>
        <w:t> </w:t>
      </w:r>
      <w:r>
        <w:rPr/>
        <w:t>shown</w:t>
      </w:r>
      <w:r>
        <w:rPr>
          <w:spacing w:val="-9"/>
        </w:rPr>
        <w:t> </w:t>
      </w:r>
      <w:r>
        <w:rPr/>
        <w:t>in</w:t>
      </w:r>
      <w:r>
        <w:rPr>
          <w:spacing w:val="-8"/>
        </w:rPr>
        <w:t> </w:t>
      </w:r>
      <w:r>
        <w:rPr/>
        <w:t>Table</w:t>
      </w:r>
      <w:r>
        <w:rPr>
          <w:spacing w:val="-9"/>
        </w:rPr>
        <w:t> </w:t>
      </w:r>
      <w:r>
        <w:rPr/>
        <w:t>4.5,</w:t>
      </w:r>
      <w:r>
        <w:rPr>
          <w:spacing w:val="-8"/>
        </w:rPr>
        <w:t> </w:t>
      </w:r>
      <w:r>
        <w:rPr/>
        <w:t>respondents</w:t>
      </w:r>
      <w:r>
        <w:rPr>
          <w:spacing w:val="-8"/>
        </w:rPr>
        <w:t> </w:t>
      </w:r>
      <w:r>
        <w:rPr/>
        <w:t>employ</w:t>
      </w:r>
      <w:r>
        <w:rPr>
          <w:spacing w:val="-12"/>
        </w:rPr>
        <w:t> </w:t>
      </w:r>
      <w:r>
        <w:rPr/>
        <w:t>various</w:t>
      </w:r>
      <w:r>
        <w:rPr>
          <w:spacing w:val="-8"/>
        </w:rPr>
        <w:t> </w:t>
      </w:r>
      <w:r>
        <w:rPr/>
        <w:t>water</w:t>
      </w:r>
      <w:r>
        <w:rPr>
          <w:spacing w:val="-9"/>
        </w:rPr>
        <w:t> </w:t>
      </w:r>
      <w:r>
        <w:rPr/>
        <w:t>delivery</w:t>
      </w:r>
      <w:r>
        <w:rPr>
          <w:spacing w:val="-12"/>
        </w:rPr>
        <w:t> </w:t>
      </w:r>
      <w:r>
        <w:rPr/>
        <w:t>mechanisms</w:t>
      </w:r>
      <w:r>
        <w:rPr>
          <w:spacing w:val="-8"/>
        </w:rPr>
        <w:t> </w:t>
      </w:r>
      <w:r>
        <w:rPr/>
        <w:t>in</w:t>
      </w:r>
      <w:r>
        <w:rPr>
          <w:spacing w:val="-8"/>
        </w:rPr>
        <w:t> </w:t>
      </w:r>
      <w:r>
        <w:rPr/>
        <w:t>providing water for their domestic use, based on their total responses (N=921) in the study area. In descending order, the respondents identified rain water collection (18.20%), water vendor (13.80%), private covered dug well (13.50%) and public water (10.40%) as the 4 main sources of water for domestic use in all the 8 surveyed neigbourhoods. This equally</w:t>
      </w:r>
      <w:r>
        <w:rPr>
          <w:spacing w:val="-5"/>
        </w:rPr>
        <w:t> </w:t>
      </w:r>
      <w:r>
        <w:rPr/>
        <w:t>implies that rain water harvest is the predominant water source for domestic purpose in the study </w:t>
      </w:r>
      <w:r>
        <w:rPr>
          <w:spacing w:val="-2"/>
        </w:rPr>
        <w:t>area.</w:t>
      </w:r>
    </w:p>
    <w:p>
      <w:pPr>
        <w:pStyle w:val="BodyText"/>
        <w:spacing w:before="1"/>
      </w:pPr>
    </w:p>
    <w:p>
      <w:pPr>
        <w:pStyle w:val="BodyText"/>
        <w:spacing w:line="480" w:lineRule="auto"/>
        <w:ind w:left="267" w:right="728"/>
        <w:jc w:val="both"/>
      </w:pPr>
      <w:r>
        <w:rPr/>
        <w:t>In addition, 6.40% of the respondents used pipe water into dwelling, 6.20% had public opened</w:t>
      </w:r>
      <w:r>
        <w:rPr>
          <w:spacing w:val="-15"/>
        </w:rPr>
        <w:t> </w:t>
      </w:r>
      <w:r>
        <w:rPr/>
        <w:t>borehole,</w:t>
      </w:r>
      <w:r>
        <w:rPr>
          <w:spacing w:val="-14"/>
        </w:rPr>
        <w:t> </w:t>
      </w:r>
      <w:r>
        <w:rPr/>
        <w:t>6.00%</w:t>
      </w:r>
      <w:r>
        <w:rPr>
          <w:spacing w:val="-12"/>
        </w:rPr>
        <w:t> </w:t>
      </w:r>
      <w:r>
        <w:rPr/>
        <w:t>used</w:t>
      </w:r>
      <w:r>
        <w:rPr>
          <w:spacing w:val="-13"/>
        </w:rPr>
        <w:t> </w:t>
      </w:r>
      <w:r>
        <w:rPr/>
        <w:t>sachet</w:t>
      </w:r>
      <w:r>
        <w:rPr>
          <w:spacing w:val="-12"/>
        </w:rPr>
        <w:t> </w:t>
      </w:r>
      <w:r>
        <w:rPr/>
        <w:t>water</w:t>
      </w:r>
      <w:r>
        <w:rPr>
          <w:spacing w:val="-12"/>
        </w:rPr>
        <w:t> </w:t>
      </w:r>
      <w:r>
        <w:rPr/>
        <w:t>while</w:t>
      </w:r>
      <w:r>
        <w:rPr>
          <w:spacing w:val="-14"/>
        </w:rPr>
        <w:t> </w:t>
      </w:r>
      <w:r>
        <w:rPr/>
        <w:t>5.50%</w:t>
      </w:r>
      <w:r>
        <w:rPr>
          <w:spacing w:val="-14"/>
        </w:rPr>
        <w:t> </w:t>
      </w:r>
      <w:r>
        <w:rPr/>
        <w:t>used</w:t>
      </w:r>
      <w:r>
        <w:rPr>
          <w:spacing w:val="-12"/>
        </w:rPr>
        <w:t> </w:t>
      </w:r>
      <w:r>
        <w:rPr/>
        <w:t>public</w:t>
      </w:r>
      <w:r>
        <w:rPr>
          <w:spacing w:val="-14"/>
        </w:rPr>
        <w:t> </w:t>
      </w:r>
      <w:r>
        <w:rPr/>
        <w:t>covered</w:t>
      </w:r>
      <w:r>
        <w:rPr>
          <w:spacing w:val="-11"/>
        </w:rPr>
        <w:t> </w:t>
      </w:r>
      <w:r>
        <w:rPr/>
        <w:t>borehole</w:t>
      </w:r>
      <w:r>
        <w:rPr>
          <w:spacing w:val="-14"/>
        </w:rPr>
        <w:t> </w:t>
      </w:r>
      <w:r>
        <w:rPr/>
        <w:t>as</w:t>
      </w:r>
      <w:r>
        <w:rPr>
          <w:spacing w:val="-12"/>
        </w:rPr>
        <w:t> </w:t>
      </w:r>
      <w:r>
        <w:rPr>
          <w:spacing w:val="-2"/>
        </w:rPr>
        <w:t>their</w:t>
      </w:r>
    </w:p>
    <w:p>
      <w:pPr>
        <w:spacing w:after="0" w:line="480" w:lineRule="auto"/>
        <w:jc w:val="both"/>
        <w:sectPr>
          <w:pgSz w:w="12240" w:h="15840"/>
          <w:pgMar w:header="0" w:footer="1068" w:top="1340" w:bottom="1260" w:left="1720" w:right="680"/>
        </w:sectPr>
      </w:pPr>
    </w:p>
    <w:p>
      <w:pPr>
        <w:pStyle w:val="BodyText"/>
        <w:spacing w:line="480" w:lineRule="auto" w:before="63"/>
        <w:ind w:left="267" w:right="701"/>
      </w:pPr>
      <w:r>
        <w:rPr/>
        <w:t>domestic</w:t>
      </w:r>
      <w:r>
        <w:rPr>
          <w:spacing w:val="-7"/>
        </w:rPr>
        <w:t> </w:t>
      </w:r>
      <w:r>
        <w:rPr/>
        <w:t>source</w:t>
      </w:r>
      <w:r>
        <w:rPr>
          <w:spacing w:val="-7"/>
        </w:rPr>
        <w:t> </w:t>
      </w:r>
      <w:r>
        <w:rPr/>
        <w:t>of</w:t>
      </w:r>
      <w:r>
        <w:rPr>
          <w:spacing w:val="-7"/>
        </w:rPr>
        <w:t> </w:t>
      </w:r>
      <w:r>
        <w:rPr/>
        <w:t>water</w:t>
      </w:r>
      <w:r>
        <w:rPr>
          <w:spacing w:val="-5"/>
        </w:rPr>
        <w:t> </w:t>
      </w:r>
      <w:r>
        <w:rPr/>
        <w:t>supply.</w:t>
      </w:r>
      <w:r>
        <w:rPr>
          <w:spacing w:val="-3"/>
        </w:rPr>
        <w:t> </w:t>
      </w:r>
      <w:r>
        <w:rPr/>
        <w:t>In</w:t>
      </w:r>
      <w:r>
        <w:rPr>
          <w:spacing w:val="-6"/>
        </w:rPr>
        <w:t> </w:t>
      </w:r>
      <w:r>
        <w:rPr/>
        <w:t>aggregate</w:t>
      </w:r>
      <w:r>
        <w:rPr>
          <w:spacing w:val="-6"/>
        </w:rPr>
        <w:t> </w:t>
      </w:r>
      <w:r>
        <w:rPr/>
        <w:t>terms,</w:t>
      </w:r>
      <w:r>
        <w:rPr>
          <w:spacing w:val="-6"/>
        </w:rPr>
        <w:t> </w:t>
      </w:r>
      <w:r>
        <w:rPr/>
        <w:t>24.10%</w:t>
      </w:r>
      <w:r>
        <w:rPr>
          <w:spacing w:val="-7"/>
        </w:rPr>
        <w:t> </w:t>
      </w:r>
      <w:r>
        <w:rPr/>
        <w:t>of</w:t>
      </w:r>
      <w:r>
        <w:rPr>
          <w:spacing w:val="-7"/>
        </w:rPr>
        <w:t> </w:t>
      </w:r>
      <w:r>
        <w:rPr/>
        <w:t>the</w:t>
      </w:r>
      <w:r>
        <w:rPr>
          <w:spacing w:val="-6"/>
        </w:rPr>
        <w:t> </w:t>
      </w:r>
      <w:r>
        <w:rPr/>
        <w:t>respondents</w:t>
      </w:r>
      <w:r>
        <w:rPr>
          <w:spacing w:val="-5"/>
        </w:rPr>
        <w:t> </w:t>
      </w:r>
      <w:r>
        <w:rPr/>
        <w:t>have</w:t>
      </w:r>
      <w:r>
        <w:rPr>
          <w:spacing w:val="-7"/>
        </w:rPr>
        <w:t> </w:t>
      </w:r>
      <w:r>
        <w:rPr/>
        <w:t>access to</w:t>
      </w:r>
      <w:r>
        <w:rPr>
          <w:spacing w:val="-7"/>
        </w:rPr>
        <w:t> </w:t>
      </w:r>
      <w:r>
        <w:rPr/>
        <w:t>public</w:t>
      </w:r>
      <w:r>
        <w:rPr>
          <w:spacing w:val="-7"/>
        </w:rPr>
        <w:t> </w:t>
      </w:r>
      <w:r>
        <w:rPr/>
        <w:t>pipe</w:t>
      </w:r>
      <w:r>
        <w:rPr>
          <w:spacing w:val="-5"/>
        </w:rPr>
        <w:t> </w:t>
      </w:r>
      <w:r>
        <w:rPr/>
        <w:t>water</w:t>
      </w:r>
      <w:r>
        <w:rPr>
          <w:spacing w:val="-5"/>
        </w:rPr>
        <w:t> </w:t>
      </w:r>
      <w:r>
        <w:rPr/>
        <w:t>for</w:t>
      </w:r>
      <w:r>
        <w:rPr>
          <w:spacing w:val="-7"/>
        </w:rPr>
        <w:t> </w:t>
      </w:r>
      <w:r>
        <w:rPr/>
        <w:t>domestic</w:t>
      </w:r>
      <w:r>
        <w:rPr>
          <w:spacing w:val="-8"/>
        </w:rPr>
        <w:t> </w:t>
      </w:r>
      <w:r>
        <w:rPr/>
        <w:t>use</w:t>
      </w:r>
      <w:r>
        <w:rPr>
          <w:spacing w:val="-7"/>
        </w:rPr>
        <w:t> </w:t>
      </w:r>
      <w:r>
        <w:rPr/>
        <w:t>in</w:t>
      </w:r>
      <w:r>
        <w:rPr>
          <w:spacing w:val="-5"/>
        </w:rPr>
        <w:t> </w:t>
      </w:r>
      <w:r>
        <w:rPr/>
        <w:t>the</w:t>
      </w:r>
      <w:r>
        <w:rPr>
          <w:spacing w:val="-7"/>
        </w:rPr>
        <w:t> </w:t>
      </w:r>
      <w:r>
        <w:rPr/>
        <w:t>study</w:t>
      </w:r>
      <w:r>
        <w:rPr>
          <w:spacing w:val="-9"/>
        </w:rPr>
        <w:t> </w:t>
      </w:r>
      <w:r>
        <w:rPr/>
        <w:t>area.</w:t>
      </w:r>
      <w:r>
        <w:rPr>
          <w:spacing w:val="-4"/>
        </w:rPr>
        <w:t> </w:t>
      </w:r>
      <w:r>
        <w:rPr/>
        <w:t>However,</w:t>
      </w:r>
      <w:r>
        <w:rPr>
          <w:spacing w:val="-6"/>
        </w:rPr>
        <w:t> </w:t>
      </w:r>
      <w:r>
        <w:rPr/>
        <w:t>the</w:t>
      </w:r>
      <w:r>
        <w:rPr>
          <w:spacing w:val="-7"/>
        </w:rPr>
        <w:t> </w:t>
      </w:r>
      <w:r>
        <w:rPr/>
        <w:t>least</w:t>
      </w:r>
      <w:r>
        <w:rPr>
          <w:spacing w:val="-7"/>
        </w:rPr>
        <w:t> </w:t>
      </w:r>
      <w:r>
        <w:rPr/>
        <w:t>employed</w:t>
      </w:r>
      <w:r>
        <w:rPr>
          <w:spacing w:val="-7"/>
        </w:rPr>
        <w:t> </w:t>
      </w:r>
      <w:r>
        <w:rPr/>
        <w:t>sources of domestic water by</w:t>
      </w:r>
      <w:r>
        <w:rPr>
          <w:spacing w:val="-3"/>
        </w:rPr>
        <w:t> </w:t>
      </w:r>
      <w:r>
        <w:rPr/>
        <w:t>respondents accounting for less than 5% of the water sources are pipe water</w:t>
      </w:r>
      <w:r>
        <w:rPr>
          <w:spacing w:val="30"/>
        </w:rPr>
        <w:t> </w:t>
      </w:r>
      <w:r>
        <w:rPr/>
        <w:t>from</w:t>
      </w:r>
      <w:r>
        <w:rPr>
          <w:spacing w:val="32"/>
        </w:rPr>
        <w:t> </w:t>
      </w:r>
      <w:r>
        <w:rPr/>
        <w:t>neighbor</w:t>
      </w:r>
      <w:r>
        <w:rPr>
          <w:spacing w:val="31"/>
        </w:rPr>
        <w:t> </w:t>
      </w:r>
      <w:r>
        <w:rPr/>
        <w:t>(4.30%),</w:t>
      </w:r>
      <w:r>
        <w:rPr>
          <w:spacing w:val="31"/>
        </w:rPr>
        <w:t> </w:t>
      </w:r>
      <w:r>
        <w:rPr/>
        <w:t>dugout/shallow</w:t>
      </w:r>
      <w:r>
        <w:rPr>
          <w:spacing w:val="31"/>
        </w:rPr>
        <w:t> </w:t>
      </w:r>
      <w:r>
        <w:rPr/>
        <w:t>well</w:t>
      </w:r>
      <w:r>
        <w:rPr>
          <w:spacing w:val="32"/>
        </w:rPr>
        <w:t> </w:t>
      </w:r>
      <w:r>
        <w:rPr/>
        <w:t>(2.50%),</w:t>
      </w:r>
      <w:r>
        <w:rPr>
          <w:spacing w:val="31"/>
        </w:rPr>
        <w:t> </w:t>
      </w:r>
      <w:r>
        <w:rPr/>
        <w:t>tanker</w:t>
      </w:r>
      <w:r>
        <w:rPr>
          <w:spacing w:val="31"/>
        </w:rPr>
        <w:t> </w:t>
      </w:r>
      <w:r>
        <w:rPr/>
        <w:t>water</w:t>
      </w:r>
      <w:r>
        <w:rPr>
          <w:spacing w:val="31"/>
        </w:rPr>
        <w:t> </w:t>
      </w:r>
      <w:r>
        <w:rPr/>
        <w:t>truck</w:t>
      </w:r>
      <w:r>
        <w:rPr>
          <w:spacing w:val="35"/>
        </w:rPr>
        <w:t> </w:t>
      </w:r>
      <w:r>
        <w:rPr/>
        <w:t>(1.80%), private unprotected dug well (1.40%), river and stream (0.50%) and bottled water (0.30%). In</w:t>
      </w:r>
      <w:r>
        <w:rPr>
          <w:spacing w:val="-12"/>
        </w:rPr>
        <w:t> </w:t>
      </w:r>
      <w:r>
        <w:rPr/>
        <w:t>total,</w:t>
      </w:r>
      <w:r>
        <w:rPr>
          <w:spacing w:val="-11"/>
        </w:rPr>
        <w:t> </w:t>
      </w:r>
      <w:r>
        <w:rPr/>
        <w:t>improved</w:t>
      </w:r>
      <w:r>
        <w:rPr>
          <w:spacing w:val="-12"/>
        </w:rPr>
        <w:t> </w:t>
      </w:r>
      <w:r>
        <w:rPr/>
        <w:t>water</w:t>
      </w:r>
      <w:r>
        <w:rPr>
          <w:spacing w:val="-13"/>
        </w:rPr>
        <w:t> </w:t>
      </w:r>
      <w:r>
        <w:rPr/>
        <w:t>represents</w:t>
      </w:r>
      <w:r>
        <w:rPr>
          <w:spacing w:val="-9"/>
        </w:rPr>
        <w:t> </w:t>
      </w:r>
      <w:r>
        <w:rPr/>
        <w:t>67.30%</w:t>
      </w:r>
      <w:r>
        <w:rPr>
          <w:spacing w:val="-12"/>
        </w:rPr>
        <w:t> </w:t>
      </w:r>
      <w:r>
        <w:rPr/>
        <w:t>of</w:t>
      </w:r>
      <w:r>
        <w:rPr>
          <w:spacing w:val="-12"/>
        </w:rPr>
        <w:t> </w:t>
      </w:r>
      <w:r>
        <w:rPr/>
        <w:t>the</w:t>
      </w:r>
      <w:r>
        <w:rPr>
          <w:spacing w:val="-12"/>
        </w:rPr>
        <w:t> </w:t>
      </w:r>
      <w:r>
        <w:rPr/>
        <w:t>water</w:t>
      </w:r>
      <w:r>
        <w:rPr>
          <w:spacing w:val="-13"/>
        </w:rPr>
        <w:t> </w:t>
      </w:r>
      <w:r>
        <w:rPr/>
        <w:t>sources</w:t>
      </w:r>
      <w:r>
        <w:rPr>
          <w:spacing w:val="-11"/>
        </w:rPr>
        <w:t> </w:t>
      </w:r>
      <w:r>
        <w:rPr/>
        <w:t>used</w:t>
      </w:r>
      <w:r>
        <w:rPr>
          <w:spacing w:val="-12"/>
        </w:rPr>
        <w:t> </w:t>
      </w:r>
      <w:r>
        <w:rPr/>
        <w:t>for</w:t>
      </w:r>
      <w:r>
        <w:rPr>
          <w:spacing w:val="-13"/>
        </w:rPr>
        <w:t> </w:t>
      </w:r>
      <w:r>
        <w:rPr/>
        <w:t>household</w:t>
      </w:r>
      <w:r>
        <w:rPr>
          <w:spacing w:val="-11"/>
        </w:rPr>
        <w:t> </w:t>
      </w:r>
      <w:r>
        <w:rPr/>
        <w:t>domestic uses</w:t>
      </w:r>
      <w:r>
        <w:rPr>
          <w:spacing w:val="-11"/>
        </w:rPr>
        <w:t> </w:t>
      </w:r>
      <w:r>
        <w:rPr/>
        <w:t>based</w:t>
      </w:r>
      <w:r>
        <w:rPr>
          <w:spacing w:val="-12"/>
        </w:rPr>
        <w:t> </w:t>
      </w:r>
      <w:r>
        <w:rPr/>
        <w:t>on</w:t>
      </w:r>
      <w:r>
        <w:rPr>
          <w:spacing w:val="-12"/>
        </w:rPr>
        <w:t> </w:t>
      </w:r>
      <w:r>
        <w:rPr/>
        <w:t>the</w:t>
      </w:r>
      <w:r>
        <w:rPr>
          <w:spacing w:val="-12"/>
        </w:rPr>
        <w:t> </w:t>
      </w:r>
      <w:r>
        <w:rPr/>
        <w:t>respondents’</w:t>
      </w:r>
      <w:r>
        <w:rPr>
          <w:spacing w:val="-12"/>
        </w:rPr>
        <w:t> </w:t>
      </w:r>
      <w:r>
        <w:rPr/>
        <w:t>responses.</w:t>
      </w:r>
      <w:r>
        <w:rPr>
          <w:spacing w:val="-12"/>
        </w:rPr>
        <w:t> </w:t>
      </w:r>
      <w:r>
        <w:rPr/>
        <w:t>Although</w:t>
      </w:r>
      <w:r>
        <w:rPr>
          <w:spacing w:val="-12"/>
        </w:rPr>
        <w:t> </w:t>
      </w:r>
      <w:r>
        <w:rPr/>
        <w:t>this</w:t>
      </w:r>
      <w:r>
        <w:rPr>
          <w:spacing w:val="-11"/>
        </w:rPr>
        <w:t> </w:t>
      </w:r>
      <w:r>
        <w:rPr/>
        <w:t>is</w:t>
      </w:r>
      <w:r>
        <w:rPr>
          <w:spacing w:val="-11"/>
        </w:rPr>
        <w:t> </w:t>
      </w:r>
      <w:r>
        <w:rPr/>
        <w:t>an</w:t>
      </w:r>
      <w:r>
        <w:rPr>
          <w:spacing w:val="-12"/>
        </w:rPr>
        <w:t> </w:t>
      </w:r>
      <w:r>
        <w:rPr/>
        <w:t>improvement</w:t>
      </w:r>
      <w:r>
        <w:rPr>
          <w:spacing w:val="-12"/>
        </w:rPr>
        <w:t> </w:t>
      </w:r>
      <w:r>
        <w:rPr/>
        <w:t>over</w:t>
      </w:r>
      <w:r>
        <w:rPr>
          <w:spacing w:val="-12"/>
        </w:rPr>
        <w:t> </w:t>
      </w:r>
      <w:r>
        <w:rPr/>
        <w:t>unimproved sources, the provision of pipe water (which constitutes 24.10% of improved water sources) is</w:t>
      </w:r>
      <w:r>
        <w:rPr>
          <w:spacing w:val="-10"/>
        </w:rPr>
        <w:t> </w:t>
      </w:r>
      <w:r>
        <w:rPr/>
        <w:t>far</w:t>
      </w:r>
      <w:r>
        <w:rPr>
          <w:spacing w:val="-11"/>
        </w:rPr>
        <w:t> </w:t>
      </w:r>
      <w:r>
        <w:rPr/>
        <w:t>below</w:t>
      </w:r>
      <w:r>
        <w:rPr>
          <w:spacing w:val="-11"/>
        </w:rPr>
        <w:t> </w:t>
      </w:r>
      <w:r>
        <w:rPr/>
        <w:t>the</w:t>
      </w:r>
      <w:r>
        <w:rPr>
          <w:spacing w:val="-11"/>
        </w:rPr>
        <w:t> </w:t>
      </w:r>
      <w:r>
        <w:rPr/>
        <w:t>water</w:t>
      </w:r>
      <w:r>
        <w:rPr>
          <w:spacing w:val="-12"/>
        </w:rPr>
        <w:t> </w:t>
      </w:r>
      <w:r>
        <w:rPr/>
        <w:t>service</w:t>
      </w:r>
      <w:r>
        <w:rPr>
          <w:spacing w:val="-12"/>
        </w:rPr>
        <w:t> </w:t>
      </w:r>
      <w:r>
        <w:rPr/>
        <w:t>ladder</w:t>
      </w:r>
      <w:r>
        <w:rPr>
          <w:spacing w:val="-11"/>
        </w:rPr>
        <w:t> </w:t>
      </w:r>
      <w:r>
        <w:rPr/>
        <w:t>occupied</w:t>
      </w:r>
      <w:r>
        <w:rPr>
          <w:spacing w:val="-11"/>
        </w:rPr>
        <w:t> </w:t>
      </w:r>
      <w:r>
        <w:rPr/>
        <w:t>by</w:t>
      </w:r>
      <w:r>
        <w:rPr>
          <w:spacing w:val="-15"/>
        </w:rPr>
        <w:t> </w:t>
      </w:r>
      <w:r>
        <w:rPr/>
        <w:t>improved</w:t>
      </w:r>
      <w:r>
        <w:rPr>
          <w:spacing w:val="-11"/>
        </w:rPr>
        <w:t> </w:t>
      </w:r>
      <w:r>
        <w:rPr/>
        <w:t>sources</w:t>
      </w:r>
      <w:r>
        <w:rPr>
          <w:spacing w:val="-10"/>
        </w:rPr>
        <w:t> </w:t>
      </w:r>
      <w:r>
        <w:rPr/>
        <w:t>for</w:t>
      </w:r>
      <w:r>
        <w:rPr>
          <w:spacing w:val="-12"/>
        </w:rPr>
        <w:t> </w:t>
      </w:r>
      <w:r>
        <w:rPr/>
        <w:t>households’</w:t>
      </w:r>
      <w:r>
        <w:rPr>
          <w:spacing w:val="-11"/>
        </w:rPr>
        <w:t> </w:t>
      </w:r>
      <w:r>
        <w:rPr/>
        <w:t>domestic </w:t>
      </w:r>
      <w:r>
        <w:rPr>
          <w:spacing w:val="-2"/>
        </w:rPr>
        <w:t>needs.</w:t>
      </w:r>
    </w:p>
    <w:p>
      <w:pPr>
        <w:pStyle w:val="BodyText"/>
        <w:spacing w:before="6"/>
      </w:pPr>
    </w:p>
    <w:p>
      <w:pPr>
        <w:pStyle w:val="Heading1"/>
        <w:ind w:left="1107" w:right="735" w:hanging="840"/>
        <w:jc w:val="both"/>
      </w:pPr>
      <w:r>
        <w:rPr/>
        <w:t>4..2.2.1 Domestic household water sources in neighbourhoods partially covered by public mains</w:t>
      </w:r>
    </w:p>
    <w:p>
      <w:pPr>
        <w:pStyle w:val="BodyText"/>
        <w:spacing w:line="480" w:lineRule="auto" w:before="271"/>
        <w:ind w:left="267" w:right="727"/>
        <w:jc w:val="both"/>
      </w:pPr>
      <w:r>
        <w:rPr/>
        <w:t>As observed in Table 4.6, despite the partial or no formal water service coverage in these four</w:t>
      </w:r>
      <w:r>
        <w:rPr>
          <w:spacing w:val="-10"/>
        </w:rPr>
        <w:t> </w:t>
      </w:r>
      <w:r>
        <w:rPr/>
        <w:t>(4)</w:t>
      </w:r>
      <w:r>
        <w:rPr>
          <w:spacing w:val="-7"/>
        </w:rPr>
        <w:t> </w:t>
      </w:r>
      <w:r>
        <w:rPr/>
        <w:t>neighbourhoods,</w:t>
      </w:r>
      <w:r>
        <w:rPr>
          <w:spacing w:val="-6"/>
        </w:rPr>
        <w:t> </w:t>
      </w:r>
      <w:r>
        <w:rPr/>
        <w:t>piped</w:t>
      </w:r>
      <w:r>
        <w:rPr>
          <w:spacing w:val="-9"/>
        </w:rPr>
        <w:t> </w:t>
      </w:r>
      <w:r>
        <w:rPr/>
        <w:t>water</w:t>
      </w:r>
      <w:r>
        <w:rPr>
          <w:spacing w:val="-9"/>
        </w:rPr>
        <w:t> </w:t>
      </w:r>
      <w:r>
        <w:rPr/>
        <w:t>either</w:t>
      </w:r>
      <w:r>
        <w:rPr>
          <w:spacing w:val="-7"/>
        </w:rPr>
        <w:t> </w:t>
      </w:r>
      <w:r>
        <w:rPr/>
        <w:t>in</w:t>
      </w:r>
      <w:r>
        <w:rPr>
          <w:spacing w:val="-8"/>
        </w:rPr>
        <w:t> </w:t>
      </w:r>
      <w:r>
        <w:rPr/>
        <w:t>residence,</w:t>
      </w:r>
      <w:r>
        <w:rPr>
          <w:spacing w:val="-3"/>
        </w:rPr>
        <w:t> </w:t>
      </w:r>
      <w:r>
        <w:rPr/>
        <w:t>yard</w:t>
      </w:r>
      <w:r>
        <w:rPr>
          <w:spacing w:val="-9"/>
        </w:rPr>
        <w:t> </w:t>
      </w:r>
      <w:r>
        <w:rPr/>
        <w:t>or</w:t>
      </w:r>
      <w:r>
        <w:rPr>
          <w:spacing w:val="-9"/>
        </w:rPr>
        <w:t> </w:t>
      </w:r>
      <w:r>
        <w:rPr/>
        <w:t>from</w:t>
      </w:r>
      <w:r>
        <w:rPr>
          <w:spacing w:val="-5"/>
        </w:rPr>
        <w:t> </w:t>
      </w:r>
      <w:r>
        <w:rPr/>
        <w:t>neighbor</w:t>
      </w:r>
      <w:r>
        <w:rPr>
          <w:spacing w:val="-8"/>
        </w:rPr>
        <w:t> </w:t>
      </w:r>
      <w:r>
        <w:rPr/>
        <w:t>accounts</w:t>
      </w:r>
      <w:r>
        <w:rPr>
          <w:spacing w:val="-8"/>
        </w:rPr>
        <w:t> </w:t>
      </w:r>
      <w:r>
        <w:rPr/>
        <w:t>for 26.81% of households’ water for domestic chores in Kpakungu, 14.13% in Maitumbi, 11.90%</w:t>
      </w:r>
      <w:r>
        <w:rPr>
          <w:spacing w:val="-1"/>
        </w:rPr>
        <w:t> </w:t>
      </w:r>
      <w:r>
        <w:rPr/>
        <w:t>in Saukakauta, and Tudun-Fulani with 11.90%, had the least number</w:t>
      </w:r>
      <w:r>
        <w:rPr>
          <w:spacing w:val="-1"/>
        </w:rPr>
        <w:t> </w:t>
      </w:r>
      <w:r>
        <w:rPr/>
        <w:t>of</w:t>
      </w:r>
      <w:r>
        <w:rPr>
          <w:spacing w:val="-1"/>
        </w:rPr>
        <w:t> </w:t>
      </w:r>
      <w:r>
        <w:rPr/>
        <w:t>households using</w:t>
      </w:r>
      <w:r>
        <w:rPr>
          <w:spacing w:val="-15"/>
        </w:rPr>
        <w:t> </w:t>
      </w:r>
      <w:r>
        <w:rPr/>
        <w:t>pipe</w:t>
      </w:r>
      <w:r>
        <w:rPr>
          <w:spacing w:val="-14"/>
        </w:rPr>
        <w:t> </w:t>
      </w:r>
      <w:r>
        <w:rPr/>
        <w:t>water.</w:t>
      </w:r>
      <w:r>
        <w:rPr>
          <w:spacing w:val="-13"/>
        </w:rPr>
        <w:t> </w:t>
      </w:r>
      <w:r>
        <w:rPr/>
        <w:t>While</w:t>
      </w:r>
      <w:r>
        <w:rPr>
          <w:spacing w:val="-13"/>
        </w:rPr>
        <w:t> </w:t>
      </w:r>
      <w:r>
        <w:rPr/>
        <w:t>this</w:t>
      </w:r>
      <w:r>
        <w:rPr>
          <w:spacing w:val="-13"/>
        </w:rPr>
        <w:t> </w:t>
      </w:r>
      <w:r>
        <w:rPr/>
        <w:t>result</w:t>
      </w:r>
      <w:r>
        <w:rPr>
          <w:spacing w:val="-12"/>
        </w:rPr>
        <w:t> </w:t>
      </w:r>
      <w:r>
        <w:rPr/>
        <w:t>shows</w:t>
      </w:r>
      <w:r>
        <w:rPr>
          <w:spacing w:val="-13"/>
        </w:rPr>
        <w:t> </w:t>
      </w:r>
      <w:r>
        <w:rPr/>
        <w:t>a</w:t>
      </w:r>
      <w:r>
        <w:rPr>
          <w:spacing w:val="-13"/>
        </w:rPr>
        <w:t> </w:t>
      </w:r>
      <w:r>
        <w:rPr/>
        <w:t>wide</w:t>
      </w:r>
      <w:r>
        <w:rPr>
          <w:spacing w:val="-14"/>
        </w:rPr>
        <w:t> </w:t>
      </w:r>
      <w:r>
        <w:rPr/>
        <w:t>disparity</w:t>
      </w:r>
      <w:r>
        <w:rPr>
          <w:spacing w:val="-15"/>
        </w:rPr>
        <w:t> </w:t>
      </w:r>
      <w:r>
        <w:rPr/>
        <w:t>in</w:t>
      </w:r>
      <w:r>
        <w:rPr>
          <w:spacing w:val="-13"/>
        </w:rPr>
        <w:t> </w:t>
      </w:r>
      <w:r>
        <w:rPr/>
        <w:t>households’</w:t>
      </w:r>
      <w:r>
        <w:rPr>
          <w:spacing w:val="-13"/>
        </w:rPr>
        <w:t> </w:t>
      </w:r>
      <w:r>
        <w:rPr/>
        <w:t>access</w:t>
      </w:r>
      <w:r>
        <w:rPr>
          <w:spacing w:val="-13"/>
        </w:rPr>
        <w:t> </w:t>
      </w:r>
      <w:r>
        <w:rPr/>
        <w:t>to</w:t>
      </w:r>
      <w:r>
        <w:rPr>
          <w:spacing w:val="-13"/>
        </w:rPr>
        <w:t> </w:t>
      </w:r>
      <w:r>
        <w:rPr/>
        <w:t>pipe</w:t>
      </w:r>
      <w:r>
        <w:rPr>
          <w:spacing w:val="-13"/>
        </w:rPr>
        <w:t> </w:t>
      </w:r>
      <w:r>
        <w:rPr/>
        <w:t>water for domestic use across these neighbourhoods, access to water from improved sources was fairly high. For example, Kpakungu (83.33%) has the highest proportion of respondents having access to improved water source for domestic use, followed by Maitumbi (65.22%), Tudun-Fulani</w:t>
      </w:r>
      <w:r>
        <w:rPr>
          <w:spacing w:val="-15"/>
        </w:rPr>
        <w:t> </w:t>
      </w:r>
      <w:r>
        <w:rPr/>
        <w:t>(60.00%)</w:t>
      </w:r>
      <w:r>
        <w:rPr>
          <w:spacing w:val="-15"/>
        </w:rPr>
        <w:t> </w:t>
      </w:r>
      <w:r>
        <w:rPr/>
        <w:t>and</w:t>
      </w:r>
      <w:r>
        <w:rPr>
          <w:spacing w:val="-15"/>
        </w:rPr>
        <w:t> </w:t>
      </w:r>
      <w:r>
        <w:rPr/>
        <w:t>Saukakauta</w:t>
      </w:r>
      <w:r>
        <w:rPr>
          <w:spacing w:val="-15"/>
        </w:rPr>
        <w:t> </w:t>
      </w:r>
      <w:r>
        <w:rPr/>
        <w:t>(55.95%).</w:t>
      </w:r>
      <w:r>
        <w:rPr>
          <w:spacing w:val="-15"/>
        </w:rPr>
        <w:t> </w:t>
      </w:r>
      <w:r>
        <w:rPr/>
        <w:t>Apart</w:t>
      </w:r>
      <w:r>
        <w:rPr>
          <w:spacing w:val="-15"/>
        </w:rPr>
        <w:t> </w:t>
      </w:r>
      <w:r>
        <w:rPr/>
        <w:t>from</w:t>
      </w:r>
      <w:r>
        <w:rPr>
          <w:spacing w:val="-15"/>
        </w:rPr>
        <w:t> </w:t>
      </w:r>
      <w:r>
        <w:rPr/>
        <w:t>these</w:t>
      </w:r>
      <w:r>
        <w:rPr>
          <w:spacing w:val="-15"/>
        </w:rPr>
        <w:t> </w:t>
      </w:r>
      <w:r>
        <w:rPr/>
        <w:t>improved</w:t>
      </w:r>
      <w:r>
        <w:rPr>
          <w:spacing w:val="-15"/>
        </w:rPr>
        <w:t> </w:t>
      </w:r>
      <w:r>
        <w:rPr/>
        <w:t>water</w:t>
      </w:r>
      <w:r>
        <w:rPr>
          <w:spacing w:val="-15"/>
        </w:rPr>
        <w:t> </w:t>
      </w:r>
      <w:r>
        <w:rPr/>
        <w:t>sources, respondents</w:t>
      </w:r>
      <w:r>
        <w:rPr>
          <w:spacing w:val="-7"/>
        </w:rPr>
        <w:t> </w:t>
      </w:r>
      <w:r>
        <w:rPr/>
        <w:t>also</w:t>
      </w:r>
      <w:r>
        <w:rPr>
          <w:spacing w:val="-7"/>
        </w:rPr>
        <w:t> </w:t>
      </w:r>
      <w:r>
        <w:rPr/>
        <w:t>employed</w:t>
      </w:r>
      <w:r>
        <w:rPr>
          <w:spacing w:val="-8"/>
        </w:rPr>
        <w:t> </w:t>
      </w:r>
      <w:r>
        <w:rPr/>
        <w:t>other</w:t>
      </w:r>
      <w:r>
        <w:rPr>
          <w:spacing w:val="-9"/>
        </w:rPr>
        <w:t> </w:t>
      </w:r>
      <w:r>
        <w:rPr/>
        <w:t>various</w:t>
      </w:r>
      <w:r>
        <w:rPr>
          <w:spacing w:val="-8"/>
        </w:rPr>
        <w:t> </w:t>
      </w:r>
      <w:r>
        <w:rPr/>
        <w:t>unimproved</w:t>
      </w:r>
      <w:r>
        <w:rPr>
          <w:spacing w:val="-8"/>
        </w:rPr>
        <w:t> </w:t>
      </w:r>
      <w:r>
        <w:rPr/>
        <w:t>sources</w:t>
      </w:r>
      <w:r>
        <w:rPr>
          <w:spacing w:val="-5"/>
        </w:rPr>
        <w:t> </w:t>
      </w:r>
      <w:r>
        <w:rPr/>
        <w:t>(public</w:t>
      </w:r>
      <w:r>
        <w:rPr>
          <w:spacing w:val="-9"/>
        </w:rPr>
        <w:t> </w:t>
      </w:r>
      <w:r>
        <w:rPr/>
        <w:t>open</w:t>
      </w:r>
      <w:r>
        <w:rPr>
          <w:spacing w:val="-5"/>
        </w:rPr>
        <w:t> </w:t>
      </w:r>
      <w:r>
        <w:rPr/>
        <w:t>borehole,</w:t>
      </w:r>
      <w:r>
        <w:rPr>
          <w:spacing w:val="-8"/>
        </w:rPr>
        <w:t> </w:t>
      </w:r>
      <w:r>
        <w:rPr/>
        <w:t>bottled water,</w:t>
      </w:r>
      <w:r>
        <w:rPr>
          <w:spacing w:val="4"/>
        </w:rPr>
        <w:t> </w:t>
      </w:r>
      <w:r>
        <w:rPr/>
        <w:t>private</w:t>
      </w:r>
      <w:r>
        <w:rPr>
          <w:spacing w:val="4"/>
        </w:rPr>
        <w:t> </w:t>
      </w:r>
      <w:r>
        <w:rPr/>
        <w:t>uncovered</w:t>
      </w:r>
      <w:r>
        <w:rPr>
          <w:spacing w:val="7"/>
        </w:rPr>
        <w:t> </w:t>
      </w:r>
      <w:r>
        <w:rPr/>
        <w:t>well,</w:t>
      </w:r>
      <w:r>
        <w:rPr>
          <w:spacing w:val="4"/>
        </w:rPr>
        <w:t> </w:t>
      </w:r>
      <w:r>
        <w:rPr/>
        <w:t>tanker</w:t>
      </w:r>
      <w:r>
        <w:rPr>
          <w:spacing w:val="5"/>
        </w:rPr>
        <w:t> </w:t>
      </w:r>
      <w:r>
        <w:rPr/>
        <w:t>truck,</w:t>
      </w:r>
      <w:r>
        <w:rPr>
          <w:spacing w:val="7"/>
        </w:rPr>
        <w:t> </w:t>
      </w:r>
      <w:r>
        <w:rPr/>
        <w:t>water</w:t>
      </w:r>
      <w:r>
        <w:rPr>
          <w:spacing w:val="5"/>
        </w:rPr>
        <w:t> </w:t>
      </w:r>
      <w:r>
        <w:rPr/>
        <w:t>vendor,</w:t>
      </w:r>
      <w:r>
        <w:rPr>
          <w:spacing w:val="4"/>
        </w:rPr>
        <w:t> </w:t>
      </w:r>
      <w:r>
        <w:rPr/>
        <w:t>dugout</w:t>
      </w:r>
      <w:r>
        <w:rPr>
          <w:spacing w:val="6"/>
        </w:rPr>
        <w:t> </w:t>
      </w:r>
      <w:r>
        <w:rPr/>
        <w:t>well</w:t>
      </w:r>
      <w:r>
        <w:rPr>
          <w:spacing w:val="5"/>
        </w:rPr>
        <w:t> </w:t>
      </w:r>
      <w:r>
        <w:rPr/>
        <w:t>and</w:t>
      </w:r>
      <w:r>
        <w:rPr>
          <w:spacing w:val="7"/>
        </w:rPr>
        <w:t> </w:t>
      </w:r>
      <w:r>
        <w:rPr/>
        <w:t>sachet</w:t>
      </w:r>
      <w:r>
        <w:rPr>
          <w:spacing w:val="5"/>
        </w:rPr>
        <w:t> </w:t>
      </w:r>
      <w:r>
        <w:rPr/>
        <w:t>water)</w:t>
      </w:r>
      <w:r>
        <w:rPr>
          <w:spacing w:val="4"/>
        </w:rPr>
        <w:t> </w:t>
      </w:r>
      <w:r>
        <w:rPr>
          <w:spacing w:val="-5"/>
        </w:rPr>
        <w:t>to</w:t>
      </w:r>
    </w:p>
    <w:p>
      <w:pPr>
        <w:pStyle w:val="BodyText"/>
        <w:spacing w:line="275" w:lineRule="exact"/>
        <w:ind w:left="267"/>
        <w:jc w:val="both"/>
      </w:pPr>
      <w:r>
        <w:rPr/>
        <w:t>complement</w:t>
      </w:r>
      <w:r>
        <w:rPr>
          <w:spacing w:val="-11"/>
        </w:rPr>
        <w:t> </w:t>
      </w:r>
      <w:r>
        <w:rPr/>
        <w:t>the</w:t>
      </w:r>
      <w:r>
        <w:rPr>
          <w:spacing w:val="-9"/>
        </w:rPr>
        <w:t> </w:t>
      </w:r>
      <w:r>
        <w:rPr/>
        <w:t>improved</w:t>
      </w:r>
      <w:r>
        <w:rPr>
          <w:spacing w:val="-8"/>
        </w:rPr>
        <w:t> </w:t>
      </w:r>
      <w:r>
        <w:rPr/>
        <w:t>sources</w:t>
      </w:r>
      <w:r>
        <w:rPr>
          <w:spacing w:val="-8"/>
        </w:rPr>
        <w:t> </w:t>
      </w:r>
      <w:r>
        <w:rPr/>
        <w:t>of</w:t>
      </w:r>
      <w:r>
        <w:rPr>
          <w:spacing w:val="-9"/>
        </w:rPr>
        <w:t> </w:t>
      </w:r>
      <w:r>
        <w:rPr/>
        <w:t>water</w:t>
      </w:r>
      <w:r>
        <w:rPr>
          <w:spacing w:val="-8"/>
        </w:rPr>
        <w:t> </w:t>
      </w:r>
      <w:r>
        <w:rPr/>
        <w:t>available</w:t>
      </w:r>
      <w:r>
        <w:rPr>
          <w:spacing w:val="-9"/>
        </w:rPr>
        <w:t> </w:t>
      </w:r>
      <w:r>
        <w:rPr/>
        <w:t>for</w:t>
      </w:r>
      <w:r>
        <w:rPr>
          <w:spacing w:val="-10"/>
        </w:rPr>
        <w:t> </w:t>
      </w:r>
      <w:r>
        <w:rPr/>
        <w:t>their</w:t>
      </w:r>
      <w:r>
        <w:rPr>
          <w:spacing w:val="-8"/>
        </w:rPr>
        <w:t> </w:t>
      </w:r>
      <w:r>
        <w:rPr/>
        <w:t>domestic</w:t>
      </w:r>
      <w:r>
        <w:rPr>
          <w:spacing w:val="-10"/>
        </w:rPr>
        <w:t> </w:t>
      </w:r>
      <w:r>
        <w:rPr/>
        <w:t>use.</w:t>
      </w:r>
      <w:r>
        <w:rPr>
          <w:spacing w:val="-9"/>
        </w:rPr>
        <w:t> </w:t>
      </w:r>
      <w:r>
        <w:rPr/>
        <w:t>As</w:t>
      </w:r>
      <w:r>
        <w:rPr>
          <w:spacing w:val="-8"/>
        </w:rPr>
        <w:t> </w:t>
      </w:r>
      <w:r>
        <w:rPr/>
        <w:t>seen</w:t>
      </w:r>
      <w:r>
        <w:rPr>
          <w:spacing w:val="-9"/>
        </w:rPr>
        <w:t> </w:t>
      </w:r>
      <w:r>
        <w:rPr/>
        <w:t>in</w:t>
      </w:r>
      <w:r>
        <w:rPr>
          <w:spacing w:val="-7"/>
        </w:rPr>
        <w:t> </w:t>
      </w:r>
      <w:r>
        <w:rPr>
          <w:spacing w:val="-2"/>
        </w:rPr>
        <w:t>Table</w:t>
      </w:r>
    </w:p>
    <w:p>
      <w:pPr>
        <w:spacing w:after="0" w:line="275" w:lineRule="exact"/>
        <w:jc w:val="both"/>
        <w:sectPr>
          <w:pgSz w:w="12240" w:h="15840"/>
          <w:pgMar w:header="0" w:footer="1068" w:top="1340" w:bottom="1260" w:left="1720" w:right="680"/>
        </w:sectPr>
      </w:pPr>
    </w:p>
    <w:p>
      <w:pPr>
        <w:pStyle w:val="BodyText"/>
        <w:spacing w:line="480" w:lineRule="auto" w:before="63"/>
        <w:ind w:left="267" w:right="733"/>
        <w:jc w:val="both"/>
      </w:pPr>
      <w:r>
        <w:rPr/>
        <w:t>4.7, various unimproved sources are also used by the respondents across the four </w:t>
      </w:r>
      <w:r>
        <w:rPr>
          <w:spacing w:val="-2"/>
        </w:rPr>
        <w:t>neighbourhoods.</w:t>
      </w:r>
    </w:p>
    <w:p>
      <w:pPr>
        <w:pStyle w:val="Heading1"/>
        <w:spacing w:before="5" w:after="4"/>
        <w:ind w:right="729"/>
        <w:jc w:val="both"/>
      </w:pPr>
      <w:r>
        <w:rPr/>
        <w:t>Table 4.6: Percentage of Households partially covered by Public Water Mains by Source of Domestic Water</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3263"/>
        <w:gridCol w:w="993"/>
        <w:gridCol w:w="1443"/>
        <w:gridCol w:w="1242"/>
        <w:gridCol w:w="1312"/>
      </w:tblGrid>
      <w:tr>
        <w:trPr>
          <w:trHeight w:val="551" w:hRule="atLeast"/>
        </w:trPr>
        <w:tc>
          <w:tcPr>
            <w:tcW w:w="605" w:type="dxa"/>
            <w:tcBorders>
              <w:top w:val="single" w:sz="8" w:space="0" w:color="000000"/>
              <w:bottom w:val="single" w:sz="8" w:space="0" w:color="000000"/>
            </w:tcBorders>
          </w:tcPr>
          <w:p>
            <w:pPr>
              <w:pStyle w:val="TableParagraph"/>
              <w:spacing w:line="272" w:lineRule="exact"/>
              <w:ind w:left="122"/>
              <w:rPr>
                <w:b/>
                <w:sz w:val="24"/>
              </w:rPr>
            </w:pPr>
            <w:r>
              <w:rPr>
                <w:b/>
                <w:spacing w:val="-5"/>
                <w:sz w:val="24"/>
              </w:rPr>
              <w:t>S/N</w:t>
            </w:r>
          </w:p>
        </w:tc>
        <w:tc>
          <w:tcPr>
            <w:tcW w:w="3263" w:type="dxa"/>
            <w:tcBorders>
              <w:top w:val="single" w:sz="8" w:space="0" w:color="000000"/>
              <w:bottom w:val="single" w:sz="8" w:space="0" w:color="000000"/>
            </w:tcBorders>
          </w:tcPr>
          <w:p>
            <w:pPr>
              <w:pStyle w:val="TableParagraph"/>
              <w:spacing w:line="272" w:lineRule="exact"/>
              <w:ind w:left="107"/>
              <w:rPr>
                <w:b/>
                <w:sz w:val="24"/>
              </w:rPr>
            </w:pPr>
            <w:r>
              <w:rPr>
                <w:b/>
                <w:sz w:val="24"/>
              </w:rPr>
              <w:t>Water</w:t>
            </w:r>
            <w:r>
              <w:rPr>
                <w:b/>
                <w:spacing w:val="-2"/>
                <w:sz w:val="24"/>
              </w:rPr>
              <w:t> </w:t>
            </w:r>
            <w:r>
              <w:rPr>
                <w:b/>
                <w:sz w:val="24"/>
              </w:rPr>
              <w:t>sources</w:t>
            </w:r>
            <w:r>
              <w:rPr>
                <w:b/>
                <w:spacing w:val="-1"/>
                <w:sz w:val="24"/>
              </w:rPr>
              <w:t> </w:t>
            </w:r>
            <w:r>
              <w:rPr>
                <w:b/>
                <w:sz w:val="24"/>
              </w:rPr>
              <w:t>for</w:t>
            </w:r>
            <w:r>
              <w:rPr>
                <w:b/>
                <w:spacing w:val="-1"/>
                <w:sz w:val="24"/>
              </w:rPr>
              <w:t> </w:t>
            </w:r>
            <w:r>
              <w:rPr>
                <w:b/>
                <w:spacing w:val="-2"/>
                <w:sz w:val="24"/>
              </w:rPr>
              <w:t>Domestic</w:t>
            </w:r>
          </w:p>
        </w:tc>
        <w:tc>
          <w:tcPr>
            <w:tcW w:w="993" w:type="dxa"/>
            <w:tcBorders>
              <w:top w:val="single" w:sz="8" w:space="0" w:color="000000"/>
              <w:bottom w:val="single" w:sz="8" w:space="0" w:color="000000"/>
            </w:tcBorders>
          </w:tcPr>
          <w:p>
            <w:pPr>
              <w:pStyle w:val="TableParagraph"/>
              <w:spacing w:line="272" w:lineRule="exact"/>
              <w:ind w:left="109"/>
              <w:rPr>
                <w:b/>
                <w:sz w:val="24"/>
              </w:rPr>
            </w:pPr>
            <w:r>
              <w:rPr>
                <w:b/>
                <w:spacing w:val="-2"/>
                <w:sz w:val="24"/>
              </w:rPr>
              <w:t>Tudun-</w:t>
            </w:r>
          </w:p>
          <w:p>
            <w:pPr>
              <w:pStyle w:val="TableParagraph"/>
              <w:spacing w:line="259" w:lineRule="exact"/>
              <w:ind w:left="109"/>
              <w:rPr>
                <w:b/>
                <w:sz w:val="24"/>
              </w:rPr>
            </w:pPr>
            <w:r>
              <w:rPr>
                <w:b/>
                <w:spacing w:val="-2"/>
                <w:sz w:val="24"/>
              </w:rPr>
              <w:t>Fulani</w:t>
            </w:r>
          </w:p>
        </w:tc>
        <w:tc>
          <w:tcPr>
            <w:tcW w:w="1443" w:type="dxa"/>
            <w:tcBorders>
              <w:top w:val="single" w:sz="8" w:space="0" w:color="000000"/>
              <w:bottom w:val="single" w:sz="8" w:space="0" w:color="000000"/>
            </w:tcBorders>
          </w:tcPr>
          <w:p>
            <w:pPr>
              <w:pStyle w:val="TableParagraph"/>
              <w:spacing w:line="272" w:lineRule="exact"/>
              <w:ind w:left="105"/>
              <w:rPr>
                <w:b/>
                <w:sz w:val="24"/>
              </w:rPr>
            </w:pPr>
            <w:r>
              <w:rPr>
                <w:b/>
                <w:spacing w:val="-2"/>
                <w:sz w:val="24"/>
              </w:rPr>
              <w:t>Saukakauta</w:t>
            </w:r>
          </w:p>
        </w:tc>
        <w:tc>
          <w:tcPr>
            <w:tcW w:w="1242" w:type="dxa"/>
            <w:tcBorders>
              <w:top w:val="single" w:sz="8" w:space="0" w:color="000000"/>
              <w:bottom w:val="single" w:sz="8" w:space="0" w:color="000000"/>
            </w:tcBorders>
          </w:tcPr>
          <w:p>
            <w:pPr>
              <w:pStyle w:val="TableParagraph"/>
              <w:spacing w:line="272" w:lineRule="exact"/>
              <w:ind w:left="107"/>
              <w:rPr>
                <w:b/>
                <w:sz w:val="24"/>
              </w:rPr>
            </w:pPr>
            <w:r>
              <w:rPr>
                <w:b/>
                <w:spacing w:val="-2"/>
                <w:sz w:val="24"/>
              </w:rPr>
              <w:t>Maitumbi</w:t>
            </w:r>
          </w:p>
        </w:tc>
        <w:tc>
          <w:tcPr>
            <w:tcW w:w="1312" w:type="dxa"/>
            <w:tcBorders>
              <w:top w:val="single" w:sz="8" w:space="0" w:color="000000"/>
              <w:bottom w:val="single" w:sz="8" w:space="0" w:color="000000"/>
            </w:tcBorders>
          </w:tcPr>
          <w:p>
            <w:pPr>
              <w:pStyle w:val="TableParagraph"/>
              <w:spacing w:line="272" w:lineRule="exact"/>
              <w:ind w:left="109"/>
              <w:rPr>
                <w:b/>
                <w:sz w:val="24"/>
              </w:rPr>
            </w:pPr>
            <w:r>
              <w:rPr>
                <w:b/>
                <w:spacing w:val="-2"/>
                <w:sz w:val="24"/>
              </w:rPr>
              <w:t>Kpakungu</w:t>
            </w:r>
          </w:p>
        </w:tc>
      </w:tr>
      <w:tr>
        <w:trPr>
          <w:trHeight w:val="276" w:hRule="atLeast"/>
        </w:trPr>
        <w:tc>
          <w:tcPr>
            <w:tcW w:w="605" w:type="dxa"/>
            <w:tcBorders>
              <w:top w:val="single" w:sz="8" w:space="0" w:color="000000"/>
            </w:tcBorders>
          </w:tcPr>
          <w:p>
            <w:pPr>
              <w:pStyle w:val="TableParagraph"/>
              <w:spacing w:line="256" w:lineRule="exact"/>
              <w:ind w:left="122"/>
              <w:rPr>
                <w:b/>
                <w:sz w:val="24"/>
              </w:rPr>
            </w:pPr>
            <w:r>
              <w:rPr>
                <w:b/>
                <w:spacing w:val="-10"/>
                <w:sz w:val="24"/>
              </w:rPr>
              <w:t>1</w:t>
            </w:r>
          </w:p>
        </w:tc>
        <w:tc>
          <w:tcPr>
            <w:tcW w:w="3263" w:type="dxa"/>
            <w:tcBorders>
              <w:top w:val="single" w:sz="8" w:space="0" w:color="000000"/>
            </w:tcBorders>
          </w:tcPr>
          <w:p>
            <w:pPr>
              <w:pStyle w:val="TableParagraph"/>
              <w:spacing w:line="256" w:lineRule="exact"/>
              <w:ind w:left="107"/>
              <w:rPr>
                <w:sz w:val="24"/>
              </w:rPr>
            </w:pPr>
            <w:r>
              <w:rPr>
                <w:sz w:val="24"/>
              </w:rPr>
              <w:t>Piped into </w:t>
            </w:r>
            <w:r>
              <w:rPr>
                <w:spacing w:val="-2"/>
                <w:sz w:val="24"/>
              </w:rPr>
              <w:t>dwelling</w:t>
            </w:r>
          </w:p>
        </w:tc>
        <w:tc>
          <w:tcPr>
            <w:tcW w:w="993" w:type="dxa"/>
            <w:tcBorders>
              <w:top w:val="single" w:sz="8" w:space="0" w:color="000000"/>
            </w:tcBorders>
          </w:tcPr>
          <w:p>
            <w:pPr>
              <w:pStyle w:val="TableParagraph"/>
              <w:spacing w:line="256" w:lineRule="exact"/>
              <w:ind w:left="109"/>
              <w:rPr>
                <w:sz w:val="24"/>
              </w:rPr>
            </w:pPr>
            <w:r>
              <w:rPr>
                <w:spacing w:val="-4"/>
                <w:sz w:val="24"/>
              </w:rPr>
              <w:t>5.00</w:t>
            </w:r>
          </w:p>
        </w:tc>
        <w:tc>
          <w:tcPr>
            <w:tcW w:w="1443" w:type="dxa"/>
            <w:tcBorders>
              <w:top w:val="single" w:sz="8" w:space="0" w:color="000000"/>
            </w:tcBorders>
          </w:tcPr>
          <w:p>
            <w:pPr>
              <w:pStyle w:val="TableParagraph"/>
              <w:spacing w:line="256" w:lineRule="exact"/>
              <w:ind w:left="105"/>
              <w:rPr>
                <w:sz w:val="24"/>
              </w:rPr>
            </w:pPr>
            <w:r>
              <w:rPr>
                <w:spacing w:val="-4"/>
                <w:sz w:val="24"/>
              </w:rPr>
              <w:t>3.57</w:t>
            </w:r>
          </w:p>
        </w:tc>
        <w:tc>
          <w:tcPr>
            <w:tcW w:w="1242" w:type="dxa"/>
            <w:tcBorders>
              <w:top w:val="single" w:sz="8" w:space="0" w:color="000000"/>
            </w:tcBorders>
          </w:tcPr>
          <w:p>
            <w:pPr>
              <w:pStyle w:val="TableParagraph"/>
              <w:spacing w:line="256" w:lineRule="exact"/>
              <w:ind w:left="107"/>
              <w:rPr>
                <w:sz w:val="24"/>
              </w:rPr>
            </w:pPr>
            <w:r>
              <w:rPr>
                <w:spacing w:val="-4"/>
                <w:sz w:val="24"/>
              </w:rPr>
              <w:t>2.17</w:t>
            </w:r>
          </w:p>
        </w:tc>
        <w:tc>
          <w:tcPr>
            <w:tcW w:w="1312" w:type="dxa"/>
            <w:tcBorders>
              <w:top w:val="single" w:sz="8" w:space="0" w:color="000000"/>
            </w:tcBorders>
          </w:tcPr>
          <w:p>
            <w:pPr>
              <w:pStyle w:val="TableParagraph"/>
              <w:spacing w:line="256" w:lineRule="exact"/>
              <w:ind w:left="109"/>
              <w:rPr>
                <w:sz w:val="24"/>
              </w:rPr>
            </w:pPr>
            <w:r>
              <w:rPr>
                <w:spacing w:val="-2"/>
                <w:sz w:val="24"/>
              </w:rPr>
              <w:t>12.32</w:t>
            </w:r>
          </w:p>
        </w:tc>
      </w:tr>
      <w:tr>
        <w:trPr>
          <w:trHeight w:val="274" w:hRule="atLeast"/>
        </w:trPr>
        <w:tc>
          <w:tcPr>
            <w:tcW w:w="605" w:type="dxa"/>
          </w:tcPr>
          <w:p>
            <w:pPr>
              <w:pStyle w:val="TableParagraph"/>
              <w:spacing w:line="255" w:lineRule="exact"/>
              <w:ind w:left="122"/>
              <w:rPr>
                <w:b/>
                <w:sz w:val="24"/>
              </w:rPr>
            </w:pPr>
            <w:r>
              <w:rPr>
                <w:b/>
                <w:spacing w:val="-10"/>
                <w:sz w:val="24"/>
              </w:rPr>
              <w:t>2</w:t>
            </w:r>
          </w:p>
        </w:tc>
        <w:tc>
          <w:tcPr>
            <w:tcW w:w="3263" w:type="dxa"/>
          </w:tcPr>
          <w:p>
            <w:pPr>
              <w:pStyle w:val="TableParagraph"/>
              <w:spacing w:line="255" w:lineRule="exact"/>
              <w:ind w:left="107"/>
              <w:rPr>
                <w:sz w:val="24"/>
              </w:rPr>
            </w:pPr>
            <w:r>
              <w:rPr>
                <w:sz w:val="24"/>
              </w:rPr>
              <w:t>Piped</w:t>
            </w:r>
            <w:r>
              <w:rPr>
                <w:spacing w:val="-2"/>
                <w:sz w:val="24"/>
              </w:rPr>
              <w:t> </w:t>
            </w:r>
            <w:r>
              <w:rPr>
                <w:sz w:val="24"/>
              </w:rPr>
              <w:t>into</w:t>
            </w:r>
            <w:r>
              <w:rPr>
                <w:spacing w:val="2"/>
                <w:sz w:val="24"/>
              </w:rPr>
              <w:t> </w:t>
            </w:r>
            <w:r>
              <w:rPr>
                <w:spacing w:val="-2"/>
                <w:sz w:val="24"/>
              </w:rPr>
              <w:t>yard/plot/compound</w:t>
            </w:r>
          </w:p>
        </w:tc>
        <w:tc>
          <w:tcPr>
            <w:tcW w:w="993" w:type="dxa"/>
          </w:tcPr>
          <w:p>
            <w:pPr>
              <w:pStyle w:val="TableParagraph"/>
              <w:spacing w:line="255" w:lineRule="exact"/>
              <w:ind w:left="109"/>
              <w:rPr>
                <w:sz w:val="24"/>
              </w:rPr>
            </w:pPr>
            <w:r>
              <w:rPr>
                <w:spacing w:val="-4"/>
                <w:sz w:val="24"/>
              </w:rPr>
              <w:t>3.33</w:t>
            </w:r>
          </w:p>
        </w:tc>
        <w:tc>
          <w:tcPr>
            <w:tcW w:w="1443" w:type="dxa"/>
          </w:tcPr>
          <w:p>
            <w:pPr>
              <w:pStyle w:val="TableParagraph"/>
              <w:spacing w:line="255" w:lineRule="exact"/>
              <w:ind w:left="105"/>
              <w:rPr>
                <w:sz w:val="24"/>
              </w:rPr>
            </w:pPr>
            <w:r>
              <w:rPr>
                <w:spacing w:val="-4"/>
                <w:sz w:val="24"/>
              </w:rPr>
              <w:t>4.76</w:t>
            </w:r>
          </w:p>
        </w:tc>
        <w:tc>
          <w:tcPr>
            <w:tcW w:w="1242" w:type="dxa"/>
          </w:tcPr>
          <w:p>
            <w:pPr>
              <w:pStyle w:val="TableParagraph"/>
              <w:spacing w:line="255" w:lineRule="exact"/>
              <w:ind w:left="107"/>
              <w:rPr>
                <w:sz w:val="24"/>
              </w:rPr>
            </w:pPr>
            <w:r>
              <w:rPr>
                <w:spacing w:val="-4"/>
                <w:sz w:val="24"/>
              </w:rPr>
              <w:t>8.70</w:t>
            </w:r>
          </w:p>
        </w:tc>
        <w:tc>
          <w:tcPr>
            <w:tcW w:w="1312" w:type="dxa"/>
          </w:tcPr>
          <w:p>
            <w:pPr>
              <w:pStyle w:val="TableParagraph"/>
              <w:spacing w:line="255" w:lineRule="exact"/>
              <w:ind w:left="109"/>
              <w:rPr>
                <w:sz w:val="24"/>
              </w:rPr>
            </w:pPr>
            <w:r>
              <w:rPr>
                <w:spacing w:val="-2"/>
                <w:sz w:val="24"/>
              </w:rPr>
              <w:t>10.87</w:t>
            </w:r>
          </w:p>
        </w:tc>
      </w:tr>
      <w:tr>
        <w:trPr>
          <w:trHeight w:val="275" w:hRule="atLeast"/>
        </w:trPr>
        <w:tc>
          <w:tcPr>
            <w:tcW w:w="605" w:type="dxa"/>
          </w:tcPr>
          <w:p>
            <w:pPr>
              <w:pStyle w:val="TableParagraph"/>
              <w:spacing w:line="256" w:lineRule="exact"/>
              <w:ind w:left="122"/>
              <w:rPr>
                <w:b/>
                <w:sz w:val="24"/>
              </w:rPr>
            </w:pPr>
            <w:r>
              <w:rPr>
                <w:b/>
                <w:spacing w:val="-10"/>
                <w:sz w:val="24"/>
              </w:rPr>
              <w:t>3</w:t>
            </w:r>
          </w:p>
        </w:tc>
        <w:tc>
          <w:tcPr>
            <w:tcW w:w="3263" w:type="dxa"/>
          </w:tcPr>
          <w:p>
            <w:pPr>
              <w:pStyle w:val="TableParagraph"/>
              <w:spacing w:line="256" w:lineRule="exact"/>
              <w:ind w:left="107"/>
              <w:rPr>
                <w:sz w:val="24"/>
              </w:rPr>
            </w:pPr>
            <w:r>
              <w:rPr>
                <w:sz w:val="24"/>
              </w:rPr>
              <w:t>Piped</w:t>
            </w:r>
            <w:r>
              <w:rPr>
                <w:spacing w:val="-1"/>
                <w:sz w:val="24"/>
              </w:rPr>
              <w:t> </w:t>
            </w:r>
            <w:r>
              <w:rPr>
                <w:sz w:val="24"/>
              </w:rPr>
              <w:t>water</w:t>
            </w:r>
            <w:r>
              <w:rPr>
                <w:spacing w:val="-3"/>
                <w:sz w:val="24"/>
              </w:rPr>
              <w:t> </w:t>
            </w:r>
            <w:r>
              <w:rPr>
                <w:sz w:val="24"/>
              </w:rPr>
              <w:t>from </w:t>
            </w:r>
            <w:r>
              <w:rPr>
                <w:spacing w:val="-2"/>
                <w:sz w:val="24"/>
              </w:rPr>
              <w:t>neighbor</w:t>
            </w:r>
          </w:p>
        </w:tc>
        <w:tc>
          <w:tcPr>
            <w:tcW w:w="993" w:type="dxa"/>
          </w:tcPr>
          <w:p>
            <w:pPr>
              <w:pStyle w:val="TableParagraph"/>
              <w:spacing w:line="256" w:lineRule="exact"/>
              <w:ind w:left="109"/>
              <w:rPr>
                <w:sz w:val="24"/>
              </w:rPr>
            </w:pPr>
            <w:r>
              <w:rPr>
                <w:spacing w:val="-4"/>
                <w:sz w:val="24"/>
              </w:rPr>
              <w:t>1.67</w:t>
            </w:r>
          </w:p>
        </w:tc>
        <w:tc>
          <w:tcPr>
            <w:tcW w:w="1443" w:type="dxa"/>
          </w:tcPr>
          <w:p>
            <w:pPr>
              <w:pStyle w:val="TableParagraph"/>
              <w:spacing w:line="256" w:lineRule="exact"/>
              <w:ind w:left="105"/>
              <w:rPr>
                <w:sz w:val="24"/>
              </w:rPr>
            </w:pPr>
            <w:r>
              <w:rPr>
                <w:spacing w:val="-4"/>
                <w:sz w:val="24"/>
              </w:rPr>
              <w:t>3.57</w:t>
            </w:r>
          </w:p>
        </w:tc>
        <w:tc>
          <w:tcPr>
            <w:tcW w:w="1242" w:type="dxa"/>
          </w:tcPr>
          <w:p>
            <w:pPr>
              <w:pStyle w:val="TableParagraph"/>
              <w:spacing w:line="256" w:lineRule="exact"/>
              <w:ind w:left="107"/>
              <w:rPr>
                <w:sz w:val="24"/>
              </w:rPr>
            </w:pPr>
            <w:r>
              <w:rPr>
                <w:spacing w:val="-4"/>
                <w:sz w:val="24"/>
              </w:rPr>
              <w:t>3.26</w:t>
            </w:r>
          </w:p>
        </w:tc>
        <w:tc>
          <w:tcPr>
            <w:tcW w:w="1312" w:type="dxa"/>
          </w:tcPr>
          <w:p>
            <w:pPr>
              <w:pStyle w:val="TableParagraph"/>
              <w:spacing w:line="256" w:lineRule="exact"/>
              <w:ind w:left="109"/>
              <w:rPr>
                <w:sz w:val="24"/>
              </w:rPr>
            </w:pPr>
            <w:r>
              <w:rPr>
                <w:spacing w:val="-4"/>
                <w:sz w:val="24"/>
              </w:rPr>
              <w:t>3.62</w:t>
            </w:r>
          </w:p>
        </w:tc>
      </w:tr>
      <w:tr>
        <w:trPr>
          <w:trHeight w:val="276" w:hRule="atLeast"/>
        </w:trPr>
        <w:tc>
          <w:tcPr>
            <w:tcW w:w="605" w:type="dxa"/>
          </w:tcPr>
          <w:p>
            <w:pPr>
              <w:pStyle w:val="TableParagraph"/>
              <w:spacing w:line="256" w:lineRule="exact"/>
              <w:ind w:left="122"/>
              <w:rPr>
                <w:b/>
                <w:sz w:val="24"/>
              </w:rPr>
            </w:pPr>
            <w:r>
              <w:rPr>
                <w:b/>
                <w:spacing w:val="-10"/>
                <w:sz w:val="24"/>
              </w:rPr>
              <w:t>4</w:t>
            </w:r>
          </w:p>
        </w:tc>
        <w:tc>
          <w:tcPr>
            <w:tcW w:w="3263" w:type="dxa"/>
          </w:tcPr>
          <w:p>
            <w:pPr>
              <w:pStyle w:val="TableParagraph"/>
              <w:spacing w:line="256" w:lineRule="exact"/>
              <w:ind w:left="107"/>
              <w:rPr>
                <w:sz w:val="24"/>
              </w:rPr>
            </w:pPr>
            <w:r>
              <w:rPr>
                <w:sz w:val="24"/>
              </w:rPr>
              <w:t>Public</w:t>
            </w:r>
            <w:r>
              <w:rPr>
                <w:spacing w:val="-1"/>
                <w:sz w:val="24"/>
              </w:rPr>
              <w:t> </w:t>
            </w:r>
            <w:r>
              <w:rPr>
                <w:spacing w:val="-5"/>
                <w:sz w:val="24"/>
              </w:rPr>
              <w:t>tap</w:t>
            </w:r>
          </w:p>
        </w:tc>
        <w:tc>
          <w:tcPr>
            <w:tcW w:w="993" w:type="dxa"/>
          </w:tcPr>
          <w:p>
            <w:pPr>
              <w:pStyle w:val="TableParagraph"/>
              <w:spacing w:line="256" w:lineRule="exact"/>
              <w:ind w:left="109"/>
              <w:rPr>
                <w:sz w:val="24"/>
              </w:rPr>
            </w:pPr>
            <w:r>
              <w:rPr>
                <w:spacing w:val="-4"/>
                <w:sz w:val="24"/>
              </w:rPr>
              <w:t>3.33</w:t>
            </w:r>
          </w:p>
        </w:tc>
        <w:tc>
          <w:tcPr>
            <w:tcW w:w="1443" w:type="dxa"/>
          </w:tcPr>
          <w:p>
            <w:pPr>
              <w:pStyle w:val="TableParagraph"/>
              <w:spacing w:line="256" w:lineRule="exact"/>
              <w:ind w:left="105"/>
              <w:rPr>
                <w:sz w:val="24"/>
              </w:rPr>
            </w:pPr>
            <w:r>
              <w:rPr>
                <w:spacing w:val="-4"/>
                <w:sz w:val="24"/>
              </w:rPr>
              <w:t>0.00</w:t>
            </w:r>
          </w:p>
        </w:tc>
        <w:tc>
          <w:tcPr>
            <w:tcW w:w="1242" w:type="dxa"/>
          </w:tcPr>
          <w:p>
            <w:pPr>
              <w:pStyle w:val="TableParagraph"/>
              <w:spacing w:line="256" w:lineRule="exact"/>
              <w:ind w:left="107"/>
              <w:rPr>
                <w:sz w:val="24"/>
              </w:rPr>
            </w:pPr>
            <w:r>
              <w:rPr>
                <w:spacing w:val="-2"/>
                <w:sz w:val="24"/>
              </w:rPr>
              <w:t>17.39</w:t>
            </w:r>
          </w:p>
        </w:tc>
        <w:tc>
          <w:tcPr>
            <w:tcW w:w="1312" w:type="dxa"/>
          </w:tcPr>
          <w:p>
            <w:pPr>
              <w:pStyle w:val="TableParagraph"/>
              <w:spacing w:line="256" w:lineRule="exact"/>
              <w:ind w:left="109"/>
              <w:rPr>
                <w:sz w:val="24"/>
              </w:rPr>
            </w:pPr>
            <w:r>
              <w:rPr>
                <w:spacing w:val="-4"/>
                <w:sz w:val="24"/>
              </w:rPr>
              <w:t>4.35</w:t>
            </w:r>
          </w:p>
        </w:tc>
      </w:tr>
      <w:tr>
        <w:trPr>
          <w:trHeight w:val="276" w:hRule="atLeast"/>
        </w:trPr>
        <w:tc>
          <w:tcPr>
            <w:tcW w:w="605" w:type="dxa"/>
          </w:tcPr>
          <w:p>
            <w:pPr>
              <w:pStyle w:val="TableParagraph"/>
              <w:spacing w:line="256" w:lineRule="exact"/>
              <w:ind w:left="122"/>
              <w:rPr>
                <w:b/>
                <w:sz w:val="24"/>
              </w:rPr>
            </w:pPr>
            <w:r>
              <w:rPr>
                <w:b/>
                <w:spacing w:val="-10"/>
                <w:sz w:val="24"/>
              </w:rPr>
              <w:t>5</w:t>
            </w:r>
          </w:p>
        </w:tc>
        <w:tc>
          <w:tcPr>
            <w:tcW w:w="3263" w:type="dxa"/>
          </w:tcPr>
          <w:p>
            <w:pPr>
              <w:pStyle w:val="TableParagraph"/>
              <w:spacing w:line="256" w:lineRule="exact"/>
              <w:ind w:left="107"/>
              <w:rPr>
                <w:sz w:val="24"/>
              </w:rPr>
            </w:pPr>
            <w:r>
              <w:rPr>
                <w:sz w:val="24"/>
              </w:rPr>
              <w:t>Public</w:t>
            </w:r>
            <w:r>
              <w:rPr>
                <w:spacing w:val="-3"/>
                <w:sz w:val="24"/>
              </w:rPr>
              <w:t> </w:t>
            </w:r>
            <w:r>
              <w:rPr>
                <w:sz w:val="24"/>
              </w:rPr>
              <w:t>covered</w:t>
            </w:r>
            <w:r>
              <w:rPr>
                <w:spacing w:val="-2"/>
                <w:sz w:val="24"/>
              </w:rPr>
              <w:t> borehole</w:t>
            </w:r>
          </w:p>
        </w:tc>
        <w:tc>
          <w:tcPr>
            <w:tcW w:w="993" w:type="dxa"/>
          </w:tcPr>
          <w:p>
            <w:pPr>
              <w:pStyle w:val="TableParagraph"/>
              <w:spacing w:line="256" w:lineRule="exact"/>
              <w:ind w:left="109"/>
              <w:rPr>
                <w:sz w:val="24"/>
              </w:rPr>
            </w:pPr>
            <w:r>
              <w:rPr>
                <w:spacing w:val="-2"/>
                <w:sz w:val="24"/>
              </w:rPr>
              <w:t>28.33</w:t>
            </w:r>
          </w:p>
        </w:tc>
        <w:tc>
          <w:tcPr>
            <w:tcW w:w="1443" w:type="dxa"/>
          </w:tcPr>
          <w:p>
            <w:pPr>
              <w:pStyle w:val="TableParagraph"/>
              <w:spacing w:line="256" w:lineRule="exact"/>
              <w:ind w:left="105"/>
              <w:rPr>
                <w:sz w:val="24"/>
              </w:rPr>
            </w:pPr>
            <w:r>
              <w:rPr>
                <w:spacing w:val="-4"/>
                <w:sz w:val="24"/>
              </w:rPr>
              <w:t>2.38</w:t>
            </w:r>
          </w:p>
        </w:tc>
        <w:tc>
          <w:tcPr>
            <w:tcW w:w="1242" w:type="dxa"/>
          </w:tcPr>
          <w:p>
            <w:pPr>
              <w:pStyle w:val="TableParagraph"/>
              <w:spacing w:line="256" w:lineRule="exact"/>
              <w:ind w:left="107"/>
              <w:rPr>
                <w:sz w:val="24"/>
              </w:rPr>
            </w:pPr>
            <w:r>
              <w:rPr>
                <w:spacing w:val="-4"/>
                <w:sz w:val="24"/>
              </w:rPr>
              <w:t>3.26</w:t>
            </w:r>
          </w:p>
        </w:tc>
        <w:tc>
          <w:tcPr>
            <w:tcW w:w="1312" w:type="dxa"/>
          </w:tcPr>
          <w:p>
            <w:pPr>
              <w:pStyle w:val="TableParagraph"/>
              <w:spacing w:line="256" w:lineRule="exact"/>
              <w:ind w:left="109"/>
              <w:rPr>
                <w:sz w:val="24"/>
              </w:rPr>
            </w:pPr>
            <w:r>
              <w:rPr>
                <w:spacing w:val="-4"/>
                <w:sz w:val="24"/>
              </w:rPr>
              <w:t>9.42</w:t>
            </w:r>
          </w:p>
        </w:tc>
      </w:tr>
      <w:tr>
        <w:trPr>
          <w:trHeight w:val="276" w:hRule="atLeast"/>
        </w:trPr>
        <w:tc>
          <w:tcPr>
            <w:tcW w:w="605" w:type="dxa"/>
          </w:tcPr>
          <w:p>
            <w:pPr>
              <w:pStyle w:val="TableParagraph"/>
              <w:spacing w:line="256" w:lineRule="exact"/>
              <w:ind w:left="122"/>
              <w:rPr>
                <w:b/>
                <w:sz w:val="24"/>
              </w:rPr>
            </w:pPr>
            <w:r>
              <w:rPr>
                <w:b/>
                <w:spacing w:val="-10"/>
                <w:sz w:val="24"/>
              </w:rPr>
              <w:t>6</w:t>
            </w:r>
          </w:p>
        </w:tc>
        <w:tc>
          <w:tcPr>
            <w:tcW w:w="3263" w:type="dxa"/>
          </w:tcPr>
          <w:p>
            <w:pPr>
              <w:pStyle w:val="TableParagraph"/>
              <w:spacing w:line="256" w:lineRule="exact"/>
              <w:ind w:left="107"/>
              <w:rPr>
                <w:sz w:val="24"/>
              </w:rPr>
            </w:pPr>
            <w:r>
              <w:rPr>
                <w:sz w:val="24"/>
              </w:rPr>
              <w:t>Private</w:t>
            </w:r>
            <w:r>
              <w:rPr>
                <w:spacing w:val="-4"/>
                <w:sz w:val="24"/>
              </w:rPr>
              <w:t> </w:t>
            </w:r>
            <w:r>
              <w:rPr>
                <w:sz w:val="24"/>
              </w:rPr>
              <w:t>covered</w:t>
            </w:r>
            <w:r>
              <w:rPr>
                <w:spacing w:val="-1"/>
                <w:sz w:val="24"/>
              </w:rPr>
              <w:t> </w:t>
            </w:r>
            <w:r>
              <w:rPr>
                <w:sz w:val="24"/>
              </w:rPr>
              <w:t>dug</w:t>
            </w:r>
            <w:r>
              <w:rPr>
                <w:spacing w:val="-3"/>
                <w:sz w:val="24"/>
              </w:rPr>
              <w:t> </w:t>
            </w:r>
            <w:r>
              <w:rPr>
                <w:spacing w:val="-4"/>
                <w:sz w:val="24"/>
              </w:rPr>
              <w:t>well</w:t>
            </w:r>
          </w:p>
        </w:tc>
        <w:tc>
          <w:tcPr>
            <w:tcW w:w="993" w:type="dxa"/>
          </w:tcPr>
          <w:p>
            <w:pPr>
              <w:pStyle w:val="TableParagraph"/>
              <w:spacing w:line="256" w:lineRule="exact"/>
              <w:ind w:left="109"/>
              <w:rPr>
                <w:sz w:val="24"/>
              </w:rPr>
            </w:pPr>
            <w:r>
              <w:rPr>
                <w:spacing w:val="-2"/>
                <w:sz w:val="24"/>
              </w:rPr>
              <w:t>15.00</w:t>
            </w:r>
          </w:p>
        </w:tc>
        <w:tc>
          <w:tcPr>
            <w:tcW w:w="1443" w:type="dxa"/>
          </w:tcPr>
          <w:p>
            <w:pPr>
              <w:pStyle w:val="TableParagraph"/>
              <w:spacing w:line="256" w:lineRule="exact"/>
              <w:ind w:left="105"/>
              <w:rPr>
                <w:sz w:val="24"/>
              </w:rPr>
            </w:pPr>
            <w:r>
              <w:rPr>
                <w:spacing w:val="-2"/>
                <w:sz w:val="24"/>
              </w:rPr>
              <w:t>16.67</w:t>
            </w:r>
          </w:p>
        </w:tc>
        <w:tc>
          <w:tcPr>
            <w:tcW w:w="1242" w:type="dxa"/>
          </w:tcPr>
          <w:p>
            <w:pPr>
              <w:pStyle w:val="TableParagraph"/>
              <w:spacing w:line="256" w:lineRule="exact"/>
              <w:ind w:left="107"/>
              <w:rPr>
                <w:sz w:val="24"/>
              </w:rPr>
            </w:pPr>
            <w:r>
              <w:rPr>
                <w:spacing w:val="-4"/>
                <w:sz w:val="24"/>
              </w:rPr>
              <w:t>8.70</w:t>
            </w:r>
          </w:p>
        </w:tc>
        <w:tc>
          <w:tcPr>
            <w:tcW w:w="1312" w:type="dxa"/>
          </w:tcPr>
          <w:p>
            <w:pPr>
              <w:pStyle w:val="TableParagraph"/>
              <w:spacing w:line="256" w:lineRule="exact"/>
              <w:ind w:left="109"/>
              <w:rPr>
                <w:sz w:val="24"/>
              </w:rPr>
            </w:pPr>
            <w:r>
              <w:rPr>
                <w:spacing w:val="-2"/>
                <w:sz w:val="24"/>
              </w:rPr>
              <w:t>12.32</w:t>
            </w:r>
          </w:p>
        </w:tc>
      </w:tr>
      <w:tr>
        <w:trPr>
          <w:trHeight w:val="275" w:hRule="atLeast"/>
        </w:trPr>
        <w:tc>
          <w:tcPr>
            <w:tcW w:w="605" w:type="dxa"/>
          </w:tcPr>
          <w:p>
            <w:pPr>
              <w:pStyle w:val="TableParagraph"/>
              <w:spacing w:line="256" w:lineRule="exact"/>
              <w:ind w:left="122"/>
              <w:rPr>
                <w:b/>
                <w:sz w:val="24"/>
              </w:rPr>
            </w:pPr>
            <w:r>
              <w:rPr>
                <w:b/>
                <w:spacing w:val="-10"/>
                <w:sz w:val="24"/>
              </w:rPr>
              <w:t>7</w:t>
            </w:r>
          </w:p>
        </w:tc>
        <w:tc>
          <w:tcPr>
            <w:tcW w:w="3263" w:type="dxa"/>
          </w:tcPr>
          <w:p>
            <w:pPr>
              <w:pStyle w:val="TableParagraph"/>
              <w:spacing w:line="256" w:lineRule="exact"/>
              <w:ind w:left="107"/>
              <w:rPr>
                <w:sz w:val="24"/>
              </w:rPr>
            </w:pPr>
            <w:r>
              <w:rPr>
                <w:sz w:val="24"/>
              </w:rPr>
              <w:t>Rain</w:t>
            </w:r>
            <w:r>
              <w:rPr>
                <w:spacing w:val="-1"/>
                <w:sz w:val="24"/>
              </w:rPr>
              <w:t> </w:t>
            </w:r>
            <w:r>
              <w:rPr>
                <w:spacing w:val="-2"/>
                <w:sz w:val="24"/>
              </w:rPr>
              <w:t>water</w:t>
            </w:r>
          </w:p>
        </w:tc>
        <w:tc>
          <w:tcPr>
            <w:tcW w:w="993" w:type="dxa"/>
          </w:tcPr>
          <w:p>
            <w:pPr>
              <w:pStyle w:val="TableParagraph"/>
              <w:spacing w:line="256" w:lineRule="exact"/>
              <w:ind w:left="109"/>
              <w:rPr>
                <w:sz w:val="24"/>
              </w:rPr>
            </w:pPr>
            <w:r>
              <w:rPr>
                <w:spacing w:val="-4"/>
                <w:sz w:val="24"/>
              </w:rPr>
              <w:t>3.33</w:t>
            </w:r>
          </w:p>
        </w:tc>
        <w:tc>
          <w:tcPr>
            <w:tcW w:w="1443" w:type="dxa"/>
          </w:tcPr>
          <w:p>
            <w:pPr>
              <w:pStyle w:val="TableParagraph"/>
              <w:spacing w:line="256" w:lineRule="exact"/>
              <w:ind w:left="105"/>
              <w:rPr>
                <w:sz w:val="24"/>
              </w:rPr>
            </w:pPr>
            <w:r>
              <w:rPr>
                <w:spacing w:val="-2"/>
                <w:sz w:val="24"/>
              </w:rPr>
              <w:t>25.00</w:t>
            </w:r>
          </w:p>
        </w:tc>
        <w:tc>
          <w:tcPr>
            <w:tcW w:w="1242" w:type="dxa"/>
          </w:tcPr>
          <w:p>
            <w:pPr>
              <w:pStyle w:val="TableParagraph"/>
              <w:spacing w:line="256" w:lineRule="exact"/>
              <w:ind w:left="107"/>
              <w:rPr>
                <w:sz w:val="24"/>
              </w:rPr>
            </w:pPr>
            <w:r>
              <w:rPr>
                <w:spacing w:val="-2"/>
                <w:sz w:val="24"/>
              </w:rPr>
              <w:t>21.74</w:t>
            </w:r>
          </w:p>
        </w:tc>
        <w:tc>
          <w:tcPr>
            <w:tcW w:w="1312" w:type="dxa"/>
          </w:tcPr>
          <w:p>
            <w:pPr>
              <w:pStyle w:val="TableParagraph"/>
              <w:spacing w:line="256" w:lineRule="exact"/>
              <w:ind w:left="109"/>
              <w:rPr>
                <w:sz w:val="24"/>
              </w:rPr>
            </w:pPr>
            <w:r>
              <w:rPr>
                <w:spacing w:val="-2"/>
                <w:sz w:val="24"/>
              </w:rPr>
              <w:t>30.43</w:t>
            </w:r>
          </w:p>
        </w:tc>
      </w:tr>
      <w:tr>
        <w:trPr>
          <w:trHeight w:val="276" w:hRule="atLeast"/>
        </w:trPr>
        <w:tc>
          <w:tcPr>
            <w:tcW w:w="605" w:type="dxa"/>
          </w:tcPr>
          <w:p>
            <w:pPr>
              <w:pStyle w:val="TableParagraph"/>
              <w:spacing w:line="256" w:lineRule="exact"/>
              <w:ind w:left="122"/>
              <w:rPr>
                <w:b/>
                <w:sz w:val="24"/>
              </w:rPr>
            </w:pPr>
            <w:r>
              <w:rPr>
                <w:b/>
                <w:spacing w:val="-10"/>
                <w:sz w:val="24"/>
              </w:rPr>
              <w:t>8</w:t>
            </w:r>
          </w:p>
        </w:tc>
        <w:tc>
          <w:tcPr>
            <w:tcW w:w="3263" w:type="dxa"/>
          </w:tcPr>
          <w:p>
            <w:pPr>
              <w:pStyle w:val="TableParagraph"/>
              <w:spacing w:line="256" w:lineRule="exact"/>
              <w:ind w:left="107"/>
              <w:rPr>
                <w:sz w:val="24"/>
              </w:rPr>
            </w:pPr>
            <w:r>
              <w:rPr>
                <w:sz w:val="24"/>
              </w:rPr>
              <w:t>Public</w:t>
            </w:r>
            <w:r>
              <w:rPr>
                <w:spacing w:val="-2"/>
                <w:sz w:val="24"/>
              </w:rPr>
              <w:t> </w:t>
            </w:r>
            <w:r>
              <w:rPr>
                <w:sz w:val="24"/>
              </w:rPr>
              <w:t>open </w:t>
            </w:r>
            <w:r>
              <w:rPr>
                <w:spacing w:val="-2"/>
                <w:sz w:val="24"/>
              </w:rPr>
              <w:t>borehole</w:t>
            </w:r>
          </w:p>
        </w:tc>
        <w:tc>
          <w:tcPr>
            <w:tcW w:w="993" w:type="dxa"/>
          </w:tcPr>
          <w:p>
            <w:pPr>
              <w:pStyle w:val="TableParagraph"/>
              <w:spacing w:line="256" w:lineRule="exact"/>
              <w:ind w:left="109"/>
              <w:rPr>
                <w:sz w:val="24"/>
              </w:rPr>
            </w:pPr>
            <w:r>
              <w:rPr>
                <w:spacing w:val="-2"/>
                <w:sz w:val="24"/>
              </w:rPr>
              <w:t>20.00</w:t>
            </w:r>
          </w:p>
        </w:tc>
        <w:tc>
          <w:tcPr>
            <w:tcW w:w="1443" w:type="dxa"/>
          </w:tcPr>
          <w:p>
            <w:pPr>
              <w:pStyle w:val="TableParagraph"/>
              <w:spacing w:line="256" w:lineRule="exact"/>
              <w:ind w:left="105"/>
              <w:rPr>
                <w:sz w:val="24"/>
              </w:rPr>
            </w:pPr>
            <w:r>
              <w:rPr>
                <w:spacing w:val="-4"/>
                <w:sz w:val="24"/>
              </w:rPr>
              <w:t>4.76</w:t>
            </w:r>
          </w:p>
        </w:tc>
        <w:tc>
          <w:tcPr>
            <w:tcW w:w="1242" w:type="dxa"/>
          </w:tcPr>
          <w:p>
            <w:pPr>
              <w:pStyle w:val="TableParagraph"/>
              <w:spacing w:line="256" w:lineRule="exact"/>
              <w:ind w:left="107"/>
              <w:rPr>
                <w:sz w:val="24"/>
              </w:rPr>
            </w:pPr>
            <w:r>
              <w:rPr>
                <w:spacing w:val="-2"/>
                <w:sz w:val="24"/>
              </w:rPr>
              <w:t>11.96</w:t>
            </w:r>
          </w:p>
        </w:tc>
        <w:tc>
          <w:tcPr>
            <w:tcW w:w="1312" w:type="dxa"/>
          </w:tcPr>
          <w:p>
            <w:pPr>
              <w:pStyle w:val="TableParagraph"/>
              <w:spacing w:line="256" w:lineRule="exact"/>
              <w:ind w:left="109"/>
              <w:rPr>
                <w:sz w:val="24"/>
              </w:rPr>
            </w:pPr>
            <w:r>
              <w:rPr>
                <w:spacing w:val="-4"/>
                <w:sz w:val="24"/>
              </w:rPr>
              <w:t>2.17</w:t>
            </w:r>
          </w:p>
        </w:tc>
      </w:tr>
      <w:tr>
        <w:trPr>
          <w:trHeight w:val="275" w:hRule="atLeast"/>
        </w:trPr>
        <w:tc>
          <w:tcPr>
            <w:tcW w:w="605" w:type="dxa"/>
          </w:tcPr>
          <w:p>
            <w:pPr>
              <w:pStyle w:val="TableParagraph"/>
              <w:spacing w:line="256" w:lineRule="exact"/>
              <w:ind w:left="122"/>
              <w:rPr>
                <w:b/>
                <w:sz w:val="24"/>
              </w:rPr>
            </w:pPr>
            <w:r>
              <w:rPr>
                <w:b/>
                <w:spacing w:val="-10"/>
                <w:sz w:val="24"/>
              </w:rPr>
              <w:t>9</w:t>
            </w:r>
          </w:p>
        </w:tc>
        <w:tc>
          <w:tcPr>
            <w:tcW w:w="3263" w:type="dxa"/>
          </w:tcPr>
          <w:p>
            <w:pPr>
              <w:pStyle w:val="TableParagraph"/>
              <w:spacing w:line="256" w:lineRule="exact"/>
              <w:ind w:left="107"/>
              <w:rPr>
                <w:sz w:val="24"/>
              </w:rPr>
            </w:pPr>
            <w:r>
              <w:rPr>
                <w:sz w:val="24"/>
              </w:rPr>
              <w:t>Bottled</w:t>
            </w:r>
            <w:r>
              <w:rPr>
                <w:spacing w:val="-4"/>
                <w:sz w:val="24"/>
              </w:rPr>
              <w:t> </w:t>
            </w:r>
            <w:r>
              <w:rPr>
                <w:spacing w:val="-2"/>
                <w:sz w:val="24"/>
              </w:rPr>
              <w:t>water</w:t>
            </w:r>
          </w:p>
        </w:tc>
        <w:tc>
          <w:tcPr>
            <w:tcW w:w="993" w:type="dxa"/>
          </w:tcPr>
          <w:p>
            <w:pPr>
              <w:pStyle w:val="TableParagraph"/>
              <w:spacing w:line="256" w:lineRule="exact"/>
              <w:ind w:left="109"/>
              <w:rPr>
                <w:sz w:val="24"/>
              </w:rPr>
            </w:pPr>
            <w:r>
              <w:rPr>
                <w:spacing w:val="-4"/>
                <w:sz w:val="24"/>
              </w:rPr>
              <w:t>0.00</w:t>
            </w:r>
          </w:p>
        </w:tc>
        <w:tc>
          <w:tcPr>
            <w:tcW w:w="1443" w:type="dxa"/>
          </w:tcPr>
          <w:p>
            <w:pPr>
              <w:pStyle w:val="TableParagraph"/>
              <w:spacing w:line="256" w:lineRule="exact"/>
              <w:ind w:left="105"/>
              <w:rPr>
                <w:sz w:val="24"/>
              </w:rPr>
            </w:pPr>
            <w:r>
              <w:rPr>
                <w:spacing w:val="-4"/>
                <w:sz w:val="24"/>
              </w:rPr>
              <w:t>2.38</w:t>
            </w:r>
          </w:p>
        </w:tc>
        <w:tc>
          <w:tcPr>
            <w:tcW w:w="1242" w:type="dxa"/>
          </w:tcPr>
          <w:p>
            <w:pPr>
              <w:pStyle w:val="TableParagraph"/>
              <w:spacing w:line="256" w:lineRule="exact"/>
              <w:ind w:left="107"/>
              <w:rPr>
                <w:sz w:val="24"/>
              </w:rPr>
            </w:pPr>
            <w:r>
              <w:rPr>
                <w:spacing w:val="-4"/>
                <w:sz w:val="24"/>
              </w:rPr>
              <w:t>1.09</w:t>
            </w:r>
          </w:p>
        </w:tc>
        <w:tc>
          <w:tcPr>
            <w:tcW w:w="1312" w:type="dxa"/>
          </w:tcPr>
          <w:p>
            <w:pPr>
              <w:pStyle w:val="TableParagraph"/>
              <w:spacing w:line="256" w:lineRule="exact"/>
              <w:ind w:left="109"/>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10</w:t>
            </w:r>
          </w:p>
        </w:tc>
        <w:tc>
          <w:tcPr>
            <w:tcW w:w="3263" w:type="dxa"/>
          </w:tcPr>
          <w:p>
            <w:pPr>
              <w:pStyle w:val="TableParagraph"/>
              <w:spacing w:line="256" w:lineRule="exact"/>
              <w:ind w:left="107"/>
              <w:rPr>
                <w:sz w:val="24"/>
              </w:rPr>
            </w:pPr>
            <w:r>
              <w:rPr>
                <w:sz w:val="24"/>
              </w:rPr>
              <w:t>Private</w:t>
            </w:r>
            <w:r>
              <w:rPr>
                <w:spacing w:val="-4"/>
                <w:sz w:val="24"/>
              </w:rPr>
              <w:t> </w:t>
            </w:r>
            <w:r>
              <w:rPr>
                <w:sz w:val="24"/>
              </w:rPr>
              <w:t>unprotected</w:t>
            </w:r>
            <w:r>
              <w:rPr>
                <w:spacing w:val="-1"/>
                <w:sz w:val="24"/>
              </w:rPr>
              <w:t> </w:t>
            </w:r>
            <w:r>
              <w:rPr>
                <w:sz w:val="24"/>
              </w:rPr>
              <w:t>dug</w:t>
            </w:r>
            <w:r>
              <w:rPr>
                <w:spacing w:val="-2"/>
                <w:sz w:val="24"/>
              </w:rPr>
              <w:t> </w:t>
            </w:r>
            <w:r>
              <w:rPr>
                <w:spacing w:val="-4"/>
                <w:sz w:val="24"/>
              </w:rPr>
              <w:t>well</w:t>
            </w:r>
          </w:p>
        </w:tc>
        <w:tc>
          <w:tcPr>
            <w:tcW w:w="993" w:type="dxa"/>
          </w:tcPr>
          <w:p>
            <w:pPr>
              <w:pStyle w:val="TableParagraph"/>
              <w:spacing w:line="256" w:lineRule="exact"/>
              <w:ind w:left="109"/>
              <w:rPr>
                <w:sz w:val="24"/>
              </w:rPr>
            </w:pPr>
            <w:r>
              <w:rPr>
                <w:spacing w:val="-4"/>
                <w:sz w:val="24"/>
              </w:rPr>
              <w:t>1.67</w:t>
            </w:r>
          </w:p>
        </w:tc>
        <w:tc>
          <w:tcPr>
            <w:tcW w:w="1443" w:type="dxa"/>
          </w:tcPr>
          <w:p>
            <w:pPr>
              <w:pStyle w:val="TableParagraph"/>
              <w:spacing w:line="256" w:lineRule="exact"/>
              <w:ind w:left="105"/>
              <w:rPr>
                <w:sz w:val="24"/>
              </w:rPr>
            </w:pPr>
            <w:r>
              <w:rPr>
                <w:spacing w:val="-4"/>
                <w:sz w:val="24"/>
              </w:rPr>
              <w:t>1.19</w:t>
            </w:r>
          </w:p>
        </w:tc>
        <w:tc>
          <w:tcPr>
            <w:tcW w:w="1242" w:type="dxa"/>
          </w:tcPr>
          <w:p>
            <w:pPr>
              <w:pStyle w:val="TableParagraph"/>
              <w:spacing w:line="256" w:lineRule="exact"/>
              <w:ind w:left="107"/>
              <w:rPr>
                <w:sz w:val="24"/>
              </w:rPr>
            </w:pPr>
            <w:r>
              <w:rPr>
                <w:spacing w:val="-4"/>
                <w:sz w:val="24"/>
              </w:rPr>
              <w:t>0.00</w:t>
            </w:r>
          </w:p>
        </w:tc>
        <w:tc>
          <w:tcPr>
            <w:tcW w:w="1312" w:type="dxa"/>
          </w:tcPr>
          <w:p>
            <w:pPr>
              <w:pStyle w:val="TableParagraph"/>
              <w:spacing w:line="256" w:lineRule="exact"/>
              <w:ind w:left="109"/>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11</w:t>
            </w:r>
          </w:p>
        </w:tc>
        <w:tc>
          <w:tcPr>
            <w:tcW w:w="3263" w:type="dxa"/>
          </w:tcPr>
          <w:p>
            <w:pPr>
              <w:pStyle w:val="TableParagraph"/>
              <w:spacing w:line="256" w:lineRule="exact"/>
              <w:ind w:left="107"/>
              <w:rPr>
                <w:sz w:val="24"/>
              </w:rPr>
            </w:pPr>
            <w:r>
              <w:rPr>
                <w:sz w:val="24"/>
              </w:rPr>
              <w:t>Tanker</w:t>
            </w:r>
            <w:r>
              <w:rPr>
                <w:spacing w:val="-5"/>
                <w:sz w:val="24"/>
              </w:rPr>
              <w:t> </w:t>
            </w:r>
            <w:r>
              <w:rPr>
                <w:spacing w:val="-2"/>
                <w:sz w:val="24"/>
              </w:rPr>
              <w:t>truck</w:t>
            </w:r>
          </w:p>
        </w:tc>
        <w:tc>
          <w:tcPr>
            <w:tcW w:w="993" w:type="dxa"/>
          </w:tcPr>
          <w:p>
            <w:pPr>
              <w:pStyle w:val="TableParagraph"/>
              <w:spacing w:line="256" w:lineRule="exact"/>
              <w:ind w:left="109"/>
              <w:rPr>
                <w:sz w:val="24"/>
              </w:rPr>
            </w:pPr>
            <w:r>
              <w:rPr>
                <w:spacing w:val="-4"/>
                <w:sz w:val="24"/>
              </w:rPr>
              <w:t>6.67</w:t>
            </w:r>
          </w:p>
        </w:tc>
        <w:tc>
          <w:tcPr>
            <w:tcW w:w="1443" w:type="dxa"/>
          </w:tcPr>
          <w:p>
            <w:pPr>
              <w:pStyle w:val="TableParagraph"/>
              <w:spacing w:line="256" w:lineRule="exact"/>
              <w:ind w:left="105"/>
              <w:rPr>
                <w:sz w:val="24"/>
              </w:rPr>
            </w:pPr>
            <w:r>
              <w:rPr>
                <w:spacing w:val="-4"/>
                <w:sz w:val="24"/>
              </w:rPr>
              <w:t>4.76</w:t>
            </w:r>
          </w:p>
        </w:tc>
        <w:tc>
          <w:tcPr>
            <w:tcW w:w="1242" w:type="dxa"/>
          </w:tcPr>
          <w:p>
            <w:pPr>
              <w:pStyle w:val="TableParagraph"/>
              <w:spacing w:line="256" w:lineRule="exact"/>
              <w:ind w:left="107"/>
              <w:rPr>
                <w:sz w:val="24"/>
              </w:rPr>
            </w:pPr>
            <w:r>
              <w:rPr>
                <w:spacing w:val="-4"/>
                <w:sz w:val="24"/>
              </w:rPr>
              <w:t>1.09</w:t>
            </w:r>
          </w:p>
        </w:tc>
        <w:tc>
          <w:tcPr>
            <w:tcW w:w="1312" w:type="dxa"/>
          </w:tcPr>
          <w:p>
            <w:pPr>
              <w:pStyle w:val="TableParagraph"/>
              <w:spacing w:line="256" w:lineRule="exact"/>
              <w:ind w:left="109"/>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12</w:t>
            </w:r>
          </w:p>
        </w:tc>
        <w:tc>
          <w:tcPr>
            <w:tcW w:w="3263" w:type="dxa"/>
          </w:tcPr>
          <w:p>
            <w:pPr>
              <w:pStyle w:val="TableParagraph"/>
              <w:spacing w:line="256" w:lineRule="exact"/>
              <w:ind w:left="107"/>
              <w:rPr>
                <w:sz w:val="24"/>
              </w:rPr>
            </w:pPr>
            <w:r>
              <w:rPr>
                <w:sz w:val="24"/>
              </w:rPr>
              <w:t>Water</w:t>
            </w:r>
            <w:r>
              <w:rPr>
                <w:spacing w:val="-3"/>
                <w:sz w:val="24"/>
              </w:rPr>
              <w:t> </w:t>
            </w:r>
            <w:r>
              <w:rPr>
                <w:sz w:val="24"/>
              </w:rPr>
              <w:t>vendor/Cart</w:t>
            </w:r>
            <w:r>
              <w:rPr>
                <w:spacing w:val="-1"/>
                <w:sz w:val="24"/>
              </w:rPr>
              <w:t> </w:t>
            </w:r>
            <w:r>
              <w:rPr>
                <w:sz w:val="24"/>
              </w:rPr>
              <w:t>with</w:t>
            </w:r>
            <w:r>
              <w:rPr>
                <w:spacing w:val="-1"/>
                <w:sz w:val="24"/>
              </w:rPr>
              <w:t> </w:t>
            </w:r>
            <w:r>
              <w:rPr>
                <w:spacing w:val="-4"/>
                <w:sz w:val="24"/>
              </w:rPr>
              <w:t>tank</w:t>
            </w:r>
          </w:p>
        </w:tc>
        <w:tc>
          <w:tcPr>
            <w:tcW w:w="993" w:type="dxa"/>
          </w:tcPr>
          <w:p>
            <w:pPr>
              <w:pStyle w:val="TableParagraph"/>
              <w:spacing w:line="256" w:lineRule="exact"/>
              <w:ind w:left="109"/>
              <w:rPr>
                <w:sz w:val="24"/>
              </w:rPr>
            </w:pPr>
            <w:r>
              <w:rPr>
                <w:spacing w:val="-4"/>
                <w:sz w:val="24"/>
              </w:rPr>
              <w:t>6.67</w:t>
            </w:r>
          </w:p>
        </w:tc>
        <w:tc>
          <w:tcPr>
            <w:tcW w:w="1443" w:type="dxa"/>
          </w:tcPr>
          <w:p>
            <w:pPr>
              <w:pStyle w:val="TableParagraph"/>
              <w:spacing w:line="256" w:lineRule="exact"/>
              <w:ind w:left="105"/>
              <w:rPr>
                <w:sz w:val="24"/>
              </w:rPr>
            </w:pPr>
            <w:r>
              <w:rPr>
                <w:spacing w:val="-2"/>
                <w:sz w:val="24"/>
              </w:rPr>
              <w:t>13.10</w:t>
            </w:r>
          </w:p>
        </w:tc>
        <w:tc>
          <w:tcPr>
            <w:tcW w:w="1242" w:type="dxa"/>
          </w:tcPr>
          <w:p>
            <w:pPr>
              <w:pStyle w:val="TableParagraph"/>
              <w:spacing w:line="256" w:lineRule="exact"/>
              <w:ind w:left="107"/>
              <w:rPr>
                <w:sz w:val="24"/>
              </w:rPr>
            </w:pPr>
            <w:r>
              <w:rPr>
                <w:spacing w:val="-4"/>
                <w:sz w:val="24"/>
              </w:rPr>
              <w:t>1.09</w:t>
            </w:r>
          </w:p>
        </w:tc>
        <w:tc>
          <w:tcPr>
            <w:tcW w:w="1312" w:type="dxa"/>
          </w:tcPr>
          <w:p>
            <w:pPr>
              <w:pStyle w:val="TableParagraph"/>
              <w:spacing w:line="256" w:lineRule="exact"/>
              <w:ind w:left="109"/>
              <w:rPr>
                <w:sz w:val="24"/>
              </w:rPr>
            </w:pPr>
            <w:r>
              <w:rPr>
                <w:spacing w:val="-2"/>
                <w:sz w:val="24"/>
              </w:rPr>
              <w:t>14.49</w:t>
            </w:r>
          </w:p>
        </w:tc>
      </w:tr>
      <w:tr>
        <w:trPr>
          <w:trHeight w:val="276" w:hRule="atLeast"/>
        </w:trPr>
        <w:tc>
          <w:tcPr>
            <w:tcW w:w="605" w:type="dxa"/>
          </w:tcPr>
          <w:p>
            <w:pPr>
              <w:pStyle w:val="TableParagraph"/>
              <w:spacing w:line="256" w:lineRule="exact"/>
              <w:ind w:left="122"/>
              <w:rPr>
                <w:b/>
                <w:sz w:val="24"/>
              </w:rPr>
            </w:pPr>
            <w:r>
              <w:rPr>
                <w:b/>
                <w:spacing w:val="-5"/>
                <w:sz w:val="24"/>
              </w:rPr>
              <w:t>13</w:t>
            </w:r>
          </w:p>
        </w:tc>
        <w:tc>
          <w:tcPr>
            <w:tcW w:w="3263" w:type="dxa"/>
          </w:tcPr>
          <w:p>
            <w:pPr>
              <w:pStyle w:val="TableParagraph"/>
              <w:spacing w:line="256" w:lineRule="exact"/>
              <w:ind w:left="107"/>
              <w:rPr>
                <w:sz w:val="24"/>
              </w:rPr>
            </w:pPr>
            <w:r>
              <w:rPr>
                <w:sz w:val="24"/>
              </w:rPr>
              <w:t>River</w:t>
            </w:r>
            <w:r>
              <w:rPr>
                <w:spacing w:val="-3"/>
                <w:sz w:val="24"/>
              </w:rPr>
              <w:t> </w:t>
            </w:r>
            <w:r>
              <w:rPr>
                <w:sz w:val="24"/>
              </w:rPr>
              <w:t>and </w:t>
            </w:r>
            <w:r>
              <w:rPr>
                <w:spacing w:val="-2"/>
                <w:sz w:val="24"/>
              </w:rPr>
              <w:t>stream</w:t>
            </w:r>
          </w:p>
        </w:tc>
        <w:tc>
          <w:tcPr>
            <w:tcW w:w="993" w:type="dxa"/>
          </w:tcPr>
          <w:p>
            <w:pPr>
              <w:pStyle w:val="TableParagraph"/>
              <w:spacing w:line="256" w:lineRule="exact"/>
              <w:ind w:left="109"/>
              <w:rPr>
                <w:sz w:val="24"/>
              </w:rPr>
            </w:pPr>
            <w:r>
              <w:rPr>
                <w:spacing w:val="-4"/>
                <w:sz w:val="24"/>
              </w:rPr>
              <w:t>0.00</w:t>
            </w:r>
          </w:p>
        </w:tc>
        <w:tc>
          <w:tcPr>
            <w:tcW w:w="1443" w:type="dxa"/>
          </w:tcPr>
          <w:p>
            <w:pPr>
              <w:pStyle w:val="TableParagraph"/>
              <w:spacing w:line="256" w:lineRule="exact"/>
              <w:ind w:left="105"/>
              <w:rPr>
                <w:sz w:val="24"/>
              </w:rPr>
            </w:pPr>
            <w:r>
              <w:rPr>
                <w:spacing w:val="-4"/>
                <w:sz w:val="24"/>
              </w:rPr>
              <w:t>0.00</w:t>
            </w:r>
          </w:p>
        </w:tc>
        <w:tc>
          <w:tcPr>
            <w:tcW w:w="1242" w:type="dxa"/>
          </w:tcPr>
          <w:p>
            <w:pPr>
              <w:pStyle w:val="TableParagraph"/>
              <w:spacing w:line="256" w:lineRule="exact"/>
              <w:ind w:left="107"/>
              <w:rPr>
                <w:sz w:val="24"/>
              </w:rPr>
            </w:pPr>
            <w:r>
              <w:rPr>
                <w:spacing w:val="-4"/>
                <w:sz w:val="24"/>
              </w:rPr>
              <w:t>0.00</w:t>
            </w:r>
          </w:p>
        </w:tc>
        <w:tc>
          <w:tcPr>
            <w:tcW w:w="1312" w:type="dxa"/>
          </w:tcPr>
          <w:p>
            <w:pPr>
              <w:pStyle w:val="TableParagraph"/>
              <w:spacing w:line="256" w:lineRule="exact"/>
              <w:ind w:left="109"/>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14</w:t>
            </w:r>
          </w:p>
        </w:tc>
        <w:tc>
          <w:tcPr>
            <w:tcW w:w="3263" w:type="dxa"/>
          </w:tcPr>
          <w:p>
            <w:pPr>
              <w:pStyle w:val="TableParagraph"/>
              <w:spacing w:line="256" w:lineRule="exact"/>
              <w:ind w:left="107"/>
              <w:rPr>
                <w:sz w:val="24"/>
              </w:rPr>
            </w:pPr>
            <w:r>
              <w:rPr>
                <w:sz w:val="24"/>
              </w:rPr>
              <w:t>Pond</w:t>
            </w:r>
            <w:r>
              <w:rPr>
                <w:spacing w:val="-1"/>
                <w:sz w:val="24"/>
              </w:rPr>
              <w:t> </w:t>
            </w:r>
            <w:r>
              <w:rPr>
                <w:sz w:val="24"/>
              </w:rPr>
              <w:t>and </w:t>
            </w:r>
            <w:r>
              <w:rPr>
                <w:spacing w:val="-4"/>
                <w:sz w:val="24"/>
              </w:rPr>
              <w:t>lake</w:t>
            </w:r>
          </w:p>
        </w:tc>
        <w:tc>
          <w:tcPr>
            <w:tcW w:w="993" w:type="dxa"/>
          </w:tcPr>
          <w:p>
            <w:pPr>
              <w:pStyle w:val="TableParagraph"/>
              <w:spacing w:line="256" w:lineRule="exact"/>
              <w:ind w:left="109"/>
              <w:rPr>
                <w:sz w:val="24"/>
              </w:rPr>
            </w:pPr>
            <w:r>
              <w:rPr>
                <w:spacing w:val="-4"/>
                <w:sz w:val="24"/>
              </w:rPr>
              <w:t>0.00</w:t>
            </w:r>
          </w:p>
        </w:tc>
        <w:tc>
          <w:tcPr>
            <w:tcW w:w="1443" w:type="dxa"/>
          </w:tcPr>
          <w:p>
            <w:pPr>
              <w:pStyle w:val="TableParagraph"/>
              <w:spacing w:line="256" w:lineRule="exact"/>
              <w:ind w:left="105"/>
              <w:rPr>
                <w:sz w:val="24"/>
              </w:rPr>
            </w:pPr>
            <w:r>
              <w:rPr>
                <w:spacing w:val="-4"/>
                <w:sz w:val="24"/>
              </w:rPr>
              <w:t>0.00</w:t>
            </w:r>
          </w:p>
        </w:tc>
        <w:tc>
          <w:tcPr>
            <w:tcW w:w="1242" w:type="dxa"/>
          </w:tcPr>
          <w:p>
            <w:pPr>
              <w:pStyle w:val="TableParagraph"/>
              <w:spacing w:line="256" w:lineRule="exact"/>
              <w:ind w:left="107"/>
              <w:rPr>
                <w:sz w:val="24"/>
              </w:rPr>
            </w:pPr>
            <w:r>
              <w:rPr>
                <w:spacing w:val="-4"/>
                <w:sz w:val="24"/>
              </w:rPr>
              <w:t>0.00</w:t>
            </w:r>
          </w:p>
        </w:tc>
        <w:tc>
          <w:tcPr>
            <w:tcW w:w="1312" w:type="dxa"/>
          </w:tcPr>
          <w:p>
            <w:pPr>
              <w:pStyle w:val="TableParagraph"/>
              <w:spacing w:line="256" w:lineRule="exact"/>
              <w:ind w:left="109"/>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15</w:t>
            </w:r>
          </w:p>
        </w:tc>
        <w:tc>
          <w:tcPr>
            <w:tcW w:w="3263" w:type="dxa"/>
          </w:tcPr>
          <w:p>
            <w:pPr>
              <w:pStyle w:val="TableParagraph"/>
              <w:spacing w:line="256" w:lineRule="exact"/>
              <w:ind w:left="107"/>
              <w:rPr>
                <w:sz w:val="24"/>
              </w:rPr>
            </w:pPr>
            <w:r>
              <w:rPr>
                <w:sz w:val="24"/>
              </w:rPr>
              <w:t>Dugout</w:t>
            </w:r>
            <w:r>
              <w:rPr>
                <w:spacing w:val="-3"/>
                <w:sz w:val="24"/>
              </w:rPr>
              <w:t> </w:t>
            </w:r>
            <w:r>
              <w:rPr>
                <w:sz w:val="24"/>
              </w:rPr>
              <w:t>and</w:t>
            </w:r>
            <w:r>
              <w:rPr>
                <w:spacing w:val="-1"/>
                <w:sz w:val="24"/>
              </w:rPr>
              <w:t> </w:t>
            </w:r>
            <w:r>
              <w:rPr>
                <w:sz w:val="24"/>
              </w:rPr>
              <w:t>shallow</w:t>
            </w:r>
            <w:r>
              <w:rPr>
                <w:spacing w:val="-1"/>
                <w:sz w:val="24"/>
              </w:rPr>
              <w:t> </w:t>
            </w:r>
            <w:r>
              <w:rPr>
                <w:spacing w:val="-4"/>
                <w:sz w:val="24"/>
              </w:rPr>
              <w:t>well</w:t>
            </w:r>
          </w:p>
        </w:tc>
        <w:tc>
          <w:tcPr>
            <w:tcW w:w="993" w:type="dxa"/>
          </w:tcPr>
          <w:p>
            <w:pPr>
              <w:pStyle w:val="TableParagraph"/>
              <w:spacing w:line="256" w:lineRule="exact"/>
              <w:ind w:left="109"/>
              <w:rPr>
                <w:sz w:val="24"/>
              </w:rPr>
            </w:pPr>
            <w:r>
              <w:rPr>
                <w:spacing w:val="-4"/>
                <w:sz w:val="24"/>
              </w:rPr>
              <w:t>1.67</w:t>
            </w:r>
          </w:p>
        </w:tc>
        <w:tc>
          <w:tcPr>
            <w:tcW w:w="1443" w:type="dxa"/>
          </w:tcPr>
          <w:p>
            <w:pPr>
              <w:pStyle w:val="TableParagraph"/>
              <w:spacing w:line="256" w:lineRule="exact"/>
              <w:ind w:left="105"/>
              <w:rPr>
                <w:sz w:val="24"/>
              </w:rPr>
            </w:pPr>
            <w:r>
              <w:rPr>
                <w:spacing w:val="-4"/>
                <w:sz w:val="24"/>
              </w:rPr>
              <w:t>7.14</w:t>
            </w:r>
          </w:p>
        </w:tc>
        <w:tc>
          <w:tcPr>
            <w:tcW w:w="1242" w:type="dxa"/>
          </w:tcPr>
          <w:p>
            <w:pPr>
              <w:pStyle w:val="TableParagraph"/>
              <w:spacing w:line="256" w:lineRule="exact"/>
              <w:ind w:left="107"/>
              <w:rPr>
                <w:sz w:val="24"/>
              </w:rPr>
            </w:pPr>
            <w:r>
              <w:rPr>
                <w:spacing w:val="-4"/>
                <w:sz w:val="24"/>
              </w:rPr>
              <w:t>3.26</w:t>
            </w:r>
          </w:p>
        </w:tc>
        <w:tc>
          <w:tcPr>
            <w:tcW w:w="1312" w:type="dxa"/>
          </w:tcPr>
          <w:p>
            <w:pPr>
              <w:pStyle w:val="TableParagraph"/>
              <w:spacing w:line="256" w:lineRule="exact"/>
              <w:ind w:left="109"/>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16</w:t>
            </w:r>
          </w:p>
        </w:tc>
        <w:tc>
          <w:tcPr>
            <w:tcW w:w="3263" w:type="dxa"/>
          </w:tcPr>
          <w:p>
            <w:pPr>
              <w:pStyle w:val="TableParagraph"/>
              <w:spacing w:line="256" w:lineRule="exact"/>
              <w:ind w:left="107"/>
              <w:rPr>
                <w:sz w:val="24"/>
              </w:rPr>
            </w:pPr>
            <w:r>
              <w:rPr>
                <w:spacing w:val="-5"/>
                <w:sz w:val="24"/>
              </w:rPr>
              <w:t>Dam</w:t>
            </w:r>
          </w:p>
        </w:tc>
        <w:tc>
          <w:tcPr>
            <w:tcW w:w="993" w:type="dxa"/>
          </w:tcPr>
          <w:p>
            <w:pPr>
              <w:pStyle w:val="TableParagraph"/>
              <w:spacing w:line="256" w:lineRule="exact"/>
              <w:ind w:left="109"/>
              <w:rPr>
                <w:sz w:val="24"/>
              </w:rPr>
            </w:pPr>
            <w:r>
              <w:rPr>
                <w:spacing w:val="-4"/>
                <w:sz w:val="24"/>
              </w:rPr>
              <w:t>0.00</w:t>
            </w:r>
          </w:p>
        </w:tc>
        <w:tc>
          <w:tcPr>
            <w:tcW w:w="1443" w:type="dxa"/>
          </w:tcPr>
          <w:p>
            <w:pPr>
              <w:pStyle w:val="TableParagraph"/>
              <w:spacing w:line="256" w:lineRule="exact"/>
              <w:ind w:left="105"/>
              <w:rPr>
                <w:sz w:val="24"/>
              </w:rPr>
            </w:pPr>
            <w:r>
              <w:rPr>
                <w:spacing w:val="-4"/>
                <w:sz w:val="24"/>
              </w:rPr>
              <w:t>0.00</w:t>
            </w:r>
          </w:p>
        </w:tc>
        <w:tc>
          <w:tcPr>
            <w:tcW w:w="1242" w:type="dxa"/>
          </w:tcPr>
          <w:p>
            <w:pPr>
              <w:pStyle w:val="TableParagraph"/>
              <w:spacing w:line="256" w:lineRule="exact"/>
              <w:ind w:left="107"/>
              <w:rPr>
                <w:sz w:val="24"/>
              </w:rPr>
            </w:pPr>
            <w:r>
              <w:rPr>
                <w:spacing w:val="-4"/>
                <w:sz w:val="24"/>
              </w:rPr>
              <w:t>0.00</w:t>
            </w:r>
          </w:p>
        </w:tc>
        <w:tc>
          <w:tcPr>
            <w:tcW w:w="1312" w:type="dxa"/>
          </w:tcPr>
          <w:p>
            <w:pPr>
              <w:pStyle w:val="TableParagraph"/>
              <w:spacing w:line="256" w:lineRule="exact"/>
              <w:ind w:left="109"/>
              <w:rPr>
                <w:sz w:val="24"/>
              </w:rPr>
            </w:pPr>
            <w:r>
              <w:rPr>
                <w:spacing w:val="-4"/>
                <w:sz w:val="24"/>
              </w:rPr>
              <w:t>0.00</w:t>
            </w:r>
          </w:p>
        </w:tc>
      </w:tr>
      <w:tr>
        <w:trPr>
          <w:trHeight w:val="276" w:hRule="atLeast"/>
        </w:trPr>
        <w:tc>
          <w:tcPr>
            <w:tcW w:w="605" w:type="dxa"/>
          </w:tcPr>
          <w:p>
            <w:pPr>
              <w:pStyle w:val="TableParagraph"/>
              <w:spacing w:line="256" w:lineRule="exact"/>
              <w:ind w:left="122"/>
              <w:rPr>
                <w:b/>
                <w:sz w:val="24"/>
              </w:rPr>
            </w:pPr>
            <w:r>
              <w:rPr>
                <w:b/>
                <w:spacing w:val="-5"/>
                <w:sz w:val="24"/>
              </w:rPr>
              <w:t>17</w:t>
            </w:r>
          </w:p>
        </w:tc>
        <w:tc>
          <w:tcPr>
            <w:tcW w:w="3263" w:type="dxa"/>
          </w:tcPr>
          <w:p>
            <w:pPr>
              <w:pStyle w:val="TableParagraph"/>
              <w:spacing w:line="256" w:lineRule="exact"/>
              <w:ind w:left="107"/>
              <w:rPr>
                <w:sz w:val="24"/>
              </w:rPr>
            </w:pPr>
            <w:r>
              <w:rPr>
                <w:sz w:val="24"/>
              </w:rPr>
              <w:t>Sachet</w:t>
            </w:r>
            <w:r>
              <w:rPr>
                <w:spacing w:val="-5"/>
                <w:sz w:val="24"/>
              </w:rPr>
              <w:t> </w:t>
            </w:r>
            <w:r>
              <w:rPr>
                <w:spacing w:val="-2"/>
                <w:sz w:val="24"/>
              </w:rPr>
              <w:t>water</w:t>
            </w:r>
          </w:p>
        </w:tc>
        <w:tc>
          <w:tcPr>
            <w:tcW w:w="993" w:type="dxa"/>
          </w:tcPr>
          <w:p>
            <w:pPr>
              <w:pStyle w:val="TableParagraph"/>
              <w:spacing w:line="256" w:lineRule="exact"/>
              <w:ind w:left="109"/>
              <w:rPr>
                <w:sz w:val="24"/>
              </w:rPr>
            </w:pPr>
            <w:r>
              <w:rPr>
                <w:spacing w:val="-4"/>
                <w:sz w:val="24"/>
              </w:rPr>
              <w:t>3.33</w:t>
            </w:r>
          </w:p>
        </w:tc>
        <w:tc>
          <w:tcPr>
            <w:tcW w:w="1443" w:type="dxa"/>
          </w:tcPr>
          <w:p>
            <w:pPr>
              <w:pStyle w:val="TableParagraph"/>
              <w:spacing w:line="256" w:lineRule="exact"/>
              <w:ind w:left="105"/>
              <w:rPr>
                <w:sz w:val="24"/>
              </w:rPr>
            </w:pPr>
            <w:r>
              <w:rPr>
                <w:spacing w:val="-2"/>
                <w:sz w:val="24"/>
              </w:rPr>
              <w:t>10.71</w:t>
            </w:r>
          </w:p>
        </w:tc>
        <w:tc>
          <w:tcPr>
            <w:tcW w:w="1242" w:type="dxa"/>
          </w:tcPr>
          <w:p>
            <w:pPr>
              <w:pStyle w:val="TableParagraph"/>
              <w:spacing w:line="256" w:lineRule="exact"/>
              <w:ind w:left="107"/>
              <w:rPr>
                <w:sz w:val="24"/>
              </w:rPr>
            </w:pPr>
            <w:r>
              <w:rPr>
                <w:spacing w:val="-2"/>
                <w:sz w:val="24"/>
              </w:rPr>
              <w:t>16.30</w:t>
            </w:r>
          </w:p>
        </w:tc>
        <w:tc>
          <w:tcPr>
            <w:tcW w:w="1312" w:type="dxa"/>
          </w:tcPr>
          <w:p>
            <w:pPr>
              <w:pStyle w:val="TableParagraph"/>
              <w:spacing w:line="256" w:lineRule="exact"/>
              <w:ind w:left="109"/>
              <w:rPr>
                <w:sz w:val="24"/>
              </w:rPr>
            </w:pPr>
            <w:r>
              <w:rPr>
                <w:spacing w:val="-4"/>
                <w:sz w:val="24"/>
              </w:rPr>
              <w:t>0.00</w:t>
            </w:r>
          </w:p>
        </w:tc>
      </w:tr>
      <w:tr>
        <w:trPr>
          <w:trHeight w:val="273" w:hRule="atLeast"/>
        </w:trPr>
        <w:tc>
          <w:tcPr>
            <w:tcW w:w="605" w:type="dxa"/>
          </w:tcPr>
          <w:p>
            <w:pPr>
              <w:pStyle w:val="TableParagraph"/>
              <w:rPr>
                <w:sz w:val="20"/>
              </w:rPr>
            </w:pPr>
          </w:p>
        </w:tc>
        <w:tc>
          <w:tcPr>
            <w:tcW w:w="3263" w:type="dxa"/>
          </w:tcPr>
          <w:p>
            <w:pPr>
              <w:pStyle w:val="TableParagraph"/>
              <w:spacing w:line="254" w:lineRule="exact"/>
              <w:ind w:left="107"/>
              <w:rPr>
                <w:sz w:val="24"/>
              </w:rPr>
            </w:pPr>
            <w:r>
              <w:rPr>
                <w:sz w:val="24"/>
              </w:rPr>
              <w:t>Respondents</w:t>
            </w:r>
            <w:r>
              <w:rPr>
                <w:spacing w:val="-1"/>
                <w:sz w:val="24"/>
              </w:rPr>
              <w:t> </w:t>
            </w:r>
            <w:r>
              <w:rPr>
                <w:sz w:val="24"/>
              </w:rPr>
              <w:t>with</w:t>
            </w:r>
            <w:r>
              <w:rPr>
                <w:spacing w:val="-1"/>
                <w:sz w:val="24"/>
              </w:rPr>
              <w:t> </w:t>
            </w:r>
            <w:r>
              <w:rPr>
                <w:sz w:val="24"/>
              </w:rPr>
              <w:t>pipe</w:t>
            </w:r>
            <w:r>
              <w:rPr>
                <w:spacing w:val="-1"/>
                <w:sz w:val="24"/>
              </w:rPr>
              <w:t> </w:t>
            </w:r>
            <w:r>
              <w:rPr>
                <w:spacing w:val="-2"/>
                <w:sz w:val="24"/>
              </w:rPr>
              <w:t>water</w:t>
            </w:r>
          </w:p>
        </w:tc>
        <w:tc>
          <w:tcPr>
            <w:tcW w:w="993" w:type="dxa"/>
          </w:tcPr>
          <w:p>
            <w:pPr>
              <w:pStyle w:val="TableParagraph"/>
              <w:spacing w:line="254" w:lineRule="exact"/>
              <w:ind w:left="109"/>
              <w:rPr>
                <w:sz w:val="24"/>
              </w:rPr>
            </w:pPr>
            <w:r>
              <w:rPr>
                <w:spacing w:val="-2"/>
                <w:sz w:val="24"/>
              </w:rPr>
              <w:t>10.00%</w:t>
            </w:r>
          </w:p>
        </w:tc>
        <w:tc>
          <w:tcPr>
            <w:tcW w:w="1443" w:type="dxa"/>
          </w:tcPr>
          <w:p>
            <w:pPr>
              <w:pStyle w:val="TableParagraph"/>
              <w:spacing w:line="254" w:lineRule="exact"/>
              <w:ind w:left="105"/>
              <w:rPr>
                <w:sz w:val="24"/>
              </w:rPr>
            </w:pPr>
            <w:r>
              <w:rPr>
                <w:spacing w:val="-2"/>
                <w:sz w:val="24"/>
              </w:rPr>
              <w:t>11.90%</w:t>
            </w:r>
          </w:p>
        </w:tc>
        <w:tc>
          <w:tcPr>
            <w:tcW w:w="1242" w:type="dxa"/>
          </w:tcPr>
          <w:p>
            <w:pPr>
              <w:pStyle w:val="TableParagraph"/>
              <w:spacing w:line="254" w:lineRule="exact"/>
              <w:ind w:left="107"/>
              <w:rPr>
                <w:sz w:val="24"/>
              </w:rPr>
            </w:pPr>
            <w:r>
              <w:rPr>
                <w:spacing w:val="-2"/>
                <w:sz w:val="24"/>
              </w:rPr>
              <w:t>14.13%</w:t>
            </w:r>
          </w:p>
        </w:tc>
        <w:tc>
          <w:tcPr>
            <w:tcW w:w="1312" w:type="dxa"/>
          </w:tcPr>
          <w:p>
            <w:pPr>
              <w:pStyle w:val="TableParagraph"/>
              <w:spacing w:line="254" w:lineRule="exact"/>
              <w:ind w:left="109"/>
              <w:rPr>
                <w:sz w:val="24"/>
              </w:rPr>
            </w:pPr>
            <w:r>
              <w:rPr>
                <w:spacing w:val="-2"/>
                <w:sz w:val="24"/>
              </w:rPr>
              <w:t>26.81%</w:t>
            </w:r>
          </w:p>
        </w:tc>
      </w:tr>
      <w:tr>
        <w:trPr>
          <w:trHeight w:val="275" w:hRule="atLeast"/>
        </w:trPr>
        <w:tc>
          <w:tcPr>
            <w:tcW w:w="605" w:type="dxa"/>
          </w:tcPr>
          <w:p>
            <w:pPr>
              <w:pStyle w:val="TableParagraph"/>
              <w:rPr>
                <w:sz w:val="20"/>
              </w:rPr>
            </w:pPr>
          </w:p>
        </w:tc>
        <w:tc>
          <w:tcPr>
            <w:tcW w:w="3263" w:type="dxa"/>
          </w:tcPr>
          <w:p>
            <w:pPr>
              <w:pStyle w:val="TableParagraph"/>
              <w:spacing w:line="256" w:lineRule="exact"/>
              <w:ind w:left="107"/>
              <w:rPr>
                <w:sz w:val="24"/>
              </w:rPr>
            </w:pPr>
            <w:r>
              <w:rPr>
                <w:sz w:val="24"/>
              </w:rPr>
              <w:t>Water</w:t>
            </w:r>
            <w:r>
              <w:rPr>
                <w:spacing w:val="-4"/>
                <w:sz w:val="24"/>
              </w:rPr>
              <w:t> </w:t>
            </w:r>
            <w:r>
              <w:rPr>
                <w:sz w:val="24"/>
              </w:rPr>
              <w:t>from</w:t>
            </w:r>
            <w:r>
              <w:rPr>
                <w:spacing w:val="-1"/>
                <w:sz w:val="24"/>
              </w:rPr>
              <w:t> </w:t>
            </w:r>
            <w:r>
              <w:rPr>
                <w:sz w:val="24"/>
              </w:rPr>
              <w:t>improved</w:t>
            </w:r>
            <w:r>
              <w:rPr>
                <w:spacing w:val="-1"/>
                <w:sz w:val="24"/>
              </w:rPr>
              <w:t> </w:t>
            </w:r>
            <w:r>
              <w:rPr>
                <w:spacing w:val="-2"/>
                <w:sz w:val="24"/>
              </w:rPr>
              <w:t>sources</w:t>
            </w:r>
          </w:p>
        </w:tc>
        <w:tc>
          <w:tcPr>
            <w:tcW w:w="993" w:type="dxa"/>
          </w:tcPr>
          <w:p>
            <w:pPr>
              <w:pStyle w:val="TableParagraph"/>
              <w:spacing w:line="256" w:lineRule="exact"/>
              <w:ind w:left="109"/>
              <w:rPr>
                <w:sz w:val="24"/>
              </w:rPr>
            </w:pPr>
            <w:r>
              <w:rPr>
                <w:spacing w:val="-2"/>
                <w:sz w:val="24"/>
              </w:rPr>
              <w:t>60.00%</w:t>
            </w:r>
          </w:p>
        </w:tc>
        <w:tc>
          <w:tcPr>
            <w:tcW w:w="1443" w:type="dxa"/>
          </w:tcPr>
          <w:p>
            <w:pPr>
              <w:pStyle w:val="TableParagraph"/>
              <w:spacing w:line="256" w:lineRule="exact"/>
              <w:ind w:left="105"/>
              <w:rPr>
                <w:sz w:val="24"/>
              </w:rPr>
            </w:pPr>
            <w:r>
              <w:rPr>
                <w:spacing w:val="-2"/>
                <w:sz w:val="24"/>
              </w:rPr>
              <w:t>55.95%</w:t>
            </w:r>
          </w:p>
        </w:tc>
        <w:tc>
          <w:tcPr>
            <w:tcW w:w="1242" w:type="dxa"/>
          </w:tcPr>
          <w:p>
            <w:pPr>
              <w:pStyle w:val="TableParagraph"/>
              <w:spacing w:line="256" w:lineRule="exact"/>
              <w:ind w:left="107"/>
              <w:rPr>
                <w:sz w:val="24"/>
              </w:rPr>
            </w:pPr>
            <w:r>
              <w:rPr>
                <w:spacing w:val="-2"/>
                <w:sz w:val="24"/>
              </w:rPr>
              <w:t>65.22%</w:t>
            </w:r>
          </w:p>
        </w:tc>
        <w:tc>
          <w:tcPr>
            <w:tcW w:w="1312" w:type="dxa"/>
          </w:tcPr>
          <w:p>
            <w:pPr>
              <w:pStyle w:val="TableParagraph"/>
              <w:spacing w:line="256" w:lineRule="exact"/>
              <w:ind w:left="109"/>
              <w:rPr>
                <w:sz w:val="24"/>
              </w:rPr>
            </w:pPr>
            <w:r>
              <w:rPr>
                <w:spacing w:val="-2"/>
                <w:sz w:val="24"/>
              </w:rPr>
              <w:t>83.33%</w:t>
            </w:r>
          </w:p>
        </w:tc>
      </w:tr>
      <w:tr>
        <w:trPr>
          <w:trHeight w:val="552" w:hRule="atLeast"/>
        </w:trPr>
        <w:tc>
          <w:tcPr>
            <w:tcW w:w="605" w:type="dxa"/>
          </w:tcPr>
          <w:p>
            <w:pPr>
              <w:pStyle w:val="TableParagraph"/>
              <w:rPr>
                <w:sz w:val="24"/>
              </w:rPr>
            </w:pPr>
          </w:p>
        </w:tc>
        <w:tc>
          <w:tcPr>
            <w:tcW w:w="3263" w:type="dxa"/>
          </w:tcPr>
          <w:p>
            <w:pPr>
              <w:pStyle w:val="TableParagraph"/>
              <w:tabs>
                <w:tab w:pos="1110" w:val="left" w:leader="none"/>
                <w:tab w:pos="1993" w:val="left" w:leader="none"/>
              </w:tabs>
              <w:spacing w:line="271" w:lineRule="exact"/>
              <w:ind w:left="107"/>
              <w:rPr>
                <w:sz w:val="24"/>
              </w:rPr>
            </w:pPr>
            <w:r>
              <w:rPr>
                <w:spacing w:val="-2"/>
                <w:sz w:val="24"/>
              </w:rPr>
              <w:t>Water</w:t>
            </w:r>
            <w:r>
              <w:rPr>
                <w:sz w:val="24"/>
              </w:rPr>
              <w:tab/>
            </w:r>
            <w:r>
              <w:rPr>
                <w:spacing w:val="-4"/>
                <w:sz w:val="24"/>
              </w:rPr>
              <w:t>from</w:t>
            </w:r>
            <w:r>
              <w:rPr>
                <w:sz w:val="24"/>
              </w:rPr>
              <w:tab/>
            </w:r>
            <w:r>
              <w:rPr>
                <w:spacing w:val="-2"/>
                <w:sz w:val="24"/>
              </w:rPr>
              <w:t>unimproved</w:t>
            </w:r>
          </w:p>
          <w:p>
            <w:pPr>
              <w:pStyle w:val="TableParagraph"/>
              <w:spacing w:line="261" w:lineRule="exact"/>
              <w:ind w:left="107"/>
              <w:rPr>
                <w:sz w:val="24"/>
              </w:rPr>
            </w:pPr>
            <w:r>
              <w:rPr>
                <w:spacing w:val="-2"/>
                <w:sz w:val="24"/>
              </w:rPr>
              <w:t>sources</w:t>
            </w:r>
          </w:p>
        </w:tc>
        <w:tc>
          <w:tcPr>
            <w:tcW w:w="993" w:type="dxa"/>
          </w:tcPr>
          <w:p>
            <w:pPr>
              <w:pStyle w:val="TableParagraph"/>
              <w:spacing w:line="271" w:lineRule="exact"/>
              <w:ind w:left="109"/>
              <w:rPr>
                <w:sz w:val="24"/>
              </w:rPr>
            </w:pPr>
            <w:r>
              <w:rPr>
                <w:spacing w:val="-2"/>
                <w:sz w:val="24"/>
              </w:rPr>
              <w:t>40.00%</w:t>
            </w:r>
          </w:p>
        </w:tc>
        <w:tc>
          <w:tcPr>
            <w:tcW w:w="1443" w:type="dxa"/>
          </w:tcPr>
          <w:p>
            <w:pPr>
              <w:pStyle w:val="TableParagraph"/>
              <w:spacing w:line="271" w:lineRule="exact"/>
              <w:ind w:left="105"/>
              <w:rPr>
                <w:sz w:val="24"/>
              </w:rPr>
            </w:pPr>
            <w:r>
              <w:rPr>
                <w:spacing w:val="-2"/>
                <w:sz w:val="24"/>
              </w:rPr>
              <w:t>44.05%</w:t>
            </w:r>
          </w:p>
        </w:tc>
        <w:tc>
          <w:tcPr>
            <w:tcW w:w="1242" w:type="dxa"/>
          </w:tcPr>
          <w:p>
            <w:pPr>
              <w:pStyle w:val="TableParagraph"/>
              <w:spacing w:line="271" w:lineRule="exact"/>
              <w:ind w:left="107"/>
              <w:rPr>
                <w:sz w:val="24"/>
              </w:rPr>
            </w:pPr>
            <w:r>
              <w:rPr>
                <w:spacing w:val="-2"/>
                <w:sz w:val="24"/>
              </w:rPr>
              <w:t>34.78%</w:t>
            </w:r>
          </w:p>
        </w:tc>
        <w:tc>
          <w:tcPr>
            <w:tcW w:w="1312" w:type="dxa"/>
          </w:tcPr>
          <w:p>
            <w:pPr>
              <w:pStyle w:val="TableParagraph"/>
              <w:spacing w:line="271" w:lineRule="exact"/>
              <w:ind w:left="109"/>
              <w:rPr>
                <w:sz w:val="24"/>
              </w:rPr>
            </w:pPr>
            <w:r>
              <w:rPr>
                <w:spacing w:val="-2"/>
                <w:sz w:val="24"/>
              </w:rPr>
              <w:t>16.67%</w:t>
            </w:r>
          </w:p>
        </w:tc>
      </w:tr>
      <w:tr>
        <w:trPr>
          <w:trHeight w:val="276" w:hRule="atLeast"/>
        </w:trPr>
        <w:tc>
          <w:tcPr>
            <w:tcW w:w="605" w:type="dxa"/>
          </w:tcPr>
          <w:p>
            <w:pPr>
              <w:pStyle w:val="TableParagraph"/>
              <w:rPr>
                <w:sz w:val="20"/>
              </w:rPr>
            </w:pPr>
          </w:p>
        </w:tc>
        <w:tc>
          <w:tcPr>
            <w:tcW w:w="3263" w:type="dxa"/>
          </w:tcPr>
          <w:p>
            <w:pPr>
              <w:pStyle w:val="TableParagraph"/>
              <w:spacing w:line="256"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1"/>
                <w:sz w:val="24"/>
              </w:rPr>
              <w:t> </w:t>
            </w:r>
            <w:r>
              <w:rPr>
                <w:spacing w:val="-2"/>
                <w:sz w:val="24"/>
              </w:rPr>
              <w:t>respondents</w:t>
            </w:r>
          </w:p>
        </w:tc>
        <w:tc>
          <w:tcPr>
            <w:tcW w:w="993" w:type="dxa"/>
          </w:tcPr>
          <w:p>
            <w:pPr>
              <w:pStyle w:val="TableParagraph"/>
              <w:spacing w:line="256" w:lineRule="exact"/>
              <w:ind w:left="109"/>
              <w:rPr>
                <w:sz w:val="24"/>
              </w:rPr>
            </w:pPr>
            <w:r>
              <w:rPr>
                <w:spacing w:val="-5"/>
                <w:sz w:val="24"/>
              </w:rPr>
              <w:t>32</w:t>
            </w:r>
          </w:p>
        </w:tc>
        <w:tc>
          <w:tcPr>
            <w:tcW w:w="1443" w:type="dxa"/>
          </w:tcPr>
          <w:p>
            <w:pPr>
              <w:pStyle w:val="TableParagraph"/>
              <w:spacing w:line="256" w:lineRule="exact"/>
              <w:ind w:left="105"/>
              <w:rPr>
                <w:sz w:val="24"/>
              </w:rPr>
            </w:pPr>
            <w:r>
              <w:rPr>
                <w:spacing w:val="-5"/>
                <w:sz w:val="24"/>
              </w:rPr>
              <w:t>22</w:t>
            </w:r>
          </w:p>
        </w:tc>
        <w:tc>
          <w:tcPr>
            <w:tcW w:w="1242" w:type="dxa"/>
          </w:tcPr>
          <w:p>
            <w:pPr>
              <w:pStyle w:val="TableParagraph"/>
              <w:spacing w:line="256" w:lineRule="exact"/>
              <w:ind w:left="107"/>
              <w:rPr>
                <w:sz w:val="24"/>
              </w:rPr>
            </w:pPr>
            <w:r>
              <w:rPr>
                <w:spacing w:val="-5"/>
                <w:sz w:val="24"/>
              </w:rPr>
              <w:t>42</w:t>
            </w:r>
          </w:p>
        </w:tc>
        <w:tc>
          <w:tcPr>
            <w:tcW w:w="1312" w:type="dxa"/>
          </w:tcPr>
          <w:p>
            <w:pPr>
              <w:pStyle w:val="TableParagraph"/>
              <w:spacing w:line="256" w:lineRule="exact"/>
              <w:ind w:left="109"/>
              <w:rPr>
                <w:sz w:val="24"/>
              </w:rPr>
            </w:pPr>
            <w:r>
              <w:rPr>
                <w:spacing w:val="-5"/>
                <w:sz w:val="24"/>
              </w:rPr>
              <w:t>69</w:t>
            </w:r>
          </w:p>
        </w:tc>
      </w:tr>
      <w:tr>
        <w:trPr>
          <w:trHeight w:val="280" w:hRule="atLeast"/>
        </w:trPr>
        <w:tc>
          <w:tcPr>
            <w:tcW w:w="605" w:type="dxa"/>
            <w:tcBorders>
              <w:bottom w:val="single" w:sz="8" w:space="0" w:color="000000"/>
            </w:tcBorders>
          </w:tcPr>
          <w:p>
            <w:pPr>
              <w:pStyle w:val="TableParagraph"/>
              <w:rPr>
                <w:sz w:val="20"/>
              </w:rPr>
            </w:pPr>
          </w:p>
        </w:tc>
        <w:tc>
          <w:tcPr>
            <w:tcW w:w="3263" w:type="dxa"/>
            <w:tcBorders>
              <w:bottom w:val="single" w:sz="8" w:space="0" w:color="000000"/>
            </w:tcBorders>
          </w:tcPr>
          <w:p>
            <w:pPr>
              <w:pStyle w:val="TableParagraph"/>
              <w:spacing w:line="261"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responses</w:t>
            </w:r>
          </w:p>
        </w:tc>
        <w:tc>
          <w:tcPr>
            <w:tcW w:w="993" w:type="dxa"/>
            <w:tcBorders>
              <w:bottom w:val="single" w:sz="8" w:space="0" w:color="000000"/>
            </w:tcBorders>
          </w:tcPr>
          <w:p>
            <w:pPr>
              <w:pStyle w:val="TableParagraph"/>
              <w:spacing w:line="261" w:lineRule="exact"/>
              <w:ind w:left="109"/>
              <w:rPr>
                <w:sz w:val="24"/>
              </w:rPr>
            </w:pPr>
            <w:r>
              <w:rPr>
                <w:spacing w:val="-5"/>
                <w:sz w:val="24"/>
              </w:rPr>
              <w:t>60</w:t>
            </w:r>
          </w:p>
        </w:tc>
        <w:tc>
          <w:tcPr>
            <w:tcW w:w="1443" w:type="dxa"/>
            <w:tcBorders>
              <w:bottom w:val="single" w:sz="8" w:space="0" w:color="000000"/>
            </w:tcBorders>
          </w:tcPr>
          <w:p>
            <w:pPr>
              <w:pStyle w:val="TableParagraph"/>
              <w:spacing w:line="261" w:lineRule="exact"/>
              <w:ind w:left="105"/>
              <w:rPr>
                <w:sz w:val="24"/>
              </w:rPr>
            </w:pPr>
            <w:r>
              <w:rPr>
                <w:spacing w:val="-5"/>
                <w:sz w:val="24"/>
              </w:rPr>
              <w:t>84</w:t>
            </w:r>
          </w:p>
        </w:tc>
        <w:tc>
          <w:tcPr>
            <w:tcW w:w="1242" w:type="dxa"/>
            <w:tcBorders>
              <w:bottom w:val="single" w:sz="8" w:space="0" w:color="000000"/>
            </w:tcBorders>
          </w:tcPr>
          <w:p>
            <w:pPr>
              <w:pStyle w:val="TableParagraph"/>
              <w:spacing w:line="261" w:lineRule="exact"/>
              <w:ind w:left="107"/>
              <w:rPr>
                <w:sz w:val="24"/>
              </w:rPr>
            </w:pPr>
            <w:r>
              <w:rPr>
                <w:spacing w:val="-5"/>
                <w:sz w:val="24"/>
              </w:rPr>
              <w:t>92</w:t>
            </w:r>
          </w:p>
        </w:tc>
        <w:tc>
          <w:tcPr>
            <w:tcW w:w="1312" w:type="dxa"/>
            <w:tcBorders>
              <w:bottom w:val="single" w:sz="8" w:space="0" w:color="000000"/>
            </w:tcBorders>
          </w:tcPr>
          <w:p>
            <w:pPr>
              <w:pStyle w:val="TableParagraph"/>
              <w:spacing w:line="261" w:lineRule="exact"/>
              <w:ind w:left="109"/>
              <w:rPr>
                <w:sz w:val="24"/>
              </w:rPr>
            </w:pPr>
            <w:r>
              <w:rPr>
                <w:spacing w:val="-5"/>
                <w:sz w:val="24"/>
              </w:rPr>
              <w:t>138</w:t>
            </w:r>
          </w:p>
        </w:tc>
      </w:tr>
    </w:tbl>
    <w:p>
      <w:pPr>
        <w:pStyle w:val="BodyText"/>
        <w:rPr>
          <w:b/>
        </w:rPr>
      </w:pPr>
    </w:p>
    <w:p>
      <w:pPr>
        <w:pStyle w:val="BodyText"/>
        <w:spacing w:before="2"/>
        <w:rPr>
          <w:b/>
        </w:rPr>
      </w:pPr>
    </w:p>
    <w:p>
      <w:pPr>
        <w:pStyle w:val="BodyText"/>
        <w:spacing w:line="480" w:lineRule="auto" w:before="1"/>
        <w:ind w:left="267" w:right="731"/>
        <w:jc w:val="both"/>
      </w:pPr>
      <w:r>
        <w:rPr/>
        <w:t>However, with the exception of Tudun-Fulani where public covered borehole is the main source</w:t>
      </w:r>
      <w:r>
        <w:rPr>
          <w:spacing w:val="-9"/>
        </w:rPr>
        <w:t> </w:t>
      </w:r>
      <w:r>
        <w:rPr/>
        <w:t>of</w:t>
      </w:r>
      <w:r>
        <w:rPr>
          <w:spacing w:val="-9"/>
        </w:rPr>
        <w:t> </w:t>
      </w:r>
      <w:r>
        <w:rPr/>
        <w:t>domestic</w:t>
      </w:r>
      <w:r>
        <w:rPr>
          <w:spacing w:val="-9"/>
        </w:rPr>
        <w:t> </w:t>
      </w:r>
      <w:r>
        <w:rPr/>
        <w:t>water</w:t>
      </w:r>
      <w:r>
        <w:rPr>
          <w:spacing w:val="-7"/>
        </w:rPr>
        <w:t> </w:t>
      </w:r>
      <w:r>
        <w:rPr/>
        <w:t>for</w:t>
      </w:r>
      <w:r>
        <w:rPr>
          <w:spacing w:val="-10"/>
        </w:rPr>
        <w:t> </w:t>
      </w:r>
      <w:r>
        <w:rPr/>
        <w:t>households,</w:t>
      </w:r>
      <w:r>
        <w:rPr>
          <w:spacing w:val="-8"/>
        </w:rPr>
        <w:t> </w:t>
      </w:r>
      <w:r>
        <w:rPr/>
        <w:t>rain</w:t>
      </w:r>
      <w:r>
        <w:rPr>
          <w:spacing w:val="-8"/>
        </w:rPr>
        <w:t> </w:t>
      </w:r>
      <w:r>
        <w:rPr/>
        <w:t>water</w:t>
      </w:r>
      <w:r>
        <w:rPr>
          <w:spacing w:val="-9"/>
        </w:rPr>
        <w:t> </w:t>
      </w:r>
      <w:r>
        <w:rPr/>
        <w:t>is</w:t>
      </w:r>
      <w:r>
        <w:rPr>
          <w:spacing w:val="-8"/>
        </w:rPr>
        <w:t> </w:t>
      </w:r>
      <w:r>
        <w:rPr/>
        <w:t>the</w:t>
      </w:r>
      <w:r>
        <w:rPr>
          <w:spacing w:val="-9"/>
        </w:rPr>
        <w:t> </w:t>
      </w:r>
      <w:r>
        <w:rPr/>
        <w:t>most</w:t>
      </w:r>
      <w:r>
        <w:rPr>
          <w:spacing w:val="-7"/>
        </w:rPr>
        <w:t> </w:t>
      </w:r>
      <w:r>
        <w:rPr/>
        <w:t>dominant</w:t>
      </w:r>
      <w:r>
        <w:rPr>
          <w:spacing w:val="-8"/>
        </w:rPr>
        <w:t> </w:t>
      </w:r>
      <w:r>
        <w:rPr/>
        <w:t>source</w:t>
      </w:r>
      <w:r>
        <w:rPr>
          <w:spacing w:val="-9"/>
        </w:rPr>
        <w:t> </w:t>
      </w:r>
      <w:r>
        <w:rPr/>
        <w:t>of</w:t>
      </w:r>
      <w:r>
        <w:rPr>
          <w:spacing w:val="-9"/>
        </w:rPr>
        <w:t> </w:t>
      </w:r>
      <w:r>
        <w:rPr/>
        <w:t>domestic water uses in Saukakauta, Maitumbi and Kpakungu respectively.</w:t>
      </w:r>
    </w:p>
    <w:p>
      <w:pPr>
        <w:pStyle w:val="BodyText"/>
        <w:spacing w:before="7"/>
      </w:pPr>
    </w:p>
    <w:p>
      <w:pPr>
        <w:spacing w:line="487" w:lineRule="auto" w:before="1"/>
        <w:ind w:left="267" w:right="724" w:firstLine="0"/>
        <w:jc w:val="left"/>
        <w:rPr>
          <w:sz w:val="24"/>
        </w:rPr>
      </w:pPr>
      <w:r>
        <w:rPr>
          <w:b/>
          <w:sz w:val="24"/>
        </w:rPr>
        <w:t>4..2.2.2 Domestic household water sources in neighbourhoods within the public mains </w:t>
      </w:r>
      <w:r>
        <w:rPr>
          <w:sz w:val="24"/>
        </w:rPr>
        <w:t>Table</w:t>
      </w:r>
      <w:r>
        <w:rPr>
          <w:spacing w:val="40"/>
          <w:sz w:val="24"/>
        </w:rPr>
        <w:t> </w:t>
      </w:r>
      <w:r>
        <w:rPr>
          <w:sz w:val="24"/>
        </w:rPr>
        <w:t>4.7</w:t>
      </w:r>
      <w:r>
        <w:rPr>
          <w:spacing w:val="40"/>
          <w:sz w:val="24"/>
        </w:rPr>
        <w:t> </w:t>
      </w:r>
      <w:r>
        <w:rPr>
          <w:sz w:val="24"/>
        </w:rPr>
        <w:t>shows</w:t>
      </w:r>
      <w:r>
        <w:rPr>
          <w:spacing w:val="40"/>
          <w:sz w:val="24"/>
        </w:rPr>
        <w:t> </w:t>
      </w:r>
      <w:r>
        <w:rPr>
          <w:sz w:val="24"/>
        </w:rPr>
        <w:t>the</w:t>
      </w:r>
      <w:r>
        <w:rPr>
          <w:spacing w:val="40"/>
          <w:sz w:val="24"/>
        </w:rPr>
        <w:t> </w:t>
      </w:r>
      <w:r>
        <w:rPr>
          <w:sz w:val="24"/>
        </w:rPr>
        <w:t>typology</w:t>
      </w:r>
      <w:r>
        <w:rPr>
          <w:spacing w:val="38"/>
          <w:sz w:val="24"/>
        </w:rPr>
        <w:t> </w:t>
      </w:r>
      <w:r>
        <w:rPr>
          <w:sz w:val="24"/>
        </w:rPr>
        <w:t>of</w:t>
      </w:r>
      <w:r>
        <w:rPr>
          <w:spacing w:val="40"/>
          <w:sz w:val="24"/>
        </w:rPr>
        <w:t> </w:t>
      </w:r>
      <w:r>
        <w:rPr>
          <w:sz w:val="24"/>
        </w:rPr>
        <w:t>water</w:t>
      </w:r>
      <w:r>
        <w:rPr>
          <w:spacing w:val="40"/>
          <w:sz w:val="24"/>
        </w:rPr>
        <w:t> </w:t>
      </w:r>
      <w:r>
        <w:rPr>
          <w:sz w:val="24"/>
        </w:rPr>
        <w:t>sources</w:t>
      </w:r>
      <w:r>
        <w:rPr>
          <w:spacing w:val="40"/>
          <w:sz w:val="24"/>
        </w:rPr>
        <w:t> </w:t>
      </w:r>
      <w:r>
        <w:rPr>
          <w:sz w:val="24"/>
        </w:rPr>
        <w:t>available</w:t>
      </w:r>
      <w:r>
        <w:rPr>
          <w:spacing w:val="40"/>
          <w:sz w:val="24"/>
        </w:rPr>
        <w:t> </w:t>
      </w:r>
      <w:r>
        <w:rPr>
          <w:sz w:val="24"/>
        </w:rPr>
        <w:t>to</w:t>
      </w:r>
      <w:r>
        <w:rPr>
          <w:spacing w:val="40"/>
          <w:sz w:val="24"/>
        </w:rPr>
        <w:t> </w:t>
      </w:r>
      <w:r>
        <w:rPr>
          <w:sz w:val="24"/>
        </w:rPr>
        <w:t>households</w:t>
      </w:r>
      <w:r>
        <w:rPr>
          <w:spacing w:val="40"/>
          <w:sz w:val="24"/>
        </w:rPr>
        <w:t> </w:t>
      </w:r>
      <w:r>
        <w:rPr>
          <w:sz w:val="24"/>
        </w:rPr>
        <w:t>residing</w:t>
      </w:r>
      <w:r>
        <w:rPr>
          <w:spacing w:val="39"/>
          <w:sz w:val="24"/>
        </w:rPr>
        <w:t> </w:t>
      </w:r>
      <w:r>
        <w:rPr>
          <w:sz w:val="24"/>
        </w:rPr>
        <w:t>within neighbourhoods with formal coverage of public water mains in the study area.</w:t>
      </w:r>
    </w:p>
    <w:p>
      <w:pPr>
        <w:spacing w:after="0" w:line="487" w:lineRule="auto"/>
        <w:jc w:val="left"/>
        <w:rPr>
          <w:sz w:val="24"/>
        </w:rPr>
        <w:sectPr>
          <w:pgSz w:w="12240" w:h="15840"/>
          <w:pgMar w:header="0" w:footer="1068" w:top="1340" w:bottom="1260" w:left="1720" w:right="680"/>
        </w:sectPr>
      </w:pPr>
    </w:p>
    <w:p>
      <w:pPr>
        <w:pStyle w:val="Heading1"/>
        <w:spacing w:before="68"/>
        <w:ind w:right="701"/>
      </w:pPr>
      <w:r>
        <w:rPr/>
        <w:t>Table</w:t>
      </w:r>
      <w:r>
        <w:rPr>
          <w:spacing w:val="40"/>
        </w:rPr>
        <w:t> </w:t>
      </w:r>
      <w:r>
        <w:rPr/>
        <w:t>4.74:</w:t>
      </w:r>
      <w:r>
        <w:rPr>
          <w:spacing w:val="40"/>
        </w:rPr>
        <w:t> </w:t>
      </w:r>
      <w:r>
        <w:rPr/>
        <w:t>Percentage</w:t>
      </w:r>
      <w:r>
        <w:rPr>
          <w:spacing w:val="40"/>
        </w:rPr>
        <w:t> </w:t>
      </w:r>
      <w:r>
        <w:rPr/>
        <w:t>of</w:t>
      </w:r>
      <w:r>
        <w:rPr>
          <w:spacing w:val="40"/>
        </w:rPr>
        <w:t> </w:t>
      </w:r>
      <w:r>
        <w:rPr/>
        <w:t>Households</w:t>
      </w:r>
      <w:r>
        <w:rPr>
          <w:spacing w:val="40"/>
        </w:rPr>
        <w:t> </w:t>
      </w:r>
      <w:r>
        <w:rPr/>
        <w:t>Within</w:t>
      </w:r>
      <w:r>
        <w:rPr>
          <w:spacing w:val="40"/>
        </w:rPr>
        <w:t> </w:t>
      </w:r>
      <w:r>
        <w:rPr/>
        <w:t>Public</w:t>
      </w:r>
      <w:r>
        <w:rPr>
          <w:spacing w:val="40"/>
        </w:rPr>
        <w:t> </w:t>
      </w:r>
      <w:r>
        <w:rPr/>
        <w:t>Water</w:t>
      </w:r>
      <w:r>
        <w:rPr>
          <w:spacing w:val="40"/>
        </w:rPr>
        <w:t> </w:t>
      </w:r>
      <w:r>
        <w:rPr/>
        <w:t>Mains</w:t>
      </w:r>
      <w:r>
        <w:rPr>
          <w:spacing w:val="40"/>
        </w:rPr>
        <w:t> </w:t>
      </w:r>
      <w:r>
        <w:rPr/>
        <w:t>by</w:t>
      </w:r>
      <w:r>
        <w:rPr>
          <w:spacing w:val="40"/>
        </w:rPr>
        <w:t> </w:t>
      </w:r>
      <w:r>
        <w:rPr/>
        <w:t>Source</w:t>
      </w:r>
      <w:r>
        <w:rPr>
          <w:spacing w:val="40"/>
        </w:rPr>
        <w:t> </w:t>
      </w:r>
      <w:r>
        <w:rPr/>
        <w:t>of</w:t>
      </w:r>
      <w:r>
        <w:rPr>
          <w:spacing w:val="80"/>
        </w:rPr>
        <w:t> </w:t>
      </w:r>
      <w:r>
        <w:rPr>
          <w:spacing w:val="-2"/>
        </w:rPr>
        <w:t>Domestic</w:t>
      </w:r>
    </w:p>
    <w:p>
      <w:pPr>
        <w:spacing w:before="0" w:after="4"/>
        <w:ind w:left="1347" w:right="0" w:firstLine="0"/>
        <w:jc w:val="left"/>
        <w:rPr>
          <w:b/>
          <w:sz w:val="24"/>
        </w:rPr>
      </w:pPr>
      <w:r>
        <w:rPr>
          <w:b/>
          <w:spacing w:val="-2"/>
          <w:sz w:val="24"/>
        </w:rPr>
        <w:t>Water</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3180"/>
        <w:gridCol w:w="1431"/>
        <w:gridCol w:w="1525"/>
        <w:gridCol w:w="1013"/>
        <w:gridCol w:w="1104"/>
      </w:tblGrid>
      <w:tr>
        <w:trPr>
          <w:trHeight w:val="551" w:hRule="atLeast"/>
        </w:trPr>
        <w:tc>
          <w:tcPr>
            <w:tcW w:w="605" w:type="dxa"/>
            <w:tcBorders>
              <w:top w:val="single" w:sz="8" w:space="0" w:color="000000"/>
              <w:bottom w:val="single" w:sz="8" w:space="0" w:color="000000"/>
            </w:tcBorders>
          </w:tcPr>
          <w:p>
            <w:pPr>
              <w:pStyle w:val="TableParagraph"/>
              <w:spacing w:line="272" w:lineRule="exact"/>
              <w:ind w:left="122"/>
              <w:rPr>
                <w:b/>
                <w:sz w:val="24"/>
              </w:rPr>
            </w:pPr>
            <w:r>
              <w:rPr>
                <w:b/>
                <w:spacing w:val="-5"/>
                <w:sz w:val="24"/>
              </w:rPr>
              <w:t>S/N</w:t>
            </w:r>
          </w:p>
        </w:tc>
        <w:tc>
          <w:tcPr>
            <w:tcW w:w="3180" w:type="dxa"/>
            <w:tcBorders>
              <w:top w:val="single" w:sz="8" w:space="0" w:color="000000"/>
              <w:bottom w:val="single" w:sz="8" w:space="0" w:color="000000"/>
            </w:tcBorders>
          </w:tcPr>
          <w:p>
            <w:pPr>
              <w:pStyle w:val="TableParagraph"/>
              <w:spacing w:line="272" w:lineRule="exact"/>
              <w:ind w:left="107"/>
              <w:rPr>
                <w:b/>
                <w:sz w:val="24"/>
              </w:rPr>
            </w:pPr>
            <w:r>
              <w:rPr>
                <w:b/>
                <w:sz w:val="24"/>
              </w:rPr>
              <w:t>Water</w:t>
            </w:r>
            <w:r>
              <w:rPr>
                <w:b/>
                <w:spacing w:val="-2"/>
                <w:sz w:val="24"/>
              </w:rPr>
              <w:t> </w:t>
            </w:r>
            <w:r>
              <w:rPr>
                <w:b/>
                <w:sz w:val="24"/>
              </w:rPr>
              <w:t>sources</w:t>
            </w:r>
            <w:r>
              <w:rPr>
                <w:b/>
                <w:spacing w:val="-1"/>
                <w:sz w:val="24"/>
              </w:rPr>
              <w:t> </w:t>
            </w:r>
            <w:r>
              <w:rPr>
                <w:b/>
                <w:sz w:val="24"/>
              </w:rPr>
              <w:t>for</w:t>
            </w:r>
            <w:r>
              <w:rPr>
                <w:b/>
                <w:spacing w:val="-1"/>
                <w:sz w:val="24"/>
              </w:rPr>
              <w:t> </w:t>
            </w:r>
            <w:r>
              <w:rPr>
                <w:b/>
                <w:spacing w:val="-2"/>
                <w:sz w:val="24"/>
              </w:rPr>
              <w:t>Domestic</w:t>
            </w:r>
          </w:p>
        </w:tc>
        <w:tc>
          <w:tcPr>
            <w:tcW w:w="1431" w:type="dxa"/>
            <w:tcBorders>
              <w:top w:val="single" w:sz="8" w:space="0" w:color="000000"/>
              <w:bottom w:val="single" w:sz="8" w:space="0" w:color="000000"/>
            </w:tcBorders>
          </w:tcPr>
          <w:p>
            <w:pPr>
              <w:pStyle w:val="TableParagraph"/>
              <w:spacing w:line="272" w:lineRule="exact"/>
              <w:jc w:val="center"/>
              <w:rPr>
                <w:b/>
                <w:sz w:val="24"/>
              </w:rPr>
            </w:pPr>
            <w:r>
              <w:rPr>
                <w:b/>
                <w:spacing w:val="-2"/>
                <w:sz w:val="24"/>
              </w:rPr>
              <w:t>Dutsenkura</w:t>
            </w:r>
          </w:p>
        </w:tc>
        <w:tc>
          <w:tcPr>
            <w:tcW w:w="1525" w:type="dxa"/>
            <w:tcBorders>
              <w:top w:val="single" w:sz="8" w:space="0" w:color="000000"/>
              <w:bottom w:val="single" w:sz="8" w:space="0" w:color="000000"/>
            </w:tcBorders>
          </w:tcPr>
          <w:p>
            <w:pPr>
              <w:pStyle w:val="TableParagraph"/>
              <w:spacing w:line="272" w:lineRule="exact"/>
              <w:ind w:left="1" w:right="1"/>
              <w:jc w:val="center"/>
              <w:rPr>
                <w:b/>
                <w:sz w:val="24"/>
              </w:rPr>
            </w:pPr>
            <w:r>
              <w:rPr>
                <w:b/>
                <w:spacing w:val="-2"/>
                <w:sz w:val="24"/>
              </w:rPr>
              <w:t>TudunWada</w:t>
            </w:r>
          </w:p>
        </w:tc>
        <w:tc>
          <w:tcPr>
            <w:tcW w:w="1013" w:type="dxa"/>
            <w:tcBorders>
              <w:top w:val="single" w:sz="8" w:space="0" w:color="000000"/>
              <w:bottom w:val="single" w:sz="8" w:space="0" w:color="000000"/>
            </w:tcBorders>
          </w:tcPr>
          <w:p>
            <w:pPr>
              <w:pStyle w:val="TableParagraph"/>
              <w:spacing w:line="272" w:lineRule="exact"/>
              <w:ind w:left="107"/>
              <w:rPr>
                <w:b/>
                <w:sz w:val="24"/>
              </w:rPr>
            </w:pPr>
            <w:r>
              <w:rPr>
                <w:b/>
                <w:spacing w:val="-5"/>
                <w:sz w:val="24"/>
              </w:rPr>
              <w:t>F-</w:t>
            </w:r>
          </w:p>
          <w:p>
            <w:pPr>
              <w:pStyle w:val="TableParagraph"/>
              <w:spacing w:line="259" w:lineRule="exact"/>
              <w:ind w:left="107"/>
              <w:rPr>
                <w:b/>
                <w:sz w:val="24"/>
              </w:rPr>
            </w:pPr>
            <w:r>
              <w:rPr>
                <w:b/>
                <w:spacing w:val="-2"/>
                <w:sz w:val="24"/>
              </w:rPr>
              <w:t>Layout</w:t>
            </w:r>
          </w:p>
        </w:tc>
        <w:tc>
          <w:tcPr>
            <w:tcW w:w="1104" w:type="dxa"/>
            <w:tcBorders>
              <w:top w:val="single" w:sz="8" w:space="0" w:color="000000"/>
              <w:bottom w:val="single" w:sz="8" w:space="0" w:color="000000"/>
            </w:tcBorders>
          </w:tcPr>
          <w:p>
            <w:pPr>
              <w:pStyle w:val="TableParagraph"/>
              <w:spacing w:line="272" w:lineRule="exact"/>
              <w:ind w:left="126"/>
              <w:rPr>
                <w:b/>
                <w:sz w:val="24"/>
              </w:rPr>
            </w:pPr>
            <w:r>
              <w:rPr>
                <w:b/>
                <w:spacing w:val="-2"/>
                <w:sz w:val="24"/>
              </w:rPr>
              <w:t>Minna-</w:t>
            </w:r>
          </w:p>
          <w:p>
            <w:pPr>
              <w:pStyle w:val="TableParagraph"/>
              <w:spacing w:line="259" w:lineRule="exact"/>
              <w:ind w:left="126"/>
              <w:rPr>
                <w:b/>
                <w:sz w:val="24"/>
              </w:rPr>
            </w:pPr>
            <w:r>
              <w:rPr>
                <w:b/>
                <w:spacing w:val="-2"/>
                <w:sz w:val="24"/>
              </w:rPr>
              <w:t>Central</w:t>
            </w:r>
          </w:p>
        </w:tc>
      </w:tr>
      <w:tr>
        <w:trPr>
          <w:trHeight w:val="277" w:hRule="atLeast"/>
        </w:trPr>
        <w:tc>
          <w:tcPr>
            <w:tcW w:w="605" w:type="dxa"/>
            <w:tcBorders>
              <w:top w:val="single" w:sz="8" w:space="0" w:color="000000"/>
            </w:tcBorders>
          </w:tcPr>
          <w:p>
            <w:pPr>
              <w:pStyle w:val="TableParagraph"/>
              <w:spacing w:line="257" w:lineRule="exact"/>
              <w:ind w:left="122"/>
              <w:rPr>
                <w:b/>
                <w:sz w:val="24"/>
              </w:rPr>
            </w:pPr>
            <w:r>
              <w:rPr>
                <w:b/>
                <w:spacing w:val="-10"/>
                <w:sz w:val="24"/>
              </w:rPr>
              <w:t>1</w:t>
            </w:r>
          </w:p>
        </w:tc>
        <w:tc>
          <w:tcPr>
            <w:tcW w:w="3180" w:type="dxa"/>
            <w:tcBorders>
              <w:top w:val="single" w:sz="8" w:space="0" w:color="000000"/>
            </w:tcBorders>
          </w:tcPr>
          <w:p>
            <w:pPr>
              <w:pStyle w:val="TableParagraph"/>
              <w:spacing w:line="257" w:lineRule="exact"/>
              <w:ind w:left="107"/>
              <w:rPr>
                <w:sz w:val="24"/>
              </w:rPr>
            </w:pPr>
            <w:r>
              <w:rPr>
                <w:sz w:val="24"/>
              </w:rPr>
              <w:t>Piped into </w:t>
            </w:r>
            <w:r>
              <w:rPr>
                <w:spacing w:val="-2"/>
                <w:sz w:val="24"/>
              </w:rPr>
              <w:t>dwelling</w:t>
            </w:r>
          </w:p>
        </w:tc>
        <w:tc>
          <w:tcPr>
            <w:tcW w:w="1431" w:type="dxa"/>
            <w:tcBorders>
              <w:top w:val="single" w:sz="8" w:space="0" w:color="000000"/>
            </w:tcBorders>
          </w:tcPr>
          <w:p>
            <w:pPr>
              <w:pStyle w:val="TableParagraph"/>
              <w:spacing w:line="257" w:lineRule="exact"/>
              <w:jc w:val="center"/>
              <w:rPr>
                <w:sz w:val="24"/>
              </w:rPr>
            </w:pPr>
            <w:r>
              <w:rPr>
                <w:spacing w:val="-2"/>
                <w:sz w:val="24"/>
              </w:rPr>
              <w:t>13.08</w:t>
            </w:r>
          </w:p>
        </w:tc>
        <w:tc>
          <w:tcPr>
            <w:tcW w:w="1525" w:type="dxa"/>
            <w:tcBorders>
              <w:top w:val="single" w:sz="8" w:space="0" w:color="000000"/>
            </w:tcBorders>
          </w:tcPr>
          <w:p>
            <w:pPr>
              <w:pStyle w:val="TableParagraph"/>
              <w:spacing w:line="257" w:lineRule="exact"/>
              <w:ind w:left="1" w:right="1"/>
              <w:jc w:val="center"/>
              <w:rPr>
                <w:sz w:val="24"/>
              </w:rPr>
            </w:pPr>
            <w:r>
              <w:rPr>
                <w:spacing w:val="-4"/>
                <w:sz w:val="24"/>
              </w:rPr>
              <w:t>1.01</w:t>
            </w:r>
          </w:p>
        </w:tc>
        <w:tc>
          <w:tcPr>
            <w:tcW w:w="1013" w:type="dxa"/>
            <w:tcBorders>
              <w:top w:val="single" w:sz="8" w:space="0" w:color="000000"/>
            </w:tcBorders>
          </w:tcPr>
          <w:p>
            <w:pPr>
              <w:pStyle w:val="TableParagraph"/>
              <w:spacing w:line="257" w:lineRule="exact"/>
              <w:ind w:left="18" w:right="4"/>
              <w:jc w:val="center"/>
              <w:rPr>
                <w:sz w:val="24"/>
              </w:rPr>
            </w:pPr>
            <w:r>
              <w:rPr>
                <w:spacing w:val="-4"/>
                <w:sz w:val="24"/>
              </w:rPr>
              <w:t>0.00</w:t>
            </w:r>
          </w:p>
        </w:tc>
        <w:tc>
          <w:tcPr>
            <w:tcW w:w="1104" w:type="dxa"/>
            <w:tcBorders>
              <w:top w:val="single" w:sz="8" w:space="0" w:color="000000"/>
            </w:tcBorders>
          </w:tcPr>
          <w:p>
            <w:pPr>
              <w:pStyle w:val="TableParagraph"/>
              <w:spacing w:line="257" w:lineRule="exact"/>
              <w:ind w:left="20"/>
              <w:jc w:val="center"/>
              <w:rPr>
                <w:sz w:val="24"/>
              </w:rPr>
            </w:pPr>
            <w:r>
              <w:rPr>
                <w:spacing w:val="-4"/>
                <w:sz w:val="24"/>
              </w:rPr>
              <w:t>8.37</w:t>
            </w:r>
          </w:p>
        </w:tc>
      </w:tr>
      <w:tr>
        <w:trPr>
          <w:trHeight w:val="275" w:hRule="atLeast"/>
        </w:trPr>
        <w:tc>
          <w:tcPr>
            <w:tcW w:w="605" w:type="dxa"/>
          </w:tcPr>
          <w:p>
            <w:pPr>
              <w:pStyle w:val="TableParagraph"/>
              <w:spacing w:line="256" w:lineRule="exact"/>
              <w:ind w:left="122"/>
              <w:rPr>
                <w:b/>
                <w:sz w:val="24"/>
              </w:rPr>
            </w:pPr>
            <w:r>
              <w:rPr>
                <w:b/>
                <w:spacing w:val="-10"/>
                <w:sz w:val="24"/>
              </w:rPr>
              <w:t>2</w:t>
            </w:r>
          </w:p>
        </w:tc>
        <w:tc>
          <w:tcPr>
            <w:tcW w:w="3180" w:type="dxa"/>
          </w:tcPr>
          <w:p>
            <w:pPr>
              <w:pStyle w:val="TableParagraph"/>
              <w:spacing w:line="256" w:lineRule="exact"/>
              <w:ind w:left="107"/>
              <w:rPr>
                <w:sz w:val="24"/>
              </w:rPr>
            </w:pPr>
            <w:r>
              <w:rPr>
                <w:sz w:val="24"/>
              </w:rPr>
              <w:t>Piped</w:t>
            </w:r>
            <w:r>
              <w:rPr>
                <w:spacing w:val="-13"/>
                <w:sz w:val="24"/>
              </w:rPr>
              <w:t> </w:t>
            </w:r>
            <w:r>
              <w:rPr>
                <w:sz w:val="24"/>
              </w:rPr>
              <w:t>into</w:t>
            </w:r>
            <w:r>
              <w:rPr>
                <w:spacing w:val="-10"/>
                <w:sz w:val="24"/>
              </w:rPr>
              <w:t> </w:t>
            </w:r>
            <w:r>
              <w:rPr>
                <w:spacing w:val="-2"/>
                <w:sz w:val="24"/>
              </w:rPr>
              <w:t>yard/plot/compound</w:t>
            </w:r>
          </w:p>
        </w:tc>
        <w:tc>
          <w:tcPr>
            <w:tcW w:w="1431" w:type="dxa"/>
          </w:tcPr>
          <w:p>
            <w:pPr>
              <w:pStyle w:val="TableParagraph"/>
              <w:spacing w:line="256" w:lineRule="exact"/>
              <w:jc w:val="center"/>
              <w:rPr>
                <w:sz w:val="24"/>
              </w:rPr>
            </w:pPr>
            <w:r>
              <w:rPr>
                <w:spacing w:val="-2"/>
                <w:sz w:val="24"/>
              </w:rPr>
              <w:t>25.23</w:t>
            </w:r>
          </w:p>
        </w:tc>
        <w:tc>
          <w:tcPr>
            <w:tcW w:w="1525" w:type="dxa"/>
          </w:tcPr>
          <w:p>
            <w:pPr>
              <w:pStyle w:val="TableParagraph"/>
              <w:spacing w:line="256" w:lineRule="exact"/>
              <w:ind w:left="1" w:right="1"/>
              <w:jc w:val="center"/>
              <w:rPr>
                <w:sz w:val="24"/>
              </w:rPr>
            </w:pPr>
            <w:r>
              <w:rPr>
                <w:spacing w:val="-4"/>
                <w:sz w:val="24"/>
              </w:rPr>
              <w:t>1.51</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2"/>
                <w:sz w:val="24"/>
              </w:rPr>
              <w:t>11.16</w:t>
            </w:r>
          </w:p>
        </w:tc>
      </w:tr>
      <w:tr>
        <w:trPr>
          <w:trHeight w:val="275" w:hRule="atLeast"/>
        </w:trPr>
        <w:tc>
          <w:tcPr>
            <w:tcW w:w="605" w:type="dxa"/>
          </w:tcPr>
          <w:p>
            <w:pPr>
              <w:pStyle w:val="TableParagraph"/>
              <w:spacing w:line="256" w:lineRule="exact"/>
              <w:ind w:left="122"/>
              <w:rPr>
                <w:b/>
                <w:sz w:val="24"/>
              </w:rPr>
            </w:pPr>
            <w:r>
              <w:rPr>
                <w:b/>
                <w:spacing w:val="-10"/>
                <w:sz w:val="24"/>
              </w:rPr>
              <w:t>3</w:t>
            </w:r>
          </w:p>
        </w:tc>
        <w:tc>
          <w:tcPr>
            <w:tcW w:w="3180" w:type="dxa"/>
          </w:tcPr>
          <w:p>
            <w:pPr>
              <w:pStyle w:val="TableParagraph"/>
              <w:spacing w:line="256" w:lineRule="exact"/>
              <w:ind w:left="107"/>
              <w:rPr>
                <w:sz w:val="24"/>
              </w:rPr>
            </w:pPr>
            <w:r>
              <w:rPr>
                <w:sz w:val="24"/>
              </w:rPr>
              <w:t>Piped</w:t>
            </w:r>
            <w:r>
              <w:rPr>
                <w:spacing w:val="-1"/>
                <w:sz w:val="24"/>
              </w:rPr>
              <w:t> </w:t>
            </w:r>
            <w:r>
              <w:rPr>
                <w:sz w:val="24"/>
              </w:rPr>
              <w:t>water</w:t>
            </w:r>
            <w:r>
              <w:rPr>
                <w:spacing w:val="-3"/>
                <w:sz w:val="24"/>
              </w:rPr>
              <w:t> </w:t>
            </w:r>
            <w:r>
              <w:rPr>
                <w:sz w:val="24"/>
              </w:rPr>
              <w:t>from </w:t>
            </w:r>
            <w:r>
              <w:rPr>
                <w:spacing w:val="-2"/>
                <w:sz w:val="24"/>
              </w:rPr>
              <w:t>neighbor</w:t>
            </w:r>
          </w:p>
        </w:tc>
        <w:tc>
          <w:tcPr>
            <w:tcW w:w="1431" w:type="dxa"/>
          </w:tcPr>
          <w:p>
            <w:pPr>
              <w:pStyle w:val="TableParagraph"/>
              <w:spacing w:line="256" w:lineRule="exact"/>
              <w:jc w:val="center"/>
              <w:rPr>
                <w:sz w:val="24"/>
              </w:rPr>
            </w:pPr>
            <w:r>
              <w:rPr>
                <w:spacing w:val="-4"/>
                <w:sz w:val="24"/>
              </w:rPr>
              <w:t>5.61</w:t>
            </w:r>
          </w:p>
        </w:tc>
        <w:tc>
          <w:tcPr>
            <w:tcW w:w="1525" w:type="dxa"/>
          </w:tcPr>
          <w:p>
            <w:pPr>
              <w:pStyle w:val="TableParagraph"/>
              <w:spacing w:line="256" w:lineRule="exact"/>
              <w:ind w:left="1" w:right="1"/>
              <w:jc w:val="center"/>
              <w:rPr>
                <w:sz w:val="24"/>
              </w:rPr>
            </w:pPr>
            <w:r>
              <w:rPr>
                <w:spacing w:val="-4"/>
                <w:sz w:val="24"/>
              </w:rPr>
              <w:t>1.01</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9.30</w:t>
            </w:r>
          </w:p>
        </w:tc>
      </w:tr>
      <w:tr>
        <w:trPr>
          <w:trHeight w:val="274" w:hRule="atLeast"/>
        </w:trPr>
        <w:tc>
          <w:tcPr>
            <w:tcW w:w="605" w:type="dxa"/>
          </w:tcPr>
          <w:p>
            <w:pPr>
              <w:pStyle w:val="TableParagraph"/>
              <w:spacing w:line="255" w:lineRule="exact"/>
              <w:ind w:left="122"/>
              <w:rPr>
                <w:b/>
                <w:sz w:val="24"/>
              </w:rPr>
            </w:pPr>
            <w:r>
              <w:rPr>
                <w:b/>
                <w:spacing w:val="-10"/>
                <w:sz w:val="24"/>
              </w:rPr>
              <w:t>4</w:t>
            </w:r>
          </w:p>
        </w:tc>
        <w:tc>
          <w:tcPr>
            <w:tcW w:w="3180" w:type="dxa"/>
          </w:tcPr>
          <w:p>
            <w:pPr>
              <w:pStyle w:val="TableParagraph"/>
              <w:spacing w:line="255" w:lineRule="exact"/>
              <w:ind w:left="107"/>
              <w:rPr>
                <w:sz w:val="24"/>
              </w:rPr>
            </w:pPr>
            <w:r>
              <w:rPr>
                <w:sz w:val="24"/>
              </w:rPr>
              <w:t>Public</w:t>
            </w:r>
            <w:r>
              <w:rPr>
                <w:spacing w:val="-1"/>
                <w:sz w:val="24"/>
              </w:rPr>
              <w:t> </w:t>
            </w:r>
            <w:r>
              <w:rPr>
                <w:spacing w:val="-5"/>
                <w:sz w:val="24"/>
              </w:rPr>
              <w:t>tap</w:t>
            </w:r>
          </w:p>
        </w:tc>
        <w:tc>
          <w:tcPr>
            <w:tcW w:w="1431" w:type="dxa"/>
          </w:tcPr>
          <w:p>
            <w:pPr>
              <w:pStyle w:val="TableParagraph"/>
              <w:spacing w:line="255" w:lineRule="exact"/>
              <w:jc w:val="center"/>
              <w:rPr>
                <w:sz w:val="24"/>
              </w:rPr>
            </w:pPr>
            <w:r>
              <w:rPr>
                <w:spacing w:val="-4"/>
                <w:sz w:val="24"/>
              </w:rPr>
              <w:t>9.35</w:t>
            </w:r>
          </w:p>
        </w:tc>
        <w:tc>
          <w:tcPr>
            <w:tcW w:w="1525" w:type="dxa"/>
          </w:tcPr>
          <w:p>
            <w:pPr>
              <w:pStyle w:val="TableParagraph"/>
              <w:spacing w:line="255" w:lineRule="exact"/>
              <w:ind w:left="1" w:right="1"/>
              <w:jc w:val="center"/>
              <w:rPr>
                <w:sz w:val="24"/>
              </w:rPr>
            </w:pPr>
            <w:r>
              <w:rPr>
                <w:spacing w:val="-2"/>
                <w:sz w:val="24"/>
              </w:rPr>
              <w:t>13.07</w:t>
            </w:r>
          </w:p>
        </w:tc>
        <w:tc>
          <w:tcPr>
            <w:tcW w:w="1013" w:type="dxa"/>
          </w:tcPr>
          <w:p>
            <w:pPr>
              <w:pStyle w:val="TableParagraph"/>
              <w:spacing w:line="255" w:lineRule="exact"/>
              <w:ind w:left="18" w:right="4"/>
              <w:jc w:val="center"/>
              <w:rPr>
                <w:sz w:val="24"/>
              </w:rPr>
            </w:pPr>
            <w:r>
              <w:rPr>
                <w:spacing w:val="-4"/>
                <w:sz w:val="24"/>
              </w:rPr>
              <w:t>0.00</w:t>
            </w:r>
          </w:p>
        </w:tc>
        <w:tc>
          <w:tcPr>
            <w:tcW w:w="1104" w:type="dxa"/>
          </w:tcPr>
          <w:p>
            <w:pPr>
              <w:pStyle w:val="TableParagraph"/>
              <w:spacing w:line="255" w:lineRule="exact"/>
              <w:ind w:left="20"/>
              <w:jc w:val="center"/>
              <w:rPr>
                <w:sz w:val="24"/>
              </w:rPr>
            </w:pPr>
            <w:r>
              <w:rPr>
                <w:spacing w:val="-2"/>
                <w:sz w:val="24"/>
              </w:rPr>
              <w:t>16.74</w:t>
            </w:r>
          </w:p>
        </w:tc>
      </w:tr>
      <w:tr>
        <w:trPr>
          <w:trHeight w:val="274" w:hRule="atLeast"/>
        </w:trPr>
        <w:tc>
          <w:tcPr>
            <w:tcW w:w="605" w:type="dxa"/>
          </w:tcPr>
          <w:p>
            <w:pPr>
              <w:pStyle w:val="TableParagraph"/>
              <w:spacing w:line="255" w:lineRule="exact"/>
              <w:ind w:left="122"/>
              <w:rPr>
                <w:b/>
                <w:sz w:val="24"/>
              </w:rPr>
            </w:pPr>
            <w:r>
              <w:rPr>
                <w:b/>
                <w:spacing w:val="-10"/>
                <w:sz w:val="24"/>
              </w:rPr>
              <w:t>5</w:t>
            </w:r>
          </w:p>
        </w:tc>
        <w:tc>
          <w:tcPr>
            <w:tcW w:w="3180" w:type="dxa"/>
          </w:tcPr>
          <w:p>
            <w:pPr>
              <w:pStyle w:val="TableParagraph"/>
              <w:spacing w:line="255" w:lineRule="exact"/>
              <w:ind w:left="107"/>
              <w:rPr>
                <w:sz w:val="24"/>
              </w:rPr>
            </w:pPr>
            <w:r>
              <w:rPr>
                <w:sz w:val="24"/>
              </w:rPr>
              <w:t>Public</w:t>
            </w:r>
            <w:r>
              <w:rPr>
                <w:spacing w:val="-3"/>
                <w:sz w:val="24"/>
              </w:rPr>
              <w:t> </w:t>
            </w:r>
            <w:r>
              <w:rPr>
                <w:sz w:val="24"/>
              </w:rPr>
              <w:t>covered</w:t>
            </w:r>
            <w:r>
              <w:rPr>
                <w:spacing w:val="-2"/>
                <w:sz w:val="24"/>
              </w:rPr>
              <w:t> borehole</w:t>
            </w:r>
          </w:p>
        </w:tc>
        <w:tc>
          <w:tcPr>
            <w:tcW w:w="1431" w:type="dxa"/>
          </w:tcPr>
          <w:p>
            <w:pPr>
              <w:pStyle w:val="TableParagraph"/>
              <w:spacing w:line="255" w:lineRule="exact"/>
              <w:jc w:val="center"/>
              <w:rPr>
                <w:sz w:val="24"/>
              </w:rPr>
            </w:pPr>
            <w:r>
              <w:rPr>
                <w:spacing w:val="-4"/>
                <w:sz w:val="24"/>
              </w:rPr>
              <w:t>3.74</w:t>
            </w:r>
          </w:p>
        </w:tc>
        <w:tc>
          <w:tcPr>
            <w:tcW w:w="1525" w:type="dxa"/>
          </w:tcPr>
          <w:p>
            <w:pPr>
              <w:pStyle w:val="TableParagraph"/>
              <w:spacing w:line="255" w:lineRule="exact"/>
              <w:ind w:left="1" w:right="1"/>
              <w:jc w:val="center"/>
              <w:rPr>
                <w:sz w:val="24"/>
              </w:rPr>
            </w:pPr>
            <w:r>
              <w:rPr>
                <w:spacing w:val="-4"/>
                <w:sz w:val="24"/>
              </w:rPr>
              <w:t>2.51</w:t>
            </w:r>
          </w:p>
        </w:tc>
        <w:tc>
          <w:tcPr>
            <w:tcW w:w="1013" w:type="dxa"/>
          </w:tcPr>
          <w:p>
            <w:pPr>
              <w:pStyle w:val="TableParagraph"/>
              <w:spacing w:line="255" w:lineRule="exact"/>
              <w:ind w:left="18" w:right="4"/>
              <w:jc w:val="center"/>
              <w:rPr>
                <w:sz w:val="24"/>
              </w:rPr>
            </w:pPr>
            <w:r>
              <w:rPr>
                <w:spacing w:val="-4"/>
                <w:sz w:val="24"/>
              </w:rPr>
              <w:t>0.00</w:t>
            </w:r>
          </w:p>
        </w:tc>
        <w:tc>
          <w:tcPr>
            <w:tcW w:w="1104" w:type="dxa"/>
          </w:tcPr>
          <w:p>
            <w:pPr>
              <w:pStyle w:val="TableParagraph"/>
              <w:spacing w:line="255" w:lineRule="exact"/>
              <w:ind w:left="20"/>
              <w:jc w:val="center"/>
              <w:rPr>
                <w:sz w:val="24"/>
              </w:rPr>
            </w:pPr>
            <w:r>
              <w:rPr>
                <w:spacing w:val="-4"/>
                <w:sz w:val="24"/>
              </w:rPr>
              <w:t>3.26</w:t>
            </w:r>
          </w:p>
        </w:tc>
      </w:tr>
      <w:tr>
        <w:trPr>
          <w:trHeight w:val="275" w:hRule="atLeast"/>
        </w:trPr>
        <w:tc>
          <w:tcPr>
            <w:tcW w:w="605" w:type="dxa"/>
          </w:tcPr>
          <w:p>
            <w:pPr>
              <w:pStyle w:val="TableParagraph"/>
              <w:spacing w:line="256" w:lineRule="exact"/>
              <w:ind w:left="122"/>
              <w:rPr>
                <w:b/>
                <w:sz w:val="24"/>
              </w:rPr>
            </w:pPr>
            <w:r>
              <w:rPr>
                <w:b/>
                <w:spacing w:val="-10"/>
                <w:sz w:val="24"/>
              </w:rPr>
              <w:t>6</w:t>
            </w:r>
          </w:p>
        </w:tc>
        <w:tc>
          <w:tcPr>
            <w:tcW w:w="3180" w:type="dxa"/>
          </w:tcPr>
          <w:p>
            <w:pPr>
              <w:pStyle w:val="TableParagraph"/>
              <w:spacing w:line="256" w:lineRule="exact"/>
              <w:ind w:left="107"/>
              <w:rPr>
                <w:sz w:val="24"/>
              </w:rPr>
            </w:pPr>
            <w:r>
              <w:rPr>
                <w:sz w:val="24"/>
              </w:rPr>
              <w:t>Private</w:t>
            </w:r>
            <w:r>
              <w:rPr>
                <w:spacing w:val="-4"/>
                <w:sz w:val="24"/>
              </w:rPr>
              <w:t> </w:t>
            </w:r>
            <w:r>
              <w:rPr>
                <w:sz w:val="24"/>
              </w:rPr>
              <w:t>covered</w:t>
            </w:r>
            <w:r>
              <w:rPr>
                <w:spacing w:val="-1"/>
                <w:sz w:val="24"/>
              </w:rPr>
              <w:t> </w:t>
            </w:r>
            <w:r>
              <w:rPr>
                <w:sz w:val="24"/>
              </w:rPr>
              <w:t>dug</w:t>
            </w:r>
            <w:r>
              <w:rPr>
                <w:spacing w:val="-3"/>
                <w:sz w:val="24"/>
              </w:rPr>
              <w:t> </w:t>
            </w:r>
            <w:r>
              <w:rPr>
                <w:spacing w:val="-4"/>
                <w:sz w:val="24"/>
              </w:rPr>
              <w:t>well</w:t>
            </w:r>
          </w:p>
        </w:tc>
        <w:tc>
          <w:tcPr>
            <w:tcW w:w="1431" w:type="dxa"/>
          </w:tcPr>
          <w:p>
            <w:pPr>
              <w:pStyle w:val="TableParagraph"/>
              <w:spacing w:line="256" w:lineRule="exact"/>
              <w:jc w:val="center"/>
              <w:rPr>
                <w:sz w:val="24"/>
              </w:rPr>
            </w:pPr>
            <w:r>
              <w:rPr>
                <w:spacing w:val="-2"/>
                <w:sz w:val="24"/>
              </w:rPr>
              <w:t>15.89</w:t>
            </w:r>
          </w:p>
        </w:tc>
        <w:tc>
          <w:tcPr>
            <w:tcW w:w="1525" w:type="dxa"/>
          </w:tcPr>
          <w:p>
            <w:pPr>
              <w:pStyle w:val="TableParagraph"/>
              <w:spacing w:line="256" w:lineRule="exact"/>
              <w:ind w:left="1" w:right="1"/>
              <w:jc w:val="center"/>
              <w:rPr>
                <w:sz w:val="24"/>
              </w:rPr>
            </w:pPr>
            <w:r>
              <w:rPr>
                <w:spacing w:val="-2"/>
                <w:sz w:val="24"/>
              </w:rPr>
              <w:t>15.58</w:t>
            </w:r>
          </w:p>
        </w:tc>
        <w:tc>
          <w:tcPr>
            <w:tcW w:w="1013" w:type="dxa"/>
          </w:tcPr>
          <w:p>
            <w:pPr>
              <w:pStyle w:val="TableParagraph"/>
              <w:spacing w:line="256" w:lineRule="exact"/>
              <w:ind w:left="18" w:right="4"/>
              <w:jc w:val="center"/>
              <w:rPr>
                <w:sz w:val="24"/>
              </w:rPr>
            </w:pPr>
            <w:r>
              <w:rPr>
                <w:spacing w:val="-2"/>
                <w:sz w:val="24"/>
              </w:rPr>
              <w:t>42.31</w:t>
            </w:r>
          </w:p>
        </w:tc>
        <w:tc>
          <w:tcPr>
            <w:tcW w:w="1104" w:type="dxa"/>
          </w:tcPr>
          <w:p>
            <w:pPr>
              <w:pStyle w:val="TableParagraph"/>
              <w:spacing w:line="256" w:lineRule="exact"/>
              <w:ind w:left="20"/>
              <w:jc w:val="center"/>
              <w:rPr>
                <w:sz w:val="24"/>
              </w:rPr>
            </w:pPr>
            <w:r>
              <w:rPr>
                <w:spacing w:val="-4"/>
                <w:sz w:val="24"/>
              </w:rPr>
              <w:t>7.91</w:t>
            </w:r>
          </w:p>
        </w:tc>
      </w:tr>
      <w:tr>
        <w:trPr>
          <w:trHeight w:val="276" w:hRule="atLeast"/>
        </w:trPr>
        <w:tc>
          <w:tcPr>
            <w:tcW w:w="605" w:type="dxa"/>
          </w:tcPr>
          <w:p>
            <w:pPr>
              <w:pStyle w:val="TableParagraph"/>
              <w:spacing w:line="256" w:lineRule="exact"/>
              <w:ind w:left="122"/>
              <w:rPr>
                <w:b/>
                <w:sz w:val="24"/>
              </w:rPr>
            </w:pPr>
            <w:r>
              <w:rPr>
                <w:b/>
                <w:spacing w:val="-10"/>
                <w:sz w:val="24"/>
              </w:rPr>
              <w:t>7</w:t>
            </w:r>
          </w:p>
        </w:tc>
        <w:tc>
          <w:tcPr>
            <w:tcW w:w="3180" w:type="dxa"/>
          </w:tcPr>
          <w:p>
            <w:pPr>
              <w:pStyle w:val="TableParagraph"/>
              <w:spacing w:line="256" w:lineRule="exact"/>
              <w:ind w:left="107"/>
              <w:rPr>
                <w:sz w:val="24"/>
              </w:rPr>
            </w:pPr>
            <w:r>
              <w:rPr>
                <w:sz w:val="24"/>
              </w:rPr>
              <w:t>Rain</w:t>
            </w:r>
            <w:r>
              <w:rPr>
                <w:spacing w:val="-1"/>
                <w:sz w:val="24"/>
              </w:rPr>
              <w:t> </w:t>
            </w:r>
            <w:r>
              <w:rPr>
                <w:spacing w:val="-2"/>
                <w:sz w:val="24"/>
              </w:rPr>
              <w:t>water</w:t>
            </w:r>
          </w:p>
        </w:tc>
        <w:tc>
          <w:tcPr>
            <w:tcW w:w="1431" w:type="dxa"/>
          </w:tcPr>
          <w:p>
            <w:pPr>
              <w:pStyle w:val="TableParagraph"/>
              <w:spacing w:line="256" w:lineRule="exact"/>
              <w:jc w:val="center"/>
              <w:rPr>
                <w:sz w:val="24"/>
              </w:rPr>
            </w:pPr>
            <w:r>
              <w:rPr>
                <w:spacing w:val="-4"/>
                <w:sz w:val="24"/>
              </w:rPr>
              <w:t>4.67</w:t>
            </w:r>
          </w:p>
        </w:tc>
        <w:tc>
          <w:tcPr>
            <w:tcW w:w="1525" w:type="dxa"/>
          </w:tcPr>
          <w:p>
            <w:pPr>
              <w:pStyle w:val="TableParagraph"/>
              <w:spacing w:line="256" w:lineRule="exact"/>
              <w:ind w:left="1" w:right="1"/>
              <w:jc w:val="center"/>
              <w:rPr>
                <w:sz w:val="24"/>
              </w:rPr>
            </w:pPr>
            <w:r>
              <w:rPr>
                <w:spacing w:val="-2"/>
                <w:sz w:val="24"/>
              </w:rPr>
              <w:t>27.14</w:t>
            </w:r>
          </w:p>
        </w:tc>
        <w:tc>
          <w:tcPr>
            <w:tcW w:w="1013" w:type="dxa"/>
          </w:tcPr>
          <w:p>
            <w:pPr>
              <w:pStyle w:val="TableParagraph"/>
              <w:spacing w:line="256" w:lineRule="exact"/>
              <w:ind w:left="18" w:right="4"/>
              <w:jc w:val="center"/>
              <w:rPr>
                <w:sz w:val="24"/>
              </w:rPr>
            </w:pPr>
            <w:r>
              <w:rPr>
                <w:spacing w:val="-2"/>
                <w:sz w:val="24"/>
              </w:rPr>
              <w:t>11.54</w:t>
            </w:r>
          </w:p>
        </w:tc>
        <w:tc>
          <w:tcPr>
            <w:tcW w:w="1104" w:type="dxa"/>
          </w:tcPr>
          <w:p>
            <w:pPr>
              <w:pStyle w:val="TableParagraph"/>
              <w:spacing w:line="256" w:lineRule="exact"/>
              <w:ind w:left="20"/>
              <w:jc w:val="center"/>
              <w:rPr>
                <w:sz w:val="24"/>
              </w:rPr>
            </w:pPr>
            <w:r>
              <w:rPr>
                <w:spacing w:val="-4"/>
                <w:sz w:val="24"/>
              </w:rPr>
              <w:t>9.77</w:t>
            </w:r>
          </w:p>
        </w:tc>
      </w:tr>
      <w:tr>
        <w:trPr>
          <w:trHeight w:val="276" w:hRule="atLeast"/>
        </w:trPr>
        <w:tc>
          <w:tcPr>
            <w:tcW w:w="605" w:type="dxa"/>
          </w:tcPr>
          <w:p>
            <w:pPr>
              <w:pStyle w:val="TableParagraph"/>
              <w:spacing w:line="256" w:lineRule="exact"/>
              <w:ind w:left="122"/>
              <w:rPr>
                <w:b/>
                <w:sz w:val="24"/>
              </w:rPr>
            </w:pPr>
            <w:r>
              <w:rPr>
                <w:b/>
                <w:spacing w:val="-10"/>
                <w:sz w:val="24"/>
              </w:rPr>
              <w:t>8</w:t>
            </w:r>
          </w:p>
        </w:tc>
        <w:tc>
          <w:tcPr>
            <w:tcW w:w="3180" w:type="dxa"/>
          </w:tcPr>
          <w:p>
            <w:pPr>
              <w:pStyle w:val="TableParagraph"/>
              <w:spacing w:line="256" w:lineRule="exact"/>
              <w:ind w:left="107"/>
              <w:rPr>
                <w:sz w:val="24"/>
              </w:rPr>
            </w:pPr>
            <w:r>
              <w:rPr>
                <w:sz w:val="24"/>
              </w:rPr>
              <w:t>Public</w:t>
            </w:r>
            <w:r>
              <w:rPr>
                <w:spacing w:val="-2"/>
                <w:sz w:val="24"/>
              </w:rPr>
              <w:t> </w:t>
            </w:r>
            <w:r>
              <w:rPr>
                <w:sz w:val="24"/>
              </w:rPr>
              <w:t>open </w:t>
            </w:r>
            <w:r>
              <w:rPr>
                <w:spacing w:val="-2"/>
                <w:sz w:val="24"/>
              </w:rPr>
              <w:t>borehole</w:t>
            </w:r>
          </w:p>
        </w:tc>
        <w:tc>
          <w:tcPr>
            <w:tcW w:w="1431" w:type="dxa"/>
          </w:tcPr>
          <w:p>
            <w:pPr>
              <w:pStyle w:val="TableParagraph"/>
              <w:spacing w:line="256" w:lineRule="exact"/>
              <w:jc w:val="center"/>
              <w:rPr>
                <w:sz w:val="24"/>
              </w:rPr>
            </w:pPr>
            <w:r>
              <w:rPr>
                <w:spacing w:val="-4"/>
                <w:sz w:val="24"/>
              </w:rPr>
              <w:t>2.80</w:t>
            </w:r>
          </w:p>
        </w:tc>
        <w:tc>
          <w:tcPr>
            <w:tcW w:w="1525" w:type="dxa"/>
          </w:tcPr>
          <w:p>
            <w:pPr>
              <w:pStyle w:val="TableParagraph"/>
              <w:spacing w:line="256" w:lineRule="exact"/>
              <w:ind w:left="1" w:right="1"/>
              <w:jc w:val="center"/>
              <w:rPr>
                <w:sz w:val="24"/>
              </w:rPr>
            </w:pPr>
            <w:r>
              <w:rPr>
                <w:spacing w:val="-4"/>
                <w:sz w:val="24"/>
              </w:rPr>
              <w:t>3.52</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7.91</w:t>
            </w:r>
          </w:p>
        </w:tc>
      </w:tr>
      <w:tr>
        <w:trPr>
          <w:trHeight w:val="276" w:hRule="atLeast"/>
        </w:trPr>
        <w:tc>
          <w:tcPr>
            <w:tcW w:w="605" w:type="dxa"/>
          </w:tcPr>
          <w:p>
            <w:pPr>
              <w:pStyle w:val="TableParagraph"/>
              <w:spacing w:line="256" w:lineRule="exact"/>
              <w:ind w:left="122"/>
              <w:rPr>
                <w:b/>
                <w:sz w:val="24"/>
              </w:rPr>
            </w:pPr>
            <w:r>
              <w:rPr>
                <w:b/>
                <w:spacing w:val="-10"/>
                <w:sz w:val="24"/>
              </w:rPr>
              <w:t>9</w:t>
            </w:r>
          </w:p>
        </w:tc>
        <w:tc>
          <w:tcPr>
            <w:tcW w:w="3180" w:type="dxa"/>
          </w:tcPr>
          <w:p>
            <w:pPr>
              <w:pStyle w:val="TableParagraph"/>
              <w:spacing w:line="256" w:lineRule="exact"/>
              <w:ind w:left="107"/>
              <w:rPr>
                <w:sz w:val="24"/>
              </w:rPr>
            </w:pPr>
            <w:r>
              <w:rPr>
                <w:sz w:val="24"/>
              </w:rPr>
              <w:t>Bottled</w:t>
            </w:r>
            <w:r>
              <w:rPr>
                <w:spacing w:val="-4"/>
                <w:sz w:val="24"/>
              </w:rPr>
              <w:t> </w:t>
            </w:r>
            <w:r>
              <w:rPr>
                <w:spacing w:val="-2"/>
                <w:sz w:val="24"/>
              </w:rPr>
              <w:t>water</w:t>
            </w:r>
          </w:p>
        </w:tc>
        <w:tc>
          <w:tcPr>
            <w:tcW w:w="1431" w:type="dxa"/>
          </w:tcPr>
          <w:p>
            <w:pPr>
              <w:pStyle w:val="TableParagraph"/>
              <w:spacing w:line="256" w:lineRule="exact"/>
              <w:jc w:val="center"/>
              <w:rPr>
                <w:sz w:val="24"/>
              </w:rPr>
            </w:pPr>
            <w:r>
              <w:rPr>
                <w:spacing w:val="-4"/>
                <w:sz w:val="24"/>
              </w:rPr>
              <w:t>0.00</w:t>
            </w:r>
          </w:p>
        </w:tc>
        <w:tc>
          <w:tcPr>
            <w:tcW w:w="1525" w:type="dxa"/>
          </w:tcPr>
          <w:p>
            <w:pPr>
              <w:pStyle w:val="TableParagraph"/>
              <w:spacing w:line="256" w:lineRule="exact"/>
              <w:ind w:left="1" w:right="1"/>
              <w:jc w:val="center"/>
              <w:rPr>
                <w:sz w:val="24"/>
              </w:rPr>
            </w:pPr>
            <w:r>
              <w:rPr>
                <w:spacing w:val="-4"/>
                <w:sz w:val="24"/>
              </w:rPr>
              <w:t>0.00</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10</w:t>
            </w:r>
          </w:p>
        </w:tc>
        <w:tc>
          <w:tcPr>
            <w:tcW w:w="3180" w:type="dxa"/>
          </w:tcPr>
          <w:p>
            <w:pPr>
              <w:pStyle w:val="TableParagraph"/>
              <w:spacing w:line="256" w:lineRule="exact"/>
              <w:ind w:left="107"/>
              <w:rPr>
                <w:sz w:val="24"/>
              </w:rPr>
            </w:pPr>
            <w:r>
              <w:rPr>
                <w:sz w:val="24"/>
              </w:rPr>
              <w:t>Private</w:t>
            </w:r>
            <w:r>
              <w:rPr>
                <w:spacing w:val="-4"/>
                <w:sz w:val="24"/>
              </w:rPr>
              <w:t> </w:t>
            </w:r>
            <w:r>
              <w:rPr>
                <w:sz w:val="24"/>
              </w:rPr>
              <w:t>unprotected</w:t>
            </w:r>
            <w:r>
              <w:rPr>
                <w:spacing w:val="-2"/>
                <w:sz w:val="24"/>
              </w:rPr>
              <w:t> </w:t>
            </w:r>
            <w:r>
              <w:rPr>
                <w:sz w:val="24"/>
              </w:rPr>
              <w:t>dug</w:t>
            </w:r>
            <w:r>
              <w:rPr>
                <w:spacing w:val="-2"/>
                <w:sz w:val="24"/>
              </w:rPr>
              <w:t> </w:t>
            </w:r>
            <w:r>
              <w:rPr>
                <w:spacing w:val="-4"/>
                <w:sz w:val="24"/>
              </w:rPr>
              <w:t>well</w:t>
            </w:r>
          </w:p>
        </w:tc>
        <w:tc>
          <w:tcPr>
            <w:tcW w:w="1431" w:type="dxa"/>
          </w:tcPr>
          <w:p>
            <w:pPr>
              <w:pStyle w:val="TableParagraph"/>
              <w:spacing w:line="256" w:lineRule="exact"/>
              <w:jc w:val="center"/>
              <w:rPr>
                <w:sz w:val="24"/>
              </w:rPr>
            </w:pPr>
            <w:r>
              <w:rPr>
                <w:spacing w:val="-4"/>
                <w:sz w:val="24"/>
              </w:rPr>
              <w:t>0.00</w:t>
            </w:r>
          </w:p>
        </w:tc>
        <w:tc>
          <w:tcPr>
            <w:tcW w:w="1525" w:type="dxa"/>
          </w:tcPr>
          <w:p>
            <w:pPr>
              <w:pStyle w:val="TableParagraph"/>
              <w:spacing w:line="256" w:lineRule="exact"/>
              <w:ind w:left="1" w:right="1"/>
              <w:jc w:val="center"/>
              <w:rPr>
                <w:sz w:val="24"/>
              </w:rPr>
            </w:pPr>
            <w:r>
              <w:rPr>
                <w:spacing w:val="-4"/>
                <w:sz w:val="24"/>
              </w:rPr>
              <w:t>1.51</w:t>
            </w:r>
          </w:p>
        </w:tc>
        <w:tc>
          <w:tcPr>
            <w:tcW w:w="1013" w:type="dxa"/>
          </w:tcPr>
          <w:p>
            <w:pPr>
              <w:pStyle w:val="TableParagraph"/>
              <w:spacing w:line="256" w:lineRule="exact"/>
              <w:ind w:left="18" w:right="4"/>
              <w:jc w:val="center"/>
              <w:rPr>
                <w:sz w:val="24"/>
              </w:rPr>
            </w:pPr>
            <w:r>
              <w:rPr>
                <w:spacing w:val="-2"/>
                <w:sz w:val="24"/>
              </w:rPr>
              <w:t>15.38</w:t>
            </w:r>
          </w:p>
        </w:tc>
        <w:tc>
          <w:tcPr>
            <w:tcW w:w="1104" w:type="dxa"/>
          </w:tcPr>
          <w:p>
            <w:pPr>
              <w:pStyle w:val="TableParagraph"/>
              <w:spacing w:line="256" w:lineRule="exact"/>
              <w:ind w:left="20"/>
              <w:jc w:val="center"/>
              <w:rPr>
                <w:sz w:val="24"/>
              </w:rPr>
            </w:pPr>
            <w:r>
              <w:rPr>
                <w:spacing w:val="-4"/>
                <w:sz w:val="24"/>
              </w:rPr>
              <w:t>1.86</w:t>
            </w:r>
          </w:p>
        </w:tc>
      </w:tr>
      <w:tr>
        <w:trPr>
          <w:trHeight w:val="276" w:hRule="atLeast"/>
        </w:trPr>
        <w:tc>
          <w:tcPr>
            <w:tcW w:w="605" w:type="dxa"/>
          </w:tcPr>
          <w:p>
            <w:pPr>
              <w:pStyle w:val="TableParagraph"/>
              <w:spacing w:line="256" w:lineRule="exact"/>
              <w:ind w:left="122"/>
              <w:rPr>
                <w:b/>
                <w:sz w:val="24"/>
              </w:rPr>
            </w:pPr>
            <w:r>
              <w:rPr>
                <w:b/>
                <w:spacing w:val="-5"/>
                <w:sz w:val="24"/>
              </w:rPr>
              <w:t>11</w:t>
            </w:r>
          </w:p>
        </w:tc>
        <w:tc>
          <w:tcPr>
            <w:tcW w:w="3180" w:type="dxa"/>
          </w:tcPr>
          <w:p>
            <w:pPr>
              <w:pStyle w:val="TableParagraph"/>
              <w:spacing w:line="256" w:lineRule="exact"/>
              <w:ind w:left="107"/>
              <w:rPr>
                <w:sz w:val="24"/>
              </w:rPr>
            </w:pPr>
            <w:r>
              <w:rPr>
                <w:sz w:val="24"/>
              </w:rPr>
              <w:t>Tanker</w:t>
            </w:r>
            <w:r>
              <w:rPr>
                <w:spacing w:val="-5"/>
                <w:sz w:val="24"/>
              </w:rPr>
              <w:t> </w:t>
            </w:r>
            <w:r>
              <w:rPr>
                <w:spacing w:val="-2"/>
                <w:sz w:val="24"/>
              </w:rPr>
              <w:t>truck</w:t>
            </w:r>
          </w:p>
        </w:tc>
        <w:tc>
          <w:tcPr>
            <w:tcW w:w="1431" w:type="dxa"/>
          </w:tcPr>
          <w:p>
            <w:pPr>
              <w:pStyle w:val="TableParagraph"/>
              <w:spacing w:line="256" w:lineRule="exact"/>
              <w:jc w:val="center"/>
              <w:rPr>
                <w:sz w:val="24"/>
              </w:rPr>
            </w:pPr>
            <w:r>
              <w:rPr>
                <w:spacing w:val="-4"/>
                <w:sz w:val="24"/>
              </w:rPr>
              <w:t>0.93</w:t>
            </w:r>
          </w:p>
        </w:tc>
        <w:tc>
          <w:tcPr>
            <w:tcW w:w="1525" w:type="dxa"/>
          </w:tcPr>
          <w:p>
            <w:pPr>
              <w:pStyle w:val="TableParagraph"/>
              <w:spacing w:line="256" w:lineRule="exact"/>
              <w:ind w:left="1" w:right="1"/>
              <w:jc w:val="center"/>
              <w:rPr>
                <w:sz w:val="24"/>
              </w:rPr>
            </w:pPr>
            <w:r>
              <w:rPr>
                <w:spacing w:val="-4"/>
                <w:sz w:val="24"/>
              </w:rPr>
              <w:t>1.01</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2.33</w:t>
            </w:r>
          </w:p>
        </w:tc>
      </w:tr>
      <w:tr>
        <w:trPr>
          <w:trHeight w:val="275" w:hRule="atLeast"/>
        </w:trPr>
        <w:tc>
          <w:tcPr>
            <w:tcW w:w="605" w:type="dxa"/>
          </w:tcPr>
          <w:p>
            <w:pPr>
              <w:pStyle w:val="TableParagraph"/>
              <w:spacing w:line="256" w:lineRule="exact"/>
              <w:ind w:left="122"/>
              <w:rPr>
                <w:b/>
                <w:sz w:val="24"/>
              </w:rPr>
            </w:pPr>
            <w:r>
              <w:rPr>
                <w:b/>
                <w:spacing w:val="-5"/>
                <w:sz w:val="24"/>
              </w:rPr>
              <w:t>12</w:t>
            </w:r>
          </w:p>
        </w:tc>
        <w:tc>
          <w:tcPr>
            <w:tcW w:w="3180" w:type="dxa"/>
          </w:tcPr>
          <w:p>
            <w:pPr>
              <w:pStyle w:val="TableParagraph"/>
              <w:spacing w:line="256" w:lineRule="exact"/>
              <w:ind w:left="107"/>
              <w:rPr>
                <w:sz w:val="24"/>
              </w:rPr>
            </w:pPr>
            <w:r>
              <w:rPr>
                <w:sz w:val="24"/>
              </w:rPr>
              <w:t>Water</w:t>
            </w:r>
            <w:r>
              <w:rPr>
                <w:spacing w:val="-3"/>
                <w:sz w:val="24"/>
              </w:rPr>
              <w:t> </w:t>
            </w:r>
            <w:r>
              <w:rPr>
                <w:sz w:val="24"/>
              </w:rPr>
              <w:t>vendor/Cart</w:t>
            </w:r>
            <w:r>
              <w:rPr>
                <w:spacing w:val="-1"/>
                <w:sz w:val="24"/>
              </w:rPr>
              <w:t> </w:t>
            </w:r>
            <w:r>
              <w:rPr>
                <w:sz w:val="24"/>
              </w:rPr>
              <w:t>with </w:t>
            </w:r>
            <w:r>
              <w:rPr>
                <w:spacing w:val="-4"/>
                <w:sz w:val="24"/>
              </w:rPr>
              <w:t>tank</w:t>
            </w:r>
          </w:p>
        </w:tc>
        <w:tc>
          <w:tcPr>
            <w:tcW w:w="1431" w:type="dxa"/>
          </w:tcPr>
          <w:p>
            <w:pPr>
              <w:pStyle w:val="TableParagraph"/>
              <w:spacing w:line="256" w:lineRule="exact"/>
              <w:jc w:val="center"/>
              <w:rPr>
                <w:sz w:val="24"/>
              </w:rPr>
            </w:pPr>
            <w:r>
              <w:rPr>
                <w:spacing w:val="-2"/>
                <w:sz w:val="24"/>
              </w:rPr>
              <w:t>15.89</w:t>
            </w:r>
          </w:p>
        </w:tc>
        <w:tc>
          <w:tcPr>
            <w:tcW w:w="1525" w:type="dxa"/>
          </w:tcPr>
          <w:p>
            <w:pPr>
              <w:pStyle w:val="TableParagraph"/>
              <w:spacing w:line="256" w:lineRule="exact"/>
              <w:ind w:left="1" w:right="1"/>
              <w:jc w:val="center"/>
              <w:rPr>
                <w:sz w:val="24"/>
              </w:rPr>
            </w:pPr>
            <w:r>
              <w:rPr>
                <w:spacing w:val="-2"/>
                <w:sz w:val="24"/>
              </w:rPr>
              <w:t>19.60</w:t>
            </w:r>
          </w:p>
        </w:tc>
        <w:tc>
          <w:tcPr>
            <w:tcW w:w="1013" w:type="dxa"/>
          </w:tcPr>
          <w:p>
            <w:pPr>
              <w:pStyle w:val="TableParagraph"/>
              <w:spacing w:line="256" w:lineRule="exact"/>
              <w:ind w:left="18" w:right="4"/>
              <w:jc w:val="center"/>
              <w:rPr>
                <w:sz w:val="24"/>
              </w:rPr>
            </w:pPr>
            <w:r>
              <w:rPr>
                <w:spacing w:val="-4"/>
                <w:sz w:val="24"/>
              </w:rPr>
              <w:t>3.85</w:t>
            </w:r>
          </w:p>
        </w:tc>
        <w:tc>
          <w:tcPr>
            <w:tcW w:w="1104" w:type="dxa"/>
          </w:tcPr>
          <w:p>
            <w:pPr>
              <w:pStyle w:val="TableParagraph"/>
              <w:spacing w:line="256" w:lineRule="exact"/>
              <w:ind w:left="20"/>
              <w:jc w:val="center"/>
              <w:rPr>
                <w:sz w:val="24"/>
              </w:rPr>
            </w:pPr>
            <w:r>
              <w:rPr>
                <w:spacing w:val="-2"/>
                <w:sz w:val="24"/>
              </w:rPr>
              <w:t>15.81</w:t>
            </w:r>
          </w:p>
        </w:tc>
      </w:tr>
      <w:tr>
        <w:trPr>
          <w:trHeight w:val="276" w:hRule="atLeast"/>
        </w:trPr>
        <w:tc>
          <w:tcPr>
            <w:tcW w:w="605" w:type="dxa"/>
          </w:tcPr>
          <w:p>
            <w:pPr>
              <w:pStyle w:val="TableParagraph"/>
              <w:spacing w:line="256" w:lineRule="exact"/>
              <w:ind w:left="122"/>
              <w:rPr>
                <w:b/>
                <w:sz w:val="24"/>
              </w:rPr>
            </w:pPr>
            <w:r>
              <w:rPr>
                <w:b/>
                <w:spacing w:val="-5"/>
                <w:sz w:val="24"/>
              </w:rPr>
              <w:t>13</w:t>
            </w:r>
          </w:p>
        </w:tc>
        <w:tc>
          <w:tcPr>
            <w:tcW w:w="3180" w:type="dxa"/>
          </w:tcPr>
          <w:p>
            <w:pPr>
              <w:pStyle w:val="TableParagraph"/>
              <w:spacing w:line="256" w:lineRule="exact"/>
              <w:ind w:left="107"/>
              <w:rPr>
                <w:sz w:val="24"/>
              </w:rPr>
            </w:pPr>
            <w:r>
              <w:rPr>
                <w:sz w:val="24"/>
              </w:rPr>
              <w:t>River</w:t>
            </w:r>
            <w:r>
              <w:rPr>
                <w:spacing w:val="-3"/>
                <w:sz w:val="24"/>
              </w:rPr>
              <w:t> </w:t>
            </w:r>
            <w:r>
              <w:rPr>
                <w:sz w:val="24"/>
              </w:rPr>
              <w:t>and </w:t>
            </w:r>
            <w:r>
              <w:rPr>
                <w:spacing w:val="-2"/>
                <w:sz w:val="24"/>
              </w:rPr>
              <w:t>stream</w:t>
            </w:r>
          </w:p>
        </w:tc>
        <w:tc>
          <w:tcPr>
            <w:tcW w:w="1431" w:type="dxa"/>
          </w:tcPr>
          <w:p>
            <w:pPr>
              <w:pStyle w:val="TableParagraph"/>
              <w:spacing w:line="256" w:lineRule="exact"/>
              <w:jc w:val="center"/>
              <w:rPr>
                <w:sz w:val="24"/>
              </w:rPr>
            </w:pPr>
            <w:r>
              <w:rPr>
                <w:spacing w:val="-4"/>
                <w:sz w:val="24"/>
              </w:rPr>
              <w:t>0.00</w:t>
            </w:r>
          </w:p>
        </w:tc>
        <w:tc>
          <w:tcPr>
            <w:tcW w:w="1525" w:type="dxa"/>
          </w:tcPr>
          <w:p>
            <w:pPr>
              <w:pStyle w:val="TableParagraph"/>
              <w:spacing w:line="256" w:lineRule="exact"/>
              <w:ind w:left="1" w:right="1"/>
              <w:jc w:val="center"/>
              <w:rPr>
                <w:sz w:val="24"/>
              </w:rPr>
            </w:pPr>
            <w:r>
              <w:rPr>
                <w:spacing w:val="-4"/>
                <w:sz w:val="24"/>
              </w:rPr>
              <w:t>2.51</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14</w:t>
            </w:r>
          </w:p>
        </w:tc>
        <w:tc>
          <w:tcPr>
            <w:tcW w:w="3180" w:type="dxa"/>
          </w:tcPr>
          <w:p>
            <w:pPr>
              <w:pStyle w:val="TableParagraph"/>
              <w:spacing w:line="256" w:lineRule="exact"/>
              <w:ind w:left="107"/>
              <w:rPr>
                <w:sz w:val="24"/>
              </w:rPr>
            </w:pPr>
            <w:r>
              <w:rPr>
                <w:sz w:val="24"/>
              </w:rPr>
              <w:t>Pond</w:t>
            </w:r>
            <w:r>
              <w:rPr>
                <w:spacing w:val="-1"/>
                <w:sz w:val="24"/>
              </w:rPr>
              <w:t> </w:t>
            </w:r>
            <w:r>
              <w:rPr>
                <w:sz w:val="24"/>
              </w:rPr>
              <w:t>and </w:t>
            </w:r>
            <w:r>
              <w:rPr>
                <w:spacing w:val="-4"/>
                <w:sz w:val="24"/>
              </w:rPr>
              <w:t>lake</w:t>
            </w:r>
          </w:p>
        </w:tc>
        <w:tc>
          <w:tcPr>
            <w:tcW w:w="1431" w:type="dxa"/>
          </w:tcPr>
          <w:p>
            <w:pPr>
              <w:pStyle w:val="TableParagraph"/>
              <w:spacing w:line="256" w:lineRule="exact"/>
              <w:jc w:val="center"/>
              <w:rPr>
                <w:sz w:val="24"/>
              </w:rPr>
            </w:pPr>
            <w:r>
              <w:rPr>
                <w:spacing w:val="-4"/>
                <w:sz w:val="24"/>
              </w:rPr>
              <w:t>0.00</w:t>
            </w:r>
          </w:p>
        </w:tc>
        <w:tc>
          <w:tcPr>
            <w:tcW w:w="1525" w:type="dxa"/>
          </w:tcPr>
          <w:p>
            <w:pPr>
              <w:pStyle w:val="TableParagraph"/>
              <w:spacing w:line="256" w:lineRule="exact"/>
              <w:ind w:left="1" w:right="1"/>
              <w:jc w:val="center"/>
              <w:rPr>
                <w:sz w:val="24"/>
              </w:rPr>
            </w:pPr>
            <w:r>
              <w:rPr>
                <w:spacing w:val="-4"/>
                <w:sz w:val="24"/>
              </w:rPr>
              <w:t>0.00</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15</w:t>
            </w:r>
          </w:p>
        </w:tc>
        <w:tc>
          <w:tcPr>
            <w:tcW w:w="3180" w:type="dxa"/>
          </w:tcPr>
          <w:p>
            <w:pPr>
              <w:pStyle w:val="TableParagraph"/>
              <w:spacing w:line="256" w:lineRule="exact"/>
              <w:ind w:left="107"/>
              <w:rPr>
                <w:sz w:val="24"/>
              </w:rPr>
            </w:pPr>
            <w:r>
              <w:rPr>
                <w:sz w:val="24"/>
              </w:rPr>
              <w:t>Dugout</w:t>
            </w:r>
            <w:r>
              <w:rPr>
                <w:spacing w:val="-3"/>
                <w:sz w:val="24"/>
              </w:rPr>
              <w:t> </w:t>
            </w:r>
            <w:r>
              <w:rPr>
                <w:sz w:val="24"/>
              </w:rPr>
              <w:t>and</w:t>
            </w:r>
            <w:r>
              <w:rPr>
                <w:spacing w:val="-1"/>
                <w:sz w:val="24"/>
              </w:rPr>
              <w:t> </w:t>
            </w:r>
            <w:r>
              <w:rPr>
                <w:sz w:val="24"/>
              </w:rPr>
              <w:t>shallow</w:t>
            </w:r>
            <w:r>
              <w:rPr>
                <w:spacing w:val="-1"/>
                <w:sz w:val="24"/>
              </w:rPr>
              <w:t> </w:t>
            </w:r>
            <w:r>
              <w:rPr>
                <w:spacing w:val="-4"/>
                <w:sz w:val="24"/>
              </w:rPr>
              <w:t>well</w:t>
            </w:r>
          </w:p>
        </w:tc>
        <w:tc>
          <w:tcPr>
            <w:tcW w:w="1431" w:type="dxa"/>
          </w:tcPr>
          <w:p>
            <w:pPr>
              <w:pStyle w:val="TableParagraph"/>
              <w:spacing w:line="256" w:lineRule="exact"/>
              <w:jc w:val="center"/>
              <w:rPr>
                <w:sz w:val="24"/>
              </w:rPr>
            </w:pPr>
            <w:r>
              <w:rPr>
                <w:spacing w:val="-4"/>
                <w:sz w:val="24"/>
              </w:rPr>
              <w:t>2.80</w:t>
            </w:r>
          </w:p>
        </w:tc>
        <w:tc>
          <w:tcPr>
            <w:tcW w:w="1525" w:type="dxa"/>
          </w:tcPr>
          <w:p>
            <w:pPr>
              <w:pStyle w:val="TableParagraph"/>
              <w:spacing w:line="256" w:lineRule="exact"/>
              <w:ind w:left="1" w:right="1"/>
              <w:jc w:val="center"/>
              <w:rPr>
                <w:sz w:val="24"/>
              </w:rPr>
            </w:pPr>
            <w:r>
              <w:rPr>
                <w:spacing w:val="-4"/>
                <w:sz w:val="24"/>
              </w:rPr>
              <w:t>2.51</w:t>
            </w:r>
          </w:p>
        </w:tc>
        <w:tc>
          <w:tcPr>
            <w:tcW w:w="1013" w:type="dxa"/>
          </w:tcPr>
          <w:p>
            <w:pPr>
              <w:pStyle w:val="TableParagraph"/>
              <w:spacing w:line="256" w:lineRule="exact"/>
              <w:ind w:left="18" w:right="4"/>
              <w:jc w:val="center"/>
              <w:rPr>
                <w:sz w:val="24"/>
              </w:rPr>
            </w:pPr>
            <w:r>
              <w:rPr>
                <w:spacing w:val="-2"/>
                <w:sz w:val="24"/>
              </w:rPr>
              <w:t>11.54</w:t>
            </w:r>
          </w:p>
        </w:tc>
        <w:tc>
          <w:tcPr>
            <w:tcW w:w="1104" w:type="dxa"/>
          </w:tcPr>
          <w:p>
            <w:pPr>
              <w:pStyle w:val="TableParagraph"/>
              <w:spacing w:line="256" w:lineRule="exact"/>
              <w:ind w:left="20"/>
              <w:jc w:val="center"/>
              <w:rPr>
                <w:sz w:val="24"/>
              </w:rPr>
            </w:pPr>
            <w:r>
              <w:rPr>
                <w:spacing w:val="-4"/>
                <w:sz w:val="24"/>
              </w:rPr>
              <w:t>0.93</w:t>
            </w:r>
          </w:p>
        </w:tc>
      </w:tr>
      <w:tr>
        <w:trPr>
          <w:trHeight w:val="276" w:hRule="atLeast"/>
        </w:trPr>
        <w:tc>
          <w:tcPr>
            <w:tcW w:w="605" w:type="dxa"/>
          </w:tcPr>
          <w:p>
            <w:pPr>
              <w:pStyle w:val="TableParagraph"/>
              <w:spacing w:line="256" w:lineRule="exact"/>
              <w:ind w:left="122"/>
              <w:rPr>
                <w:b/>
                <w:sz w:val="24"/>
              </w:rPr>
            </w:pPr>
            <w:r>
              <w:rPr>
                <w:b/>
                <w:spacing w:val="-5"/>
                <w:sz w:val="24"/>
              </w:rPr>
              <w:t>16</w:t>
            </w:r>
          </w:p>
        </w:tc>
        <w:tc>
          <w:tcPr>
            <w:tcW w:w="3180" w:type="dxa"/>
          </w:tcPr>
          <w:p>
            <w:pPr>
              <w:pStyle w:val="TableParagraph"/>
              <w:spacing w:line="256" w:lineRule="exact"/>
              <w:ind w:left="107"/>
              <w:rPr>
                <w:sz w:val="24"/>
              </w:rPr>
            </w:pPr>
            <w:r>
              <w:rPr>
                <w:spacing w:val="-5"/>
                <w:sz w:val="24"/>
              </w:rPr>
              <w:t>Dam</w:t>
            </w:r>
          </w:p>
        </w:tc>
        <w:tc>
          <w:tcPr>
            <w:tcW w:w="1431" w:type="dxa"/>
          </w:tcPr>
          <w:p>
            <w:pPr>
              <w:pStyle w:val="TableParagraph"/>
              <w:spacing w:line="256" w:lineRule="exact"/>
              <w:jc w:val="center"/>
              <w:rPr>
                <w:sz w:val="24"/>
              </w:rPr>
            </w:pPr>
            <w:r>
              <w:rPr>
                <w:spacing w:val="-4"/>
                <w:sz w:val="24"/>
              </w:rPr>
              <w:t>0.00</w:t>
            </w:r>
          </w:p>
        </w:tc>
        <w:tc>
          <w:tcPr>
            <w:tcW w:w="1525" w:type="dxa"/>
          </w:tcPr>
          <w:p>
            <w:pPr>
              <w:pStyle w:val="TableParagraph"/>
              <w:spacing w:line="256" w:lineRule="exact"/>
              <w:ind w:left="1" w:right="1"/>
              <w:jc w:val="center"/>
              <w:rPr>
                <w:sz w:val="24"/>
              </w:rPr>
            </w:pPr>
            <w:r>
              <w:rPr>
                <w:spacing w:val="-4"/>
                <w:sz w:val="24"/>
              </w:rPr>
              <w:t>0.00</w:t>
            </w:r>
          </w:p>
        </w:tc>
        <w:tc>
          <w:tcPr>
            <w:tcW w:w="1013" w:type="dxa"/>
          </w:tcPr>
          <w:p>
            <w:pPr>
              <w:pStyle w:val="TableParagraph"/>
              <w:spacing w:line="256" w:lineRule="exact"/>
              <w:ind w:left="18" w:right="4"/>
              <w:jc w:val="center"/>
              <w:rPr>
                <w:sz w:val="24"/>
              </w:rPr>
            </w:pPr>
            <w:r>
              <w:rPr>
                <w:spacing w:val="-4"/>
                <w:sz w:val="24"/>
              </w:rPr>
              <w:t>0.00</w:t>
            </w:r>
          </w:p>
        </w:tc>
        <w:tc>
          <w:tcPr>
            <w:tcW w:w="1104" w:type="dxa"/>
          </w:tcPr>
          <w:p>
            <w:pPr>
              <w:pStyle w:val="TableParagraph"/>
              <w:spacing w:line="256" w:lineRule="exact"/>
              <w:ind w:left="20"/>
              <w:jc w:val="center"/>
              <w:rPr>
                <w:sz w:val="24"/>
              </w:rPr>
            </w:pPr>
            <w:r>
              <w:rPr>
                <w:spacing w:val="-4"/>
                <w:sz w:val="24"/>
              </w:rPr>
              <w:t>0.00</w:t>
            </w:r>
          </w:p>
        </w:tc>
      </w:tr>
      <w:tr>
        <w:trPr>
          <w:trHeight w:val="275" w:hRule="atLeast"/>
        </w:trPr>
        <w:tc>
          <w:tcPr>
            <w:tcW w:w="605" w:type="dxa"/>
          </w:tcPr>
          <w:p>
            <w:pPr>
              <w:pStyle w:val="TableParagraph"/>
              <w:spacing w:line="256" w:lineRule="exact"/>
              <w:ind w:left="122"/>
              <w:rPr>
                <w:b/>
                <w:sz w:val="24"/>
              </w:rPr>
            </w:pPr>
            <w:r>
              <w:rPr>
                <w:b/>
                <w:spacing w:val="-5"/>
                <w:sz w:val="24"/>
              </w:rPr>
              <w:t>17</w:t>
            </w:r>
          </w:p>
        </w:tc>
        <w:tc>
          <w:tcPr>
            <w:tcW w:w="3180" w:type="dxa"/>
          </w:tcPr>
          <w:p>
            <w:pPr>
              <w:pStyle w:val="TableParagraph"/>
              <w:spacing w:line="256" w:lineRule="exact"/>
              <w:ind w:left="107"/>
              <w:rPr>
                <w:sz w:val="24"/>
              </w:rPr>
            </w:pPr>
            <w:r>
              <w:rPr>
                <w:sz w:val="24"/>
              </w:rPr>
              <w:t>Sachet</w:t>
            </w:r>
            <w:r>
              <w:rPr>
                <w:spacing w:val="-5"/>
                <w:sz w:val="24"/>
              </w:rPr>
              <w:t> </w:t>
            </w:r>
            <w:r>
              <w:rPr>
                <w:spacing w:val="-2"/>
                <w:sz w:val="24"/>
              </w:rPr>
              <w:t>water</w:t>
            </w:r>
          </w:p>
        </w:tc>
        <w:tc>
          <w:tcPr>
            <w:tcW w:w="1431" w:type="dxa"/>
          </w:tcPr>
          <w:p>
            <w:pPr>
              <w:pStyle w:val="TableParagraph"/>
              <w:spacing w:line="256" w:lineRule="exact"/>
              <w:jc w:val="center"/>
              <w:rPr>
                <w:sz w:val="24"/>
              </w:rPr>
            </w:pPr>
            <w:r>
              <w:rPr>
                <w:spacing w:val="-4"/>
                <w:sz w:val="24"/>
              </w:rPr>
              <w:t>0.00</w:t>
            </w:r>
          </w:p>
        </w:tc>
        <w:tc>
          <w:tcPr>
            <w:tcW w:w="1525" w:type="dxa"/>
          </w:tcPr>
          <w:p>
            <w:pPr>
              <w:pStyle w:val="TableParagraph"/>
              <w:spacing w:line="256" w:lineRule="exact"/>
              <w:ind w:left="1" w:right="1"/>
              <w:jc w:val="center"/>
              <w:rPr>
                <w:sz w:val="24"/>
              </w:rPr>
            </w:pPr>
            <w:r>
              <w:rPr>
                <w:spacing w:val="-4"/>
                <w:sz w:val="24"/>
              </w:rPr>
              <w:t>7.54</w:t>
            </w:r>
          </w:p>
        </w:tc>
        <w:tc>
          <w:tcPr>
            <w:tcW w:w="1013" w:type="dxa"/>
          </w:tcPr>
          <w:p>
            <w:pPr>
              <w:pStyle w:val="TableParagraph"/>
              <w:spacing w:line="256" w:lineRule="exact"/>
              <w:ind w:left="18" w:right="4"/>
              <w:jc w:val="center"/>
              <w:rPr>
                <w:sz w:val="24"/>
              </w:rPr>
            </w:pPr>
            <w:r>
              <w:rPr>
                <w:spacing w:val="-2"/>
                <w:sz w:val="24"/>
              </w:rPr>
              <w:t>15.38</w:t>
            </w:r>
          </w:p>
        </w:tc>
        <w:tc>
          <w:tcPr>
            <w:tcW w:w="1104" w:type="dxa"/>
          </w:tcPr>
          <w:p>
            <w:pPr>
              <w:pStyle w:val="TableParagraph"/>
              <w:spacing w:line="256" w:lineRule="exact"/>
              <w:ind w:left="20"/>
              <w:jc w:val="center"/>
              <w:rPr>
                <w:sz w:val="24"/>
              </w:rPr>
            </w:pPr>
            <w:r>
              <w:rPr>
                <w:spacing w:val="-4"/>
                <w:sz w:val="24"/>
              </w:rPr>
              <w:t>4.65</w:t>
            </w:r>
          </w:p>
        </w:tc>
      </w:tr>
      <w:tr>
        <w:trPr>
          <w:trHeight w:val="273" w:hRule="atLeast"/>
        </w:trPr>
        <w:tc>
          <w:tcPr>
            <w:tcW w:w="605" w:type="dxa"/>
          </w:tcPr>
          <w:p>
            <w:pPr>
              <w:pStyle w:val="TableParagraph"/>
              <w:rPr>
                <w:sz w:val="20"/>
              </w:rPr>
            </w:pPr>
          </w:p>
        </w:tc>
        <w:tc>
          <w:tcPr>
            <w:tcW w:w="3180" w:type="dxa"/>
          </w:tcPr>
          <w:p>
            <w:pPr>
              <w:pStyle w:val="TableParagraph"/>
              <w:spacing w:line="254" w:lineRule="exact"/>
              <w:ind w:left="107"/>
              <w:rPr>
                <w:sz w:val="24"/>
              </w:rPr>
            </w:pPr>
            <w:r>
              <w:rPr>
                <w:sz w:val="24"/>
              </w:rPr>
              <w:t>Respondents</w:t>
            </w:r>
            <w:r>
              <w:rPr>
                <w:spacing w:val="-1"/>
                <w:sz w:val="24"/>
              </w:rPr>
              <w:t> </w:t>
            </w:r>
            <w:r>
              <w:rPr>
                <w:sz w:val="24"/>
              </w:rPr>
              <w:t>with</w:t>
            </w:r>
            <w:r>
              <w:rPr>
                <w:spacing w:val="-1"/>
                <w:sz w:val="24"/>
              </w:rPr>
              <w:t> </w:t>
            </w:r>
            <w:r>
              <w:rPr>
                <w:sz w:val="24"/>
              </w:rPr>
              <w:t>pipe</w:t>
            </w:r>
            <w:r>
              <w:rPr>
                <w:spacing w:val="-1"/>
                <w:sz w:val="24"/>
              </w:rPr>
              <w:t> </w:t>
            </w:r>
            <w:r>
              <w:rPr>
                <w:spacing w:val="-2"/>
                <w:sz w:val="24"/>
              </w:rPr>
              <w:t>water</w:t>
            </w:r>
          </w:p>
        </w:tc>
        <w:tc>
          <w:tcPr>
            <w:tcW w:w="1431" w:type="dxa"/>
          </w:tcPr>
          <w:p>
            <w:pPr>
              <w:pStyle w:val="TableParagraph"/>
              <w:spacing w:line="254" w:lineRule="exact"/>
              <w:jc w:val="center"/>
              <w:rPr>
                <w:sz w:val="24"/>
              </w:rPr>
            </w:pPr>
            <w:r>
              <w:rPr>
                <w:spacing w:val="-2"/>
                <w:sz w:val="24"/>
              </w:rPr>
              <w:t>43.92%</w:t>
            </w:r>
          </w:p>
        </w:tc>
        <w:tc>
          <w:tcPr>
            <w:tcW w:w="1525" w:type="dxa"/>
          </w:tcPr>
          <w:p>
            <w:pPr>
              <w:pStyle w:val="TableParagraph"/>
              <w:spacing w:line="254" w:lineRule="exact"/>
              <w:ind w:left="1" w:right="1"/>
              <w:jc w:val="center"/>
              <w:rPr>
                <w:sz w:val="24"/>
              </w:rPr>
            </w:pPr>
            <w:r>
              <w:rPr>
                <w:spacing w:val="-2"/>
                <w:sz w:val="24"/>
              </w:rPr>
              <w:t>3.52%</w:t>
            </w:r>
          </w:p>
        </w:tc>
        <w:tc>
          <w:tcPr>
            <w:tcW w:w="1013" w:type="dxa"/>
          </w:tcPr>
          <w:p>
            <w:pPr>
              <w:pStyle w:val="TableParagraph"/>
              <w:spacing w:line="254" w:lineRule="exact"/>
              <w:ind w:left="18" w:right="1"/>
              <w:jc w:val="center"/>
              <w:rPr>
                <w:sz w:val="24"/>
              </w:rPr>
            </w:pPr>
            <w:r>
              <w:rPr>
                <w:spacing w:val="-2"/>
                <w:sz w:val="24"/>
              </w:rPr>
              <w:t>0.00%</w:t>
            </w:r>
          </w:p>
        </w:tc>
        <w:tc>
          <w:tcPr>
            <w:tcW w:w="1104" w:type="dxa"/>
          </w:tcPr>
          <w:p>
            <w:pPr>
              <w:pStyle w:val="TableParagraph"/>
              <w:spacing w:line="254" w:lineRule="exact"/>
              <w:ind w:left="20" w:right="2"/>
              <w:jc w:val="center"/>
              <w:rPr>
                <w:sz w:val="24"/>
              </w:rPr>
            </w:pPr>
            <w:r>
              <w:rPr>
                <w:spacing w:val="-2"/>
                <w:sz w:val="24"/>
              </w:rPr>
              <w:t>28.83%</w:t>
            </w:r>
          </w:p>
        </w:tc>
      </w:tr>
      <w:tr>
        <w:trPr>
          <w:trHeight w:val="275" w:hRule="atLeast"/>
        </w:trPr>
        <w:tc>
          <w:tcPr>
            <w:tcW w:w="605" w:type="dxa"/>
          </w:tcPr>
          <w:p>
            <w:pPr>
              <w:pStyle w:val="TableParagraph"/>
              <w:rPr>
                <w:sz w:val="20"/>
              </w:rPr>
            </w:pPr>
          </w:p>
        </w:tc>
        <w:tc>
          <w:tcPr>
            <w:tcW w:w="3180" w:type="dxa"/>
          </w:tcPr>
          <w:p>
            <w:pPr>
              <w:pStyle w:val="TableParagraph"/>
              <w:spacing w:line="256" w:lineRule="exact"/>
              <w:ind w:left="107"/>
              <w:rPr>
                <w:sz w:val="24"/>
              </w:rPr>
            </w:pPr>
            <w:r>
              <w:rPr>
                <w:sz w:val="24"/>
              </w:rPr>
              <w:t>Water</w:t>
            </w:r>
            <w:r>
              <w:rPr>
                <w:spacing w:val="-4"/>
                <w:sz w:val="24"/>
              </w:rPr>
              <w:t> </w:t>
            </w:r>
            <w:r>
              <w:rPr>
                <w:sz w:val="24"/>
              </w:rPr>
              <w:t>from</w:t>
            </w:r>
            <w:r>
              <w:rPr>
                <w:spacing w:val="-1"/>
                <w:sz w:val="24"/>
              </w:rPr>
              <w:t> </w:t>
            </w:r>
            <w:r>
              <w:rPr>
                <w:sz w:val="24"/>
              </w:rPr>
              <w:t>improved</w:t>
            </w:r>
            <w:r>
              <w:rPr>
                <w:spacing w:val="-1"/>
                <w:sz w:val="24"/>
              </w:rPr>
              <w:t> </w:t>
            </w:r>
            <w:r>
              <w:rPr>
                <w:spacing w:val="-2"/>
                <w:sz w:val="24"/>
              </w:rPr>
              <w:t>sources</w:t>
            </w:r>
          </w:p>
        </w:tc>
        <w:tc>
          <w:tcPr>
            <w:tcW w:w="1431" w:type="dxa"/>
          </w:tcPr>
          <w:p>
            <w:pPr>
              <w:pStyle w:val="TableParagraph"/>
              <w:spacing w:line="256" w:lineRule="exact"/>
              <w:jc w:val="center"/>
              <w:rPr>
                <w:sz w:val="24"/>
              </w:rPr>
            </w:pPr>
            <w:r>
              <w:rPr>
                <w:spacing w:val="-2"/>
                <w:sz w:val="24"/>
              </w:rPr>
              <w:t>77.57%</w:t>
            </w:r>
          </w:p>
        </w:tc>
        <w:tc>
          <w:tcPr>
            <w:tcW w:w="1525" w:type="dxa"/>
          </w:tcPr>
          <w:p>
            <w:pPr>
              <w:pStyle w:val="TableParagraph"/>
              <w:spacing w:line="256" w:lineRule="exact"/>
              <w:ind w:left="1" w:right="1"/>
              <w:jc w:val="center"/>
              <w:rPr>
                <w:sz w:val="24"/>
              </w:rPr>
            </w:pPr>
            <w:r>
              <w:rPr>
                <w:spacing w:val="-2"/>
                <w:sz w:val="24"/>
              </w:rPr>
              <w:t>61.83%</w:t>
            </w:r>
          </w:p>
        </w:tc>
        <w:tc>
          <w:tcPr>
            <w:tcW w:w="1013" w:type="dxa"/>
          </w:tcPr>
          <w:p>
            <w:pPr>
              <w:pStyle w:val="TableParagraph"/>
              <w:spacing w:line="256" w:lineRule="exact"/>
              <w:ind w:left="18" w:right="1"/>
              <w:jc w:val="center"/>
              <w:rPr>
                <w:sz w:val="24"/>
              </w:rPr>
            </w:pPr>
            <w:r>
              <w:rPr>
                <w:spacing w:val="-2"/>
                <w:sz w:val="24"/>
              </w:rPr>
              <w:t>53.85%</w:t>
            </w:r>
          </w:p>
        </w:tc>
        <w:tc>
          <w:tcPr>
            <w:tcW w:w="1104" w:type="dxa"/>
          </w:tcPr>
          <w:p>
            <w:pPr>
              <w:pStyle w:val="TableParagraph"/>
              <w:spacing w:line="256" w:lineRule="exact"/>
              <w:ind w:left="20" w:right="2"/>
              <w:jc w:val="center"/>
              <w:rPr>
                <w:sz w:val="24"/>
              </w:rPr>
            </w:pPr>
            <w:r>
              <w:rPr>
                <w:spacing w:val="-2"/>
                <w:sz w:val="24"/>
              </w:rPr>
              <w:t>66.51%</w:t>
            </w:r>
          </w:p>
        </w:tc>
      </w:tr>
      <w:tr>
        <w:trPr>
          <w:trHeight w:val="552" w:hRule="atLeast"/>
        </w:trPr>
        <w:tc>
          <w:tcPr>
            <w:tcW w:w="605" w:type="dxa"/>
          </w:tcPr>
          <w:p>
            <w:pPr>
              <w:pStyle w:val="TableParagraph"/>
              <w:rPr>
                <w:sz w:val="24"/>
              </w:rPr>
            </w:pPr>
          </w:p>
        </w:tc>
        <w:tc>
          <w:tcPr>
            <w:tcW w:w="3180" w:type="dxa"/>
          </w:tcPr>
          <w:p>
            <w:pPr>
              <w:pStyle w:val="TableParagraph"/>
              <w:tabs>
                <w:tab w:pos="1069" w:val="left" w:leader="none"/>
                <w:tab w:pos="1911" w:val="left" w:leader="none"/>
              </w:tabs>
              <w:spacing w:line="271" w:lineRule="exact"/>
              <w:ind w:left="107"/>
              <w:rPr>
                <w:sz w:val="24"/>
              </w:rPr>
            </w:pPr>
            <w:r>
              <w:rPr>
                <w:spacing w:val="-2"/>
                <w:sz w:val="24"/>
              </w:rPr>
              <w:t>Water</w:t>
            </w:r>
            <w:r>
              <w:rPr>
                <w:sz w:val="24"/>
              </w:rPr>
              <w:tab/>
            </w:r>
            <w:r>
              <w:rPr>
                <w:spacing w:val="-4"/>
                <w:sz w:val="24"/>
              </w:rPr>
              <w:t>from</w:t>
            </w:r>
            <w:r>
              <w:rPr>
                <w:sz w:val="24"/>
              </w:rPr>
              <w:tab/>
            </w:r>
            <w:r>
              <w:rPr>
                <w:spacing w:val="-2"/>
                <w:sz w:val="24"/>
              </w:rPr>
              <w:t>unimproved</w:t>
            </w:r>
          </w:p>
          <w:p>
            <w:pPr>
              <w:pStyle w:val="TableParagraph"/>
              <w:spacing w:line="261" w:lineRule="exact"/>
              <w:ind w:left="107"/>
              <w:rPr>
                <w:sz w:val="24"/>
              </w:rPr>
            </w:pPr>
            <w:r>
              <w:rPr>
                <w:spacing w:val="-2"/>
                <w:sz w:val="24"/>
              </w:rPr>
              <w:t>sources</w:t>
            </w:r>
          </w:p>
        </w:tc>
        <w:tc>
          <w:tcPr>
            <w:tcW w:w="1431" w:type="dxa"/>
          </w:tcPr>
          <w:p>
            <w:pPr>
              <w:pStyle w:val="TableParagraph"/>
              <w:spacing w:line="271" w:lineRule="exact"/>
              <w:jc w:val="center"/>
              <w:rPr>
                <w:sz w:val="24"/>
              </w:rPr>
            </w:pPr>
            <w:r>
              <w:rPr>
                <w:spacing w:val="-2"/>
                <w:sz w:val="24"/>
              </w:rPr>
              <w:t>22.43%</w:t>
            </w:r>
          </w:p>
        </w:tc>
        <w:tc>
          <w:tcPr>
            <w:tcW w:w="1525" w:type="dxa"/>
          </w:tcPr>
          <w:p>
            <w:pPr>
              <w:pStyle w:val="TableParagraph"/>
              <w:spacing w:line="271" w:lineRule="exact"/>
              <w:ind w:left="1" w:right="1"/>
              <w:jc w:val="center"/>
              <w:rPr>
                <w:sz w:val="24"/>
              </w:rPr>
            </w:pPr>
            <w:r>
              <w:rPr>
                <w:spacing w:val="-2"/>
                <w:sz w:val="24"/>
              </w:rPr>
              <w:t>38.17%</w:t>
            </w:r>
          </w:p>
        </w:tc>
        <w:tc>
          <w:tcPr>
            <w:tcW w:w="1013" w:type="dxa"/>
          </w:tcPr>
          <w:p>
            <w:pPr>
              <w:pStyle w:val="TableParagraph"/>
              <w:spacing w:line="271" w:lineRule="exact"/>
              <w:ind w:left="18" w:right="1"/>
              <w:jc w:val="center"/>
              <w:rPr>
                <w:sz w:val="24"/>
              </w:rPr>
            </w:pPr>
            <w:r>
              <w:rPr>
                <w:spacing w:val="-2"/>
                <w:sz w:val="24"/>
              </w:rPr>
              <w:t>46.15%</w:t>
            </w:r>
          </w:p>
        </w:tc>
        <w:tc>
          <w:tcPr>
            <w:tcW w:w="1104" w:type="dxa"/>
          </w:tcPr>
          <w:p>
            <w:pPr>
              <w:pStyle w:val="TableParagraph"/>
              <w:spacing w:line="271" w:lineRule="exact"/>
              <w:ind w:left="20" w:right="2"/>
              <w:jc w:val="center"/>
              <w:rPr>
                <w:sz w:val="24"/>
              </w:rPr>
            </w:pPr>
            <w:r>
              <w:rPr>
                <w:spacing w:val="-2"/>
                <w:sz w:val="24"/>
              </w:rPr>
              <w:t>33.49%</w:t>
            </w:r>
          </w:p>
        </w:tc>
      </w:tr>
      <w:tr>
        <w:trPr>
          <w:trHeight w:val="275" w:hRule="atLeast"/>
        </w:trPr>
        <w:tc>
          <w:tcPr>
            <w:tcW w:w="605" w:type="dxa"/>
          </w:tcPr>
          <w:p>
            <w:pPr>
              <w:pStyle w:val="TableParagraph"/>
              <w:rPr>
                <w:sz w:val="20"/>
              </w:rPr>
            </w:pPr>
          </w:p>
        </w:tc>
        <w:tc>
          <w:tcPr>
            <w:tcW w:w="3180" w:type="dxa"/>
          </w:tcPr>
          <w:p>
            <w:pPr>
              <w:pStyle w:val="TableParagraph"/>
              <w:spacing w:line="256"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respondents</w:t>
            </w:r>
          </w:p>
        </w:tc>
        <w:tc>
          <w:tcPr>
            <w:tcW w:w="1431" w:type="dxa"/>
          </w:tcPr>
          <w:p>
            <w:pPr>
              <w:pStyle w:val="TableParagraph"/>
              <w:spacing w:line="256" w:lineRule="exact"/>
              <w:jc w:val="center"/>
              <w:rPr>
                <w:sz w:val="24"/>
              </w:rPr>
            </w:pPr>
            <w:r>
              <w:rPr>
                <w:spacing w:val="-5"/>
                <w:sz w:val="24"/>
              </w:rPr>
              <w:t>69</w:t>
            </w:r>
          </w:p>
        </w:tc>
        <w:tc>
          <w:tcPr>
            <w:tcW w:w="1525" w:type="dxa"/>
          </w:tcPr>
          <w:p>
            <w:pPr>
              <w:pStyle w:val="TableParagraph"/>
              <w:spacing w:line="256" w:lineRule="exact"/>
              <w:ind w:right="1"/>
              <w:jc w:val="center"/>
              <w:rPr>
                <w:sz w:val="24"/>
              </w:rPr>
            </w:pPr>
            <w:r>
              <w:rPr>
                <w:spacing w:val="-5"/>
                <w:sz w:val="24"/>
              </w:rPr>
              <w:t>65</w:t>
            </w:r>
          </w:p>
        </w:tc>
        <w:tc>
          <w:tcPr>
            <w:tcW w:w="1013" w:type="dxa"/>
          </w:tcPr>
          <w:p>
            <w:pPr>
              <w:pStyle w:val="TableParagraph"/>
              <w:spacing w:line="256" w:lineRule="exact"/>
              <w:ind w:left="18"/>
              <w:jc w:val="center"/>
              <w:rPr>
                <w:sz w:val="24"/>
              </w:rPr>
            </w:pPr>
            <w:r>
              <w:rPr>
                <w:spacing w:val="-5"/>
                <w:sz w:val="24"/>
              </w:rPr>
              <w:t>15</w:t>
            </w:r>
          </w:p>
        </w:tc>
        <w:tc>
          <w:tcPr>
            <w:tcW w:w="1104" w:type="dxa"/>
          </w:tcPr>
          <w:p>
            <w:pPr>
              <w:pStyle w:val="TableParagraph"/>
              <w:spacing w:line="256" w:lineRule="exact"/>
              <w:ind w:left="20" w:right="2"/>
              <w:jc w:val="center"/>
              <w:rPr>
                <w:sz w:val="24"/>
              </w:rPr>
            </w:pPr>
            <w:r>
              <w:rPr>
                <w:spacing w:val="-5"/>
                <w:sz w:val="24"/>
              </w:rPr>
              <w:t>75</w:t>
            </w:r>
          </w:p>
        </w:tc>
      </w:tr>
      <w:tr>
        <w:trPr>
          <w:trHeight w:val="280" w:hRule="atLeast"/>
        </w:trPr>
        <w:tc>
          <w:tcPr>
            <w:tcW w:w="605" w:type="dxa"/>
            <w:tcBorders>
              <w:bottom w:val="single" w:sz="8" w:space="0" w:color="000000"/>
            </w:tcBorders>
          </w:tcPr>
          <w:p>
            <w:pPr>
              <w:pStyle w:val="TableParagraph"/>
              <w:rPr>
                <w:sz w:val="20"/>
              </w:rPr>
            </w:pPr>
          </w:p>
        </w:tc>
        <w:tc>
          <w:tcPr>
            <w:tcW w:w="3180" w:type="dxa"/>
            <w:tcBorders>
              <w:bottom w:val="single" w:sz="8" w:space="0" w:color="000000"/>
            </w:tcBorders>
          </w:tcPr>
          <w:p>
            <w:pPr>
              <w:pStyle w:val="TableParagraph"/>
              <w:spacing w:line="261" w:lineRule="exact"/>
              <w:ind w:left="107"/>
              <w:rPr>
                <w:sz w:val="24"/>
              </w:rPr>
            </w:pPr>
            <w:r>
              <w:rPr>
                <w:sz w:val="24"/>
              </w:rPr>
              <w:t>Total</w:t>
            </w:r>
            <w:r>
              <w:rPr>
                <w:spacing w:val="-1"/>
                <w:sz w:val="24"/>
              </w:rPr>
              <w:t> </w:t>
            </w:r>
            <w:r>
              <w:rPr>
                <w:sz w:val="24"/>
              </w:rPr>
              <w:t>number</w:t>
            </w:r>
            <w:r>
              <w:rPr>
                <w:spacing w:val="-1"/>
                <w:sz w:val="24"/>
              </w:rPr>
              <w:t> </w:t>
            </w:r>
            <w:r>
              <w:rPr>
                <w:sz w:val="24"/>
              </w:rPr>
              <w:t>of</w:t>
            </w:r>
            <w:r>
              <w:rPr>
                <w:spacing w:val="-2"/>
                <w:sz w:val="24"/>
              </w:rPr>
              <w:t> responses</w:t>
            </w:r>
          </w:p>
        </w:tc>
        <w:tc>
          <w:tcPr>
            <w:tcW w:w="1431" w:type="dxa"/>
            <w:tcBorders>
              <w:bottom w:val="single" w:sz="8" w:space="0" w:color="000000"/>
            </w:tcBorders>
          </w:tcPr>
          <w:p>
            <w:pPr>
              <w:pStyle w:val="TableParagraph"/>
              <w:spacing w:line="261" w:lineRule="exact"/>
              <w:jc w:val="center"/>
              <w:rPr>
                <w:sz w:val="24"/>
              </w:rPr>
            </w:pPr>
            <w:r>
              <w:rPr>
                <w:spacing w:val="-5"/>
                <w:sz w:val="24"/>
              </w:rPr>
              <w:t>107</w:t>
            </w:r>
          </w:p>
        </w:tc>
        <w:tc>
          <w:tcPr>
            <w:tcW w:w="1525" w:type="dxa"/>
            <w:tcBorders>
              <w:bottom w:val="single" w:sz="8" w:space="0" w:color="000000"/>
            </w:tcBorders>
          </w:tcPr>
          <w:p>
            <w:pPr>
              <w:pStyle w:val="TableParagraph"/>
              <w:spacing w:line="261" w:lineRule="exact"/>
              <w:ind w:right="1"/>
              <w:jc w:val="center"/>
              <w:rPr>
                <w:sz w:val="24"/>
              </w:rPr>
            </w:pPr>
            <w:r>
              <w:rPr>
                <w:spacing w:val="-5"/>
                <w:sz w:val="24"/>
              </w:rPr>
              <w:t>199</w:t>
            </w:r>
          </w:p>
        </w:tc>
        <w:tc>
          <w:tcPr>
            <w:tcW w:w="1013" w:type="dxa"/>
            <w:tcBorders>
              <w:bottom w:val="single" w:sz="8" w:space="0" w:color="000000"/>
            </w:tcBorders>
          </w:tcPr>
          <w:p>
            <w:pPr>
              <w:pStyle w:val="TableParagraph"/>
              <w:spacing w:line="261" w:lineRule="exact"/>
              <w:ind w:left="18"/>
              <w:jc w:val="center"/>
              <w:rPr>
                <w:sz w:val="24"/>
              </w:rPr>
            </w:pPr>
            <w:r>
              <w:rPr>
                <w:spacing w:val="-5"/>
                <w:sz w:val="24"/>
              </w:rPr>
              <w:t>26</w:t>
            </w:r>
          </w:p>
        </w:tc>
        <w:tc>
          <w:tcPr>
            <w:tcW w:w="1104" w:type="dxa"/>
            <w:tcBorders>
              <w:bottom w:val="single" w:sz="8" w:space="0" w:color="000000"/>
            </w:tcBorders>
          </w:tcPr>
          <w:p>
            <w:pPr>
              <w:pStyle w:val="TableParagraph"/>
              <w:spacing w:line="261" w:lineRule="exact"/>
              <w:ind w:left="20" w:right="2"/>
              <w:jc w:val="center"/>
              <w:rPr>
                <w:sz w:val="24"/>
              </w:rPr>
            </w:pPr>
            <w:r>
              <w:rPr>
                <w:spacing w:val="-5"/>
                <w:sz w:val="24"/>
              </w:rPr>
              <w:t>215</w:t>
            </w:r>
          </w:p>
        </w:tc>
      </w:tr>
    </w:tbl>
    <w:p>
      <w:pPr>
        <w:pStyle w:val="BodyText"/>
        <w:spacing w:before="245"/>
        <w:rPr>
          <w:b/>
        </w:rPr>
      </w:pPr>
    </w:p>
    <w:p>
      <w:pPr>
        <w:pStyle w:val="BodyText"/>
        <w:spacing w:line="480" w:lineRule="auto" w:before="1"/>
        <w:ind w:left="267" w:right="728"/>
        <w:jc w:val="both"/>
      </w:pPr>
      <w:r>
        <w:rPr/>
        <w:t>As shown in Table 4.7, about 43.92% of the respondents in Dutsenkura, 28.83% in Minna- Central</w:t>
      </w:r>
      <w:r>
        <w:rPr>
          <w:spacing w:val="-9"/>
        </w:rPr>
        <w:t> </w:t>
      </w:r>
      <w:r>
        <w:rPr/>
        <w:t>and</w:t>
      </w:r>
      <w:r>
        <w:rPr>
          <w:spacing w:val="-10"/>
        </w:rPr>
        <w:t> </w:t>
      </w:r>
      <w:r>
        <w:rPr/>
        <w:t>only</w:t>
      </w:r>
      <w:r>
        <w:rPr>
          <w:spacing w:val="-14"/>
        </w:rPr>
        <w:t> </w:t>
      </w:r>
      <w:r>
        <w:rPr/>
        <w:t>3.52%</w:t>
      </w:r>
      <w:r>
        <w:rPr>
          <w:spacing w:val="-10"/>
        </w:rPr>
        <w:t> </w:t>
      </w:r>
      <w:r>
        <w:rPr/>
        <w:t>in</w:t>
      </w:r>
      <w:r>
        <w:rPr>
          <w:spacing w:val="-9"/>
        </w:rPr>
        <w:t> </w:t>
      </w:r>
      <w:r>
        <w:rPr/>
        <w:t>Tudun-Wada</w:t>
      </w:r>
      <w:r>
        <w:rPr>
          <w:spacing w:val="-11"/>
        </w:rPr>
        <w:t> </w:t>
      </w:r>
      <w:r>
        <w:rPr/>
        <w:t>reported</w:t>
      </w:r>
      <w:r>
        <w:rPr>
          <w:spacing w:val="-10"/>
        </w:rPr>
        <w:t> </w:t>
      </w:r>
      <w:r>
        <w:rPr/>
        <w:t>the</w:t>
      </w:r>
      <w:r>
        <w:rPr>
          <w:spacing w:val="-10"/>
        </w:rPr>
        <w:t> </w:t>
      </w:r>
      <w:r>
        <w:rPr/>
        <w:t>use</w:t>
      </w:r>
      <w:r>
        <w:rPr>
          <w:spacing w:val="-9"/>
        </w:rPr>
        <w:t> </w:t>
      </w:r>
      <w:r>
        <w:rPr/>
        <w:t>of</w:t>
      </w:r>
      <w:r>
        <w:rPr>
          <w:spacing w:val="-10"/>
        </w:rPr>
        <w:t> </w:t>
      </w:r>
      <w:r>
        <w:rPr/>
        <w:t>pipe</w:t>
      </w:r>
      <w:r>
        <w:rPr>
          <w:spacing w:val="-10"/>
        </w:rPr>
        <w:t> </w:t>
      </w:r>
      <w:r>
        <w:rPr/>
        <w:t>water</w:t>
      </w:r>
      <w:r>
        <w:rPr>
          <w:spacing w:val="-11"/>
        </w:rPr>
        <w:t> </w:t>
      </w:r>
      <w:r>
        <w:rPr/>
        <w:t>supply</w:t>
      </w:r>
      <w:r>
        <w:rPr>
          <w:spacing w:val="-13"/>
        </w:rPr>
        <w:t> </w:t>
      </w:r>
      <w:r>
        <w:rPr/>
        <w:t>(into</w:t>
      </w:r>
      <w:r>
        <w:rPr>
          <w:spacing w:val="-9"/>
        </w:rPr>
        <w:t> </w:t>
      </w:r>
      <w:r>
        <w:rPr/>
        <w:t>dwelling, plot or from neighbor) as their source of household domestic use. Surprisingly, responses from</w:t>
      </w:r>
      <w:r>
        <w:rPr>
          <w:spacing w:val="-4"/>
        </w:rPr>
        <w:t> </w:t>
      </w:r>
      <w:r>
        <w:rPr/>
        <w:t>the</w:t>
      </w:r>
      <w:r>
        <w:rPr>
          <w:spacing w:val="-2"/>
        </w:rPr>
        <w:t> </w:t>
      </w:r>
      <w:r>
        <w:rPr/>
        <w:t>respondents</w:t>
      </w:r>
      <w:r>
        <w:rPr>
          <w:spacing w:val="-4"/>
        </w:rPr>
        <w:t> </w:t>
      </w:r>
      <w:r>
        <w:rPr/>
        <w:t>in</w:t>
      </w:r>
      <w:r>
        <w:rPr>
          <w:spacing w:val="-2"/>
        </w:rPr>
        <w:t> </w:t>
      </w:r>
      <w:r>
        <w:rPr/>
        <w:t>F-Layout</w:t>
      </w:r>
      <w:r>
        <w:rPr>
          <w:spacing w:val="-2"/>
        </w:rPr>
        <w:t> </w:t>
      </w:r>
      <w:r>
        <w:rPr/>
        <w:t>showed</w:t>
      </w:r>
      <w:r>
        <w:rPr>
          <w:spacing w:val="-5"/>
        </w:rPr>
        <w:t> </w:t>
      </w:r>
      <w:r>
        <w:rPr/>
        <w:t>the</w:t>
      </w:r>
      <w:r>
        <w:rPr>
          <w:spacing w:val="-6"/>
        </w:rPr>
        <w:t> </w:t>
      </w:r>
      <w:r>
        <w:rPr/>
        <w:t>absence</w:t>
      </w:r>
      <w:r>
        <w:rPr>
          <w:spacing w:val="-4"/>
        </w:rPr>
        <w:t> </w:t>
      </w:r>
      <w:r>
        <w:rPr/>
        <w:t>of</w:t>
      </w:r>
      <w:r>
        <w:rPr>
          <w:spacing w:val="-6"/>
        </w:rPr>
        <w:t> </w:t>
      </w:r>
      <w:r>
        <w:rPr/>
        <w:t>pipe</w:t>
      </w:r>
      <w:r>
        <w:rPr>
          <w:spacing w:val="-3"/>
        </w:rPr>
        <w:t> </w:t>
      </w:r>
      <w:r>
        <w:rPr/>
        <w:t>water</w:t>
      </w:r>
      <w:r>
        <w:rPr>
          <w:spacing w:val="-6"/>
        </w:rPr>
        <w:t> </w:t>
      </w:r>
      <w:r>
        <w:rPr/>
        <w:t>supply</w:t>
      </w:r>
      <w:r>
        <w:rPr>
          <w:spacing w:val="-7"/>
        </w:rPr>
        <w:t> </w:t>
      </w:r>
      <w:r>
        <w:rPr/>
        <w:t>for</w:t>
      </w:r>
      <w:r>
        <w:rPr>
          <w:spacing w:val="-6"/>
        </w:rPr>
        <w:t> </w:t>
      </w:r>
      <w:r>
        <w:rPr/>
        <w:t>domestic</w:t>
      </w:r>
      <w:r>
        <w:rPr>
          <w:spacing w:val="-4"/>
        </w:rPr>
        <w:t> </w:t>
      </w:r>
      <w:r>
        <w:rPr/>
        <w:t>use inspite formal water supply coverage of NSWSC in the neighbourhood.</w:t>
      </w:r>
    </w:p>
    <w:p>
      <w:pPr>
        <w:pStyle w:val="BodyText"/>
        <w:spacing w:line="480" w:lineRule="auto" w:before="240"/>
        <w:ind w:left="267" w:right="731"/>
        <w:jc w:val="both"/>
      </w:pPr>
      <w:r>
        <w:rPr/>
        <w:t>Generally, the proportion of respondents who hauled water from improved sources ranged from 53.85% -77.57% across the four neigbourhoods within the coverage of public water supply.</w:t>
      </w:r>
      <w:r>
        <w:rPr>
          <w:spacing w:val="48"/>
        </w:rPr>
        <w:t> </w:t>
      </w:r>
      <w:r>
        <w:rPr/>
        <w:t>While</w:t>
      </w:r>
      <w:r>
        <w:rPr>
          <w:spacing w:val="-7"/>
        </w:rPr>
        <w:t> </w:t>
      </w:r>
      <w:r>
        <w:rPr/>
        <w:t>these</w:t>
      </w:r>
      <w:r>
        <w:rPr>
          <w:spacing w:val="-6"/>
        </w:rPr>
        <w:t> </w:t>
      </w:r>
      <w:r>
        <w:rPr/>
        <w:t>signify</w:t>
      </w:r>
      <w:r>
        <w:rPr>
          <w:spacing w:val="-11"/>
        </w:rPr>
        <w:t> </w:t>
      </w:r>
      <w:r>
        <w:rPr/>
        <w:t>a</w:t>
      </w:r>
      <w:r>
        <w:rPr>
          <w:spacing w:val="-6"/>
        </w:rPr>
        <w:t> </w:t>
      </w:r>
      <w:r>
        <w:rPr/>
        <w:t>high</w:t>
      </w:r>
      <w:r>
        <w:rPr>
          <w:spacing w:val="-6"/>
        </w:rPr>
        <w:t> </w:t>
      </w:r>
      <w:r>
        <w:rPr/>
        <w:t>level</w:t>
      </w:r>
      <w:r>
        <w:rPr>
          <w:spacing w:val="-6"/>
        </w:rPr>
        <w:t> </w:t>
      </w:r>
      <w:r>
        <w:rPr/>
        <w:t>of</w:t>
      </w:r>
      <w:r>
        <w:rPr>
          <w:spacing w:val="-6"/>
        </w:rPr>
        <w:t> </w:t>
      </w:r>
      <w:r>
        <w:rPr/>
        <w:t>household</w:t>
      </w:r>
      <w:r>
        <w:rPr>
          <w:spacing w:val="-6"/>
        </w:rPr>
        <w:t> </w:t>
      </w:r>
      <w:r>
        <w:rPr/>
        <w:t>access</w:t>
      </w:r>
      <w:r>
        <w:rPr>
          <w:spacing w:val="-6"/>
        </w:rPr>
        <w:t> </w:t>
      </w:r>
      <w:r>
        <w:rPr/>
        <w:t>to</w:t>
      </w:r>
      <w:r>
        <w:rPr>
          <w:spacing w:val="-5"/>
        </w:rPr>
        <w:t> </w:t>
      </w:r>
      <w:r>
        <w:rPr/>
        <w:t>water</w:t>
      </w:r>
      <w:r>
        <w:rPr>
          <w:spacing w:val="-7"/>
        </w:rPr>
        <w:t> </w:t>
      </w:r>
      <w:r>
        <w:rPr/>
        <w:t>for</w:t>
      </w:r>
      <w:r>
        <w:rPr>
          <w:spacing w:val="-7"/>
        </w:rPr>
        <w:t> </w:t>
      </w:r>
      <w:r>
        <w:rPr/>
        <w:t>domestic</w:t>
      </w:r>
      <w:r>
        <w:rPr>
          <w:spacing w:val="-6"/>
        </w:rPr>
        <w:t> </w:t>
      </w:r>
      <w:r>
        <w:rPr>
          <w:spacing w:val="-2"/>
        </w:rPr>
        <w:t>purposes,</w:t>
      </w:r>
    </w:p>
    <w:p>
      <w:pPr>
        <w:spacing w:after="0" w:line="480" w:lineRule="auto"/>
        <w:jc w:val="both"/>
        <w:sectPr>
          <w:pgSz w:w="12240" w:h="15840"/>
          <w:pgMar w:header="0" w:footer="1068" w:top="1340" w:bottom="1260" w:left="1720" w:right="680"/>
        </w:sectPr>
      </w:pPr>
    </w:p>
    <w:p>
      <w:pPr>
        <w:pStyle w:val="BodyText"/>
        <w:spacing w:line="480" w:lineRule="auto" w:before="63"/>
        <w:ind w:left="267" w:right="726"/>
        <w:jc w:val="both"/>
      </w:pPr>
      <w:r>
        <w:rPr/>
        <w:t>it</w:t>
      </w:r>
      <w:r>
        <w:rPr>
          <w:spacing w:val="-15"/>
        </w:rPr>
        <w:t> </w:t>
      </w:r>
      <w:r>
        <w:rPr/>
        <w:t>also</w:t>
      </w:r>
      <w:r>
        <w:rPr>
          <w:spacing w:val="-15"/>
        </w:rPr>
        <w:t> </w:t>
      </w:r>
      <w:r>
        <w:rPr/>
        <w:t>implied</w:t>
      </w:r>
      <w:r>
        <w:rPr>
          <w:spacing w:val="-15"/>
        </w:rPr>
        <w:t> </w:t>
      </w:r>
      <w:r>
        <w:rPr/>
        <w:t>that</w:t>
      </w:r>
      <w:r>
        <w:rPr>
          <w:spacing w:val="-15"/>
        </w:rPr>
        <w:t> </w:t>
      </w:r>
      <w:r>
        <w:rPr/>
        <w:t>respondents</w:t>
      </w:r>
      <w:r>
        <w:rPr>
          <w:spacing w:val="-15"/>
        </w:rPr>
        <w:t> </w:t>
      </w:r>
      <w:r>
        <w:rPr/>
        <w:t>augment</w:t>
      </w:r>
      <w:r>
        <w:rPr>
          <w:spacing w:val="-15"/>
        </w:rPr>
        <w:t> </w:t>
      </w:r>
      <w:r>
        <w:rPr/>
        <w:t>their</w:t>
      </w:r>
      <w:r>
        <w:rPr>
          <w:spacing w:val="-15"/>
        </w:rPr>
        <w:t> </w:t>
      </w:r>
      <w:r>
        <w:rPr/>
        <w:t>improved</w:t>
      </w:r>
      <w:r>
        <w:rPr>
          <w:spacing w:val="-15"/>
        </w:rPr>
        <w:t> </w:t>
      </w:r>
      <w:r>
        <w:rPr/>
        <w:t>water</w:t>
      </w:r>
      <w:r>
        <w:rPr>
          <w:spacing w:val="-15"/>
        </w:rPr>
        <w:t> </w:t>
      </w:r>
      <w:r>
        <w:rPr/>
        <w:t>sources</w:t>
      </w:r>
      <w:r>
        <w:rPr>
          <w:spacing w:val="-15"/>
        </w:rPr>
        <w:t> </w:t>
      </w:r>
      <w:r>
        <w:rPr/>
        <w:t>with</w:t>
      </w:r>
      <w:r>
        <w:rPr>
          <w:spacing w:val="-15"/>
        </w:rPr>
        <w:t> </w:t>
      </w:r>
      <w:r>
        <w:rPr/>
        <w:t>other</w:t>
      </w:r>
      <w:r>
        <w:rPr>
          <w:spacing w:val="-15"/>
        </w:rPr>
        <w:t> </w:t>
      </w:r>
      <w:r>
        <w:rPr/>
        <w:t>unimproved sources.</w:t>
      </w:r>
      <w:r>
        <w:rPr>
          <w:spacing w:val="40"/>
        </w:rPr>
        <w:t> </w:t>
      </w:r>
      <w:r>
        <w:rPr/>
        <w:t>As observed in Table 4.7, other water sources though unimproved, used by households</w:t>
      </w:r>
      <w:r>
        <w:rPr>
          <w:spacing w:val="-4"/>
        </w:rPr>
        <w:t> </w:t>
      </w:r>
      <w:r>
        <w:rPr/>
        <w:t>based</w:t>
      </w:r>
      <w:r>
        <w:rPr>
          <w:spacing w:val="-4"/>
        </w:rPr>
        <w:t> </w:t>
      </w:r>
      <w:r>
        <w:rPr/>
        <w:t>on</w:t>
      </w:r>
      <w:r>
        <w:rPr>
          <w:spacing w:val="-4"/>
        </w:rPr>
        <w:t> </w:t>
      </w:r>
      <w:r>
        <w:rPr/>
        <w:t>the</w:t>
      </w:r>
      <w:r>
        <w:rPr>
          <w:spacing w:val="-4"/>
        </w:rPr>
        <w:t> </w:t>
      </w:r>
      <w:r>
        <w:rPr/>
        <w:t>respondents’</w:t>
      </w:r>
      <w:r>
        <w:rPr>
          <w:spacing w:val="-4"/>
        </w:rPr>
        <w:t> </w:t>
      </w:r>
      <w:r>
        <w:rPr/>
        <w:t>responses</w:t>
      </w:r>
      <w:r>
        <w:rPr>
          <w:spacing w:val="-5"/>
        </w:rPr>
        <w:t> </w:t>
      </w:r>
      <w:r>
        <w:rPr/>
        <w:t>include</w:t>
      </w:r>
      <w:r>
        <w:rPr>
          <w:spacing w:val="-5"/>
        </w:rPr>
        <w:t> </w:t>
      </w:r>
      <w:r>
        <w:rPr/>
        <w:t>public</w:t>
      </w:r>
      <w:r>
        <w:rPr>
          <w:spacing w:val="-5"/>
        </w:rPr>
        <w:t> </w:t>
      </w:r>
      <w:r>
        <w:rPr/>
        <w:t>tap,</w:t>
      </w:r>
      <w:r>
        <w:rPr>
          <w:spacing w:val="-4"/>
        </w:rPr>
        <w:t> </w:t>
      </w:r>
      <w:r>
        <w:rPr/>
        <w:t>private</w:t>
      </w:r>
      <w:r>
        <w:rPr>
          <w:spacing w:val="-5"/>
        </w:rPr>
        <w:t> </w:t>
      </w:r>
      <w:r>
        <w:rPr/>
        <w:t>unprotected</w:t>
      </w:r>
      <w:r>
        <w:rPr>
          <w:spacing w:val="-4"/>
        </w:rPr>
        <w:t> </w:t>
      </w:r>
      <w:r>
        <w:rPr/>
        <w:t>well and</w:t>
      </w:r>
      <w:r>
        <w:rPr>
          <w:spacing w:val="-6"/>
        </w:rPr>
        <w:t> </w:t>
      </w:r>
      <w:r>
        <w:rPr/>
        <w:t>borehole,</w:t>
      </w:r>
      <w:r>
        <w:rPr>
          <w:spacing w:val="-6"/>
        </w:rPr>
        <w:t> </w:t>
      </w:r>
      <w:r>
        <w:rPr/>
        <w:t>public</w:t>
      </w:r>
      <w:r>
        <w:rPr>
          <w:spacing w:val="-7"/>
        </w:rPr>
        <w:t> </w:t>
      </w:r>
      <w:r>
        <w:rPr/>
        <w:t>open</w:t>
      </w:r>
      <w:r>
        <w:rPr>
          <w:spacing w:val="-6"/>
        </w:rPr>
        <w:t> </w:t>
      </w:r>
      <w:r>
        <w:rPr/>
        <w:t>borehole,</w:t>
      </w:r>
      <w:r>
        <w:rPr>
          <w:spacing w:val="-6"/>
        </w:rPr>
        <w:t> </w:t>
      </w:r>
      <w:r>
        <w:rPr/>
        <w:t>water</w:t>
      </w:r>
      <w:r>
        <w:rPr>
          <w:spacing w:val="-7"/>
        </w:rPr>
        <w:t> </w:t>
      </w:r>
      <w:r>
        <w:rPr/>
        <w:t>vendor,</w:t>
      </w:r>
      <w:r>
        <w:rPr>
          <w:spacing w:val="-4"/>
        </w:rPr>
        <w:t> </w:t>
      </w:r>
      <w:r>
        <w:rPr/>
        <w:t>water</w:t>
      </w:r>
      <w:r>
        <w:rPr>
          <w:spacing w:val="-7"/>
        </w:rPr>
        <w:t> </w:t>
      </w:r>
      <w:r>
        <w:rPr/>
        <w:t>truck,</w:t>
      </w:r>
      <w:r>
        <w:rPr>
          <w:spacing w:val="-6"/>
        </w:rPr>
        <w:t> </w:t>
      </w:r>
      <w:r>
        <w:rPr/>
        <w:t>bottled</w:t>
      </w:r>
      <w:r>
        <w:rPr>
          <w:spacing w:val="-6"/>
        </w:rPr>
        <w:t> </w:t>
      </w:r>
      <w:r>
        <w:rPr/>
        <w:t>water,</w:t>
      </w:r>
      <w:r>
        <w:rPr>
          <w:spacing w:val="-7"/>
        </w:rPr>
        <w:t> </w:t>
      </w:r>
      <w:r>
        <w:rPr/>
        <w:t>dug</w:t>
      </w:r>
      <w:r>
        <w:rPr>
          <w:spacing w:val="-8"/>
        </w:rPr>
        <w:t> </w:t>
      </w:r>
      <w:r>
        <w:rPr/>
        <w:t>well,</w:t>
      </w:r>
      <w:r>
        <w:rPr>
          <w:spacing w:val="-6"/>
        </w:rPr>
        <w:t> </w:t>
      </w:r>
      <w:r>
        <w:rPr/>
        <w:t>river and stream, sachet water. Lastly, piped into yard/plot/compound (25.23%), rain water (27.14%), Private covered dug well (42.31%) and Public tap (16.74%) represent the main source of domestic water use by households in Dutsenkura, Tudun-Wada, F-Layout and Minna-Central respectively.</w:t>
      </w:r>
    </w:p>
    <w:p>
      <w:pPr>
        <w:pStyle w:val="BodyText"/>
        <w:spacing w:before="6"/>
      </w:pPr>
    </w:p>
    <w:p>
      <w:pPr>
        <w:pStyle w:val="Heading1"/>
        <w:numPr>
          <w:ilvl w:val="2"/>
          <w:numId w:val="10"/>
        </w:numPr>
        <w:tabs>
          <w:tab w:pos="987" w:val="left" w:leader="none"/>
        </w:tabs>
        <w:spacing w:line="240" w:lineRule="auto" w:before="0" w:after="0"/>
        <w:ind w:left="987" w:right="0" w:hanging="720"/>
        <w:jc w:val="left"/>
      </w:pPr>
      <w:r>
        <w:rPr/>
        <w:t>Analysis</w:t>
      </w:r>
      <w:r>
        <w:rPr>
          <w:spacing w:val="-2"/>
        </w:rPr>
        <w:t> </w:t>
      </w:r>
      <w:r>
        <w:rPr/>
        <w:t>of variation</w:t>
      </w:r>
      <w:r>
        <w:rPr>
          <w:spacing w:val="-1"/>
        </w:rPr>
        <w:t> </w:t>
      </w:r>
      <w:r>
        <w:rPr/>
        <w:t>in</w:t>
      </w:r>
      <w:r>
        <w:rPr>
          <w:spacing w:val="-3"/>
        </w:rPr>
        <w:t> </w:t>
      </w:r>
      <w:r>
        <w:rPr/>
        <w:t>household</w:t>
      </w:r>
      <w:r>
        <w:rPr>
          <w:spacing w:val="-2"/>
        </w:rPr>
        <w:t> </w:t>
      </w:r>
      <w:r>
        <w:rPr/>
        <w:t>water</w:t>
      </w:r>
      <w:r>
        <w:rPr>
          <w:spacing w:val="-2"/>
        </w:rPr>
        <w:t> sources</w:t>
      </w:r>
    </w:p>
    <w:p>
      <w:pPr>
        <w:pStyle w:val="BodyText"/>
        <w:spacing w:line="480" w:lineRule="auto" w:before="271"/>
        <w:ind w:left="267" w:right="701"/>
      </w:pPr>
      <w:r>
        <w:rPr/>
        <w:t>The result of the analysis of variance in household sources of water used for drinking and</w:t>
      </w:r>
      <w:r>
        <w:rPr>
          <w:spacing w:val="40"/>
        </w:rPr>
        <w:t> </w:t>
      </w:r>
      <w:r>
        <w:rPr/>
        <w:t>domestic uses is reported in Table 4.8.</w:t>
      </w:r>
    </w:p>
    <w:p>
      <w:pPr>
        <w:spacing w:before="5" w:after="54"/>
        <w:ind w:left="267" w:right="0" w:firstLine="0"/>
        <w:jc w:val="left"/>
        <w:rPr>
          <w:b/>
          <w:sz w:val="24"/>
        </w:rPr>
      </w:pPr>
      <w:r>
        <w:rPr>
          <w:b/>
          <w:sz w:val="24"/>
          <w:u w:val="single"/>
        </w:rPr>
        <w:t>Table</w:t>
      </w:r>
      <w:r>
        <w:rPr>
          <w:b/>
          <w:spacing w:val="-2"/>
          <w:sz w:val="24"/>
          <w:u w:val="single"/>
        </w:rPr>
        <w:t> </w:t>
      </w:r>
      <w:r>
        <w:rPr>
          <w:b/>
          <w:sz w:val="24"/>
          <w:u w:val="single"/>
        </w:rPr>
        <w:t>4.8:</w:t>
      </w:r>
      <w:r>
        <w:rPr>
          <w:b/>
          <w:spacing w:val="-1"/>
          <w:sz w:val="24"/>
          <w:u w:val="single"/>
        </w:rPr>
        <w:t> </w:t>
      </w:r>
      <w:r>
        <w:rPr>
          <w:b/>
          <w:sz w:val="24"/>
          <w:u w:val="single"/>
        </w:rPr>
        <w:t>ANOVA</w:t>
      </w:r>
      <w:r>
        <w:rPr>
          <w:b/>
          <w:spacing w:val="-2"/>
          <w:sz w:val="24"/>
          <w:u w:val="single"/>
        </w:rPr>
        <w:t> </w:t>
      </w:r>
      <w:r>
        <w:rPr>
          <w:b/>
          <w:sz w:val="24"/>
          <w:u w:val="single"/>
        </w:rPr>
        <w:t>Result</w:t>
      </w:r>
      <w:r>
        <w:rPr>
          <w:b/>
          <w:spacing w:val="-1"/>
          <w:sz w:val="24"/>
          <w:u w:val="single"/>
        </w:rPr>
        <w:t> </w:t>
      </w:r>
      <w:r>
        <w:rPr>
          <w:b/>
          <w:sz w:val="24"/>
          <w:u w:val="single"/>
        </w:rPr>
        <w:t>of Household Water</w:t>
      </w:r>
      <w:r>
        <w:rPr>
          <w:b/>
          <w:spacing w:val="-2"/>
          <w:sz w:val="24"/>
          <w:u w:val="single"/>
        </w:rPr>
        <w:t> </w:t>
      </w:r>
      <w:r>
        <w:rPr>
          <w:b/>
          <w:sz w:val="24"/>
          <w:u w:val="single"/>
        </w:rPr>
        <w:t>Source</w:t>
      </w:r>
      <w:r>
        <w:rPr>
          <w:b/>
          <w:spacing w:val="-2"/>
          <w:sz w:val="24"/>
          <w:u w:val="single"/>
        </w:rPr>
        <w:t> </w:t>
      </w:r>
      <w:r>
        <w:rPr>
          <w:b/>
          <w:sz w:val="24"/>
          <w:u w:val="single"/>
        </w:rPr>
        <w:t>for</w:t>
      </w:r>
      <w:r>
        <w:rPr>
          <w:b/>
          <w:spacing w:val="-2"/>
          <w:sz w:val="24"/>
          <w:u w:val="single"/>
        </w:rPr>
        <w:t> </w:t>
      </w:r>
      <w:r>
        <w:rPr>
          <w:b/>
          <w:sz w:val="24"/>
          <w:u w:val="single"/>
        </w:rPr>
        <w:t>Drinking</w:t>
      </w:r>
      <w:r>
        <w:rPr>
          <w:b/>
          <w:spacing w:val="-1"/>
          <w:sz w:val="24"/>
          <w:u w:val="single"/>
        </w:rPr>
        <w:t> </w:t>
      </w:r>
      <w:r>
        <w:rPr>
          <w:b/>
          <w:sz w:val="24"/>
          <w:u w:val="single"/>
        </w:rPr>
        <w:t>and</w:t>
      </w:r>
      <w:r>
        <w:rPr>
          <w:b/>
          <w:spacing w:val="-1"/>
          <w:sz w:val="24"/>
          <w:u w:val="single"/>
        </w:rPr>
        <w:t> </w:t>
      </w:r>
      <w:r>
        <w:rPr>
          <w:b/>
          <w:sz w:val="24"/>
          <w:u w:val="single"/>
        </w:rPr>
        <w:t>Domestic</w:t>
      </w:r>
      <w:r>
        <w:rPr>
          <w:b/>
          <w:spacing w:val="-2"/>
          <w:sz w:val="24"/>
          <w:u w:val="single"/>
        </w:rPr>
        <w:t> </w:t>
      </w:r>
      <w:r>
        <w:rPr>
          <w:b/>
          <w:spacing w:val="-5"/>
          <w:sz w:val="24"/>
          <w:u w:val="single"/>
        </w:rPr>
        <w:t>Use</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2"/>
        <w:gridCol w:w="1326"/>
        <w:gridCol w:w="723"/>
        <w:gridCol w:w="1584"/>
        <w:gridCol w:w="1179"/>
        <w:gridCol w:w="2003"/>
      </w:tblGrid>
      <w:tr>
        <w:trPr>
          <w:trHeight w:val="1034" w:hRule="atLeast"/>
        </w:trPr>
        <w:tc>
          <w:tcPr>
            <w:tcW w:w="2032" w:type="dxa"/>
            <w:tcBorders>
              <w:bottom w:val="single" w:sz="8" w:space="0" w:color="000000"/>
            </w:tcBorders>
          </w:tcPr>
          <w:p>
            <w:pPr>
              <w:pStyle w:val="TableParagraph"/>
              <w:spacing w:line="225" w:lineRule="exact"/>
              <w:ind w:left="115"/>
              <w:rPr>
                <w:rFonts w:ascii="Calibri"/>
                <w:b/>
                <w:sz w:val="22"/>
              </w:rPr>
            </w:pPr>
            <w:r>
              <w:rPr>
                <w:rFonts w:ascii="Calibri"/>
                <w:b/>
                <w:sz w:val="22"/>
              </w:rPr>
              <w:t>Source</w:t>
            </w:r>
            <w:r>
              <w:rPr>
                <w:rFonts w:ascii="Calibri"/>
                <w:b/>
                <w:spacing w:val="-4"/>
                <w:sz w:val="22"/>
              </w:rPr>
              <w:t> </w:t>
            </w:r>
            <w:r>
              <w:rPr>
                <w:rFonts w:ascii="Calibri"/>
                <w:b/>
                <w:sz w:val="22"/>
              </w:rPr>
              <w:t>of</w:t>
            </w:r>
            <w:r>
              <w:rPr>
                <w:rFonts w:ascii="Calibri"/>
                <w:b/>
                <w:spacing w:val="-2"/>
                <w:sz w:val="22"/>
              </w:rPr>
              <w:t> Variation</w:t>
            </w:r>
          </w:p>
        </w:tc>
        <w:tc>
          <w:tcPr>
            <w:tcW w:w="1326" w:type="dxa"/>
            <w:tcBorders>
              <w:bottom w:val="single" w:sz="8" w:space="0" w:color="000000"/>
            </w:tcBorders>
          </w:tcPr>
          <w:p>
            <w:pPr>
              <w:pStyle w:val="TableParagraph"/>
              <w:tabs>
                <w:tab w:pos="888" w:val="left" w:leader="none"/>
              </w:tabs>
              <w:spacing w:line="225" w:lineRule="exact"/>
              <w:ind w:left="159"/>
              <w:rPr>
                <w:rFonts w:ascii="Calibri"/>
                <w:b/>
                <w:sz w:val="22"/>
              </w:rPr>
            </w:pPr>
            <w:r>
              <w:rPr>
                <w:rFonts w:ascii="Calibri"/>
                <w:b/>
                <w:spacing w:val="-5"/>
                <w:sz w:val="22"/>
              </w:rPr>
              <w:t>Sum</w:t>
            </w:r>
            <w:r>
              <w:rPr>
                <w:rFonts w:ascii="Calibri"/>
                <w:b/>
                <w:sz w:val="22"/>
              </w:rPr>
              <w:tab/>
            </w:r>
            <w:r>
              <w:rPr>
                <w:rFonts w:ascii="Calibri"/>
                <w:b/>
                <w:spacing w:val="-5"/>
                <w:sz w:val="22"/>
              </w:rPr>
              <w:t>of</w:t>
            </w:r>
          </w:p>
          <w:p>
            <w:pPr>
              <w:pStyle w:val="TableParagraph"/>
              <w:spacing w:before="16"/>
              <w:rPr>
                <w:b/>
                <w:sz w:val="22"/>
              </w:rPr>
            </w:pPr>
          </w:p>
          <w:p>
            <w:pPr>
              <w:pStyle w:val="TableParagraph"/>
              <w:ind w:left="159"/>
              <w:rPr>
                <w:rFonts w:ascii="Calibri"/>
                <w:b/>
                <w:sz w:val="22"/>
              </w:rPr>
            </w:pPr>
            <w:r>
              <w:rPr>
                <w:rFonts w:ascii="Calibri"/>
                <w:b/>
                <w:spacing w:val="-2"/>
                <w:sz w:val="22"/>
              </w:rPr>
              <w:t>Squares</w:t>
            </w:r>
          </w:p>
        </w:tc>
        <w:tc>
          <w:tcPr>
            <w:tcW w:w="723" w:type="dxa"/>
            <w:tcBorders>
              <w:bottom w:val="single" w:sz="8" w:space="0" w:color="000000"/>
            </w:tcBorders>
          </w:tcPr>
          <w:p>
            <w:pPr>
              <w:pStyle w:val="TableParagraph"/>
              <w:spacing w:line="225" w:lineRule="exact"/>
              <w:ind w:left="3" w:right="3"/>
              <w:jc w:val="center"/>
              <w:rPr>
                <w:rFonts w:ascii="Calibri"/>
                <w:b/>
                <w:sz w:val="22"/>
              </w:rPr>
            </w:pPr>
            <w:r>
              <w:rPr>
                <w:rFonts w:ascii="Calibri"/>
                <w:b/>
                <w:spacing w:val="-5"/>
                <w:sz w:val="22"/>
              </w:rPr>
              <w:t>Df</w:t>
            </w:r>
          </w:p>
        </w:tc>
        <w:tc>
          <w:tcPr>
            <w:tcW w:w="1584" w:type="dxa"/>
            <w:tcBorders>
              <w:bottom w:val="single" w:sz="8" w:space="0" w:color="000000"/>
            </w:tcBorders>
          </w:tcPr>
          <w:p>
            <w:pPr>
              <w:pStyle w:val="TableParagraph"/>
              <w:spacing w:line="225" w:lineRule="exact"/>
              <w:ind w:left="249"/>
              <w:rPr>
                <w:rFonts w:ascii="Calibri"/>
                <w:b/>
                <w:sz w:val="22"/>
              </w:rPr>
            </w:pPr>
            <w:r>
              <w:rPr>
                <w:rFonts w:ascii="Calibri"/>
                <w:b/>
                <w:sz w:val="22"/>
              </w:rPr>
              <w:t>Mean</w:t>
            </w:r>
            <w:r>
              <w:rPr>
                <w:rFonts w:ascii="Calibri"/>
                <w:b/>
                <w:spacing w:val="-5"/>
                <w:sz w:val="22"/>
              </w:rPr>
              <w:t> </w:t>
            </w:r>
            <w:r>
              <w:rPr>
                <w:rFonts w:ascii="Calibri"/>
                <w:b/>
                <w:spacing w:val="-2"/>
                <w:sz w:val="22"/>
              </w:rPr>
              <w:t>square</w:t>
            </w:r>
          </w:p>
        </w:tc>
        <w:tc>
          <w:tcPr>
            <w:tcW w:w="1179" w:type="dxa"/>
            <w:tcBorders>
              <w:bottom w:val="single" w:sz="8" w:space="0" w:color="000000"/>
            </w:tcBorders>
          </w:tcPr>
          <w:p>
            <w:pPr>
              <w:pStyle w:val="TableParagraph"/>
              <w:spacing w:line="225" w:lineRule="exact"/>
              <w:ind w:left="86" w:right="108"/>
              <w:jc w:val="center"/>
              <w:rPr>
                <w:rFonts w:ascii="Calibri"/>
                <w:b/>
                <w:sz w:val="22"/>
              </w:rPr>
            </w:pPr>
            <w:r>
              <w:rPr>
                <w:rFonts w:ascii="Calibri"/>
                <w:b/>
                <w:spacing w:val="-2"/>
                <w:sz w:val="22"/>
              </w:rPr>
              <w:t>F-statistic</w:t>
            </w:r>
          </w:p>
        </w:tc>
        <w:tc>
          <w:tcPr>
            <w:tcW w:w="2003" w:type="dxa"/>
            <w:tcBorders>
              <w:bottom w:val="single" w:sz="8" w:space="0" w:color="000000"/>
            </w:tcBorders>
          </w:tcPr>
          <w:p>
            <w:pPr>
              <w:pStyle w:val="TableParagraph"/>
              <w:spacing w:line="225" w:lineRule="exact"/>
              <w:ind w:left="164"/>
              <w:rPr>
                <w:rFonts w:ascii="Calibri"/>
                <w:b/>
                <w:sz w:val="22"/>
              </w:rPr>
            </w:pPr>
            <w:r>
              <w:rPr>
                <w:rFonts w:ascii="Calibri"/>
                <w:b/>
                <w:sz w:val="22"/>
              </w:rPr>
              <w:t>Significance</w:t>
            </w:r>
            <w:r>
              <w:rPr>
                <w:rFonts w:ascii="Calibri"/>
                <w:b/>
                <w:spacing w:val="-11"/>
                <w:sz w:val="22"/>
              </w:rPr>
              <w:t> </w:t>
            </w:r>
            <w:r>
              <w:rPr>
                <w:rFonts w:ascii="Calibri"/>
                <w:b/>
                <w:spacing w:val="-4"/>
                <w:sz w:val="22"/>
              </w:rPr>
              <w:t>level</w:t>
            </w:r>
          </w:p>
        </w:tc>
      </w:tr>
      <w:tr>
        <w:trPr>
          <w:trHeight w:val="419" w:hRule="atLeast"/>
        </w:trPr>
        <w:tc>
          <w:tcPr>
            <w:tcW w:w="2032" w:type="dxa"/>
            <w:tcBorders>
              <w:top w:val="single" w:sz="8" w:space="0" w:color="000000"/>
            </w:tcBorders>
          </w:tcPr>
          <w:p>
            <w:pPr>
              <w:pStyle w:val="TableParagraph"/>
              <w:spacing w:line="265" w:lineRule="exact"/>
              <w:ind w:left="115"/>
              <w:rPr>
                <w:rFonts w:ascii="Calibri"/>
                <w:b/>
                <w:sz w:val="22"/>
              </w:rPr>
            </w:pPr>
            <w:r>
              <w:rPr>
                <w:rFonts w:ascii="Calibri"/>
                <w:b/>
                <w:sz w:val="22"/>
              </w:rPr>
              <w:t>Between</w:t>
            </w:r>
            <w:r>
              <w:rPr>
                <w:rFonts w:ascii="Calibri"/>
                <w:b/>
                <w:spacing w:val="-6"/>
                <w:sz w:val="22"/>
              </w:rPr>
              <w:t> </w:t>
            </w:r>
            <w:r>
              <w:rPr>
                <w:rFonts w:ascii="Calibri"/>
                <w:b/>
                <w:spacing w:val="-2"/>
                <w:sz w:val="22"/>
              </w:rPr>
              <w:t>Group</w:t>
            </w:r>
          </w:p>
        </w:tc>
        <w:tc>
          <w:tcPr>
            <w:tcW w:w="1326" w:type="dxa"/>
            <w:tcBorders>
              <w:top w:val="single" w:sz="8" w:space="0" w:color="000000"/>
            </w:tcBorders>
          </w:tcPr>
          <w:p>
            <w:pPr>
              <w:pStyle w:val="TableParagraph"/>
              <w:spacing w:line="265" w:lineRule="exact"/>
              <w:ind w:left="41" w:right="127"/>
              <w:jc w:val="center"/>
              <w:rPr>
                <w:rFonts w:ascii="Calibri"/>
                <w:sz w:val="22"/>
              </w:rPr>
            </w:pPr>
            <w:r>
              <w:rPr>
                <w:rFonts w:ascii="Calibri"/>
                <w:spacing w:val="-4"/>
                <w:sz w:val="22"/>
              </w:rPr>
              <w:t>4927</w:t>
            </w:r>
          </w:p>
        </w:tc>
        <w:tc>
          <w:tcPr>
            <w:tcW w:w="723" w:type="dxa"/>
            <w:tcBorders>
              <w:top w:val="single" w:sz="8" w:space="0" w:color="000000"/>
            </w:tcBorders>
          </w:tcPr>
          <w:p>
            <w:pPr>
              <w:pStyle w:val="TableParagraph"/>
              <w:spacing w:line="265" w:lineRule="exact"/>
              <w:ind w:left="3"/>
              <w:jc w:val="center"/>
              <w:rPr>
                <w:rFonts w:ascii="Calibri"/>
                <w:sz w:val="22"/>
              </w:rPr>
            </w:pPr>
            <w:r>
              <w:rPr>
                <w:rFonts w:ascii="Calibri"/>
                <w:spacing w:val="-10"/>
                <w:sz w:val="22"/>
              </w:rPr>
              <w:t>1</w:t>
            </w:r>
          </w:p>
        </w:tc>
        <w:tc>
          <w:tcPr>
            <w:tcW w:w="1584" w:type="dxa"/>
            <w:tcBorders>
              <w:top w:val="single" w:sz="8" w:space="0" w:color="000000"/>
            </w:tcBorders>
          </w:tcPr>
          <w:p>
            <w:pPr>
              <w:pStyle w:val="TableParagraph"/>
              <w:spacing w:line="265" w:lineRule="exact"/>
              <w:ind w:left="249"/>
              <w:rPr>
                <w:rFonts w:ascii="Calibri"/>
                <w:sz w:val="22"/>
              </w:rPr>
            </w:pPr>
            <w:r>
              <w:rPr>
                <w:rFonts w:ascii="Calibri"/>
                <w:spacing w:val="-4"/>
                <w:sz w:val="22"/>
              </w:rPr>
              <w:t>4927</w:t>
            </w:r>
          </w:p>
        </w:tc>
        <w:tc>
          <w:tcPr>
            <w:tcW w:w="1179" w:type="dxa"/>
            <w:tcBorders>
              <w:top w:val="single" w:sz="8" w:space="0" w:color="000000"/>
            </w:tcBorders>
          </w:tcPr>
          <w:p>
            <w:pPr>
              <w:pStyle w:val="TableParagraph"/>
              <w:spacing w:line="265" w:lineRule="exact"/>
              <w:ind w:left="108" w:right="22"/>
              <w:jc w:val="center"/>
              <w:rPr>
                <w:rFonts w:ascii="Calibri"/>
                <w:sz w:val="22"/>
              </w:rPr>
            </w:pPr>
            <w:r>
              <w:rPr>
                <w:rFonts w:ascii="Calibri"/>
                <w:spacing w:val="-4"/>
                <w:sz w:val="22"/>
              </w:rPr>
              <w:t>4.38</w:t>
            </w:r>
          </w:p>
        </w:tc>
        <w:tc>
          <w:tcPr>
            <w:tcW w:w="2003" w:type="dxa"/>
            <w:tcBorders>
              <w:top w:val="single" w:sz="8" w:space="0" w:color="000000"/>
            </w:tcBorders>
          </w:tcPr>
          <w:p>
            <w:pPr>
              <w:pStyle w:val="TableParagraph"/>
              <w:spacing w:line="265" w:lineRule="exact"/>
              <w:ind w:left="59"/>
              <w:jc w:val="center"/>
              <w:rPr>
                <w:rFonts w:ascii="Calibri"/>
                <w:sz w:val="22"/>
              </w:rPr>
            </w:pPr>
            <w:r>
              <w:rPr>
                <w:rFonts w:ascii="Calibri"/>
                <w:spacing w:val="-2"/>
                <w:sz w:val="22"/>
              </w:rPr>
              <w:t>0.249</w:t>
            </w:r>
          </w:p>
        </w:tc>
      </w:tr>
      <w:tr>
        <w:trPr>
          <w:trHeight w:val="537" w:hRule="atLeast"/>
        </w:trPr>
        <w:tc>
          <w:tcPr>
            <w:tcW w:w="2032" w:type="dxa"/>
          </w:tcPr>
          <w:p>
            <w:pPr>
              <w:pStyle w:val="TableParagraph"/>
              <w:spacing w:before="114"/>
              <w:ind w:left="115"/>
              <w:rPr>
                <w:rFonts w:ascii="Calibri"/>
                <w:b/>
                <w:sz w:val="22"/>
              </w:rPr>
            </w:pPr>
            <w:r>
              <w:rPr>
                <w:rFonts w:ascii="Calibri"/>
                <w:b/>
                <w:sz w:val="22"/>
              </w:rPr>
              <w:t>Within</w:t>
            </w:r>
            <w:r>
              <w:rPr>
                <w:rFonts w:ascii="Calibri"/>
                <w:b/>
                <w:spacing w:val="-7"/>
                <w:sz w:val="22"/>
              </w:rPr>
              <w:t> </w:t>
            </w:r>
            <w:r>
              <w:rPr>
                <w:rFonts w:ascii="Calibri"/>
                <w:b/>
                <w:spacing w:val="-2"/>
                <w:sz w:val="22"/>
              </w:rPr>
              <w:t>Group</w:t>
            </w:r>
          </w:p>
        </w:tc>
        <w:tc>
          <w:tcPr>
            <w:tcW w:w="1326" w:type="dxa"/>
          </w:tcPr>
          <w:p>
            <w:pPr>
              <w:pStyle w:val="TableParagraph"/>
              <w:spacing w:before="114"/>
              <w:ind w:left="41" w:right="130"/>
              <w:jc w:val="center"/>
              <w:rPr>
                <w:rFonts w:ascii="Calibri"/>
                <w:sz w:val="22"/>
              </w:rPr>
            </w:pPr>
            <w:r>
              <w:rPr>
                <w:rFonts w:ascii="Calibri"/>
                <w:spacing w:val="-2"/>
                <w:sz w:val="22"/>
              </w:rPr>
              <w:t>114308</w:t>
            </w:r>
          </w:p>
        </w:tc>
        <w:tc>
          <w:tcPr>
            <w:tcW w:w="723" w:type="dxa"/>
          </w:tcPr>
          <w:p>
            <w:pPr>
              <w:pStyle w:val="TableParagraph"/>
              <w:spacing w:before="114"/>
              <w:ind w:left="3" w:right="1"/>
              <w:jc w:val="center"/>
              <w:rPr>
                <w:rFonts w:ascii="Calibri"/>
                <w:sz w:val="22"/>
              </w:rPr>
            </w:pPr>
            <w:r>
              <w:rPr>
                <w:rFonts w:ascii="Calibri"/>
                <w:spacing w:val="-5"/>
                <w:sz w:val="22"/>
              </w:rPr>
              <w:t>32</w:t>
            </w:r>
          </w:p>
        </w:tc>
        <w:tc>
          <w:tcPr>
            <w:tcW w:w="1584" w:type="dxa"/>
          </w:tcPr>
          <w:p>
            <w:pPr>
              <w:pStyle w:val="TableParagraph"/>
              <w:spacing w:before="114"/>
              <w:ind w:left="249"/>
              <w:rPr>
                <w:rFonts w:ascii="Calibri"/>
                <w:sz w:val="22"/>
              </w:rPr>
            </w:pPr>
            <w:r>
              <w:rPr>
                <w:rFonts w:ascii="Calibri"/>
                <w:spacing w:val="-4"/>
                <w:sz w:val="22"/>
              </w:rPr>
              <w:t>3572</w:t>
            </w:r>
          </w:p>
        </w:tc>
        <w:tc>
          <w:tcPr>
            <w:tcW w:w="1179" w:type="dxa"/>
          </w:tcPr>
          <w:p>
            <w:pPr>
              <w:pStyle w:val="TableParagraph"/>
              <w:rPr>
                <w:sz w:val="22"/>
              </w:rPr>
            </w:pPr>
          </w:p>
        </w:tc>
        <w:tc>
          <w:tcPr>
            <w:tcW w:w="2003" w:type="dxa"/>
          </w:tcPr>
          <w:p>
            <w:pPr>
              <w:pStyle w:val="TableParagraph"/>
              <w:rPr>
                <w:sz w:val="22"/>
              </w:rPr>
            </w:pPr>
          </w:p>
        </w:tc>
      </w:tr>
      <w:tr>
        <w:trPr>
          <w:trHeight w:val="654" w:hRule="atLeast"/>
        </w:trPr>
        <w:tc>
          <w:tcPr>
            <w:tcW w:w="2032" w:type="dxa"/>
            <w:tcBorders>
              <w:bottom w:val="single" w:sz="8" w:space="0" w:color="000000"/>
            </w:tcBorders>
          </w:tcPr>
          <w:p>
            <w:pPr>
              <w:pStyle w:val="TableParagraph"/>
              <w:spacing w:before="114"/>
              <w:ind w:left="115"/>
              <w:rPr>
                <w:rFonts w:ascii="Calibri"/>
                <w:b/>
                <w:sz w:val="22"/>
              </w:rPr>
            </w:pPr>
            <w:r>
              <w:rPr>
                <w:rFonts w:ascii="Calibri"/>
                <w:b/>
                <w:spacing w:val="-2"/>
                <w:sz w:val="22"/>
              </w:rPr>
              <w:t>Total</w:t>
            </w:r>
          </w:p>
        </w:tc>
        <w:tc>
          <w:tcPr>
            <w:tcW w:w="1326" w:type="dxa"/>
            <w:tcBorders>
              <w:bottom w:val="single" w:sz="8" w:space="0" w:color="000000"/>
            </w:tcBorders>
          </w:tcPr>
          <w:p>
            <w:pPr>
              <w:pStyle w:val="TableParagraph"/>
              <w:spacing w:before="114"/>
              <w:ind w:left="41" w:right="130"/>
              <w:jc w:val="center"/>
              <w:rPr>
                <w:rFonts w:ascii="Calibri"/>
                <w:sz w:val="22"/>
              </w:rPr>
            </w:pPr>
            <w:r>
              <w:rPr>
                <w:rFonts w:ascii="Calibri"/>
                <w:spacing w:val="-2"/>
                <w:sz w:val="22"/>
              </w:rPr>
              <w:t>119236</w:t>
            </w:r>
          </w:p>
        </w:tc>
        <w:tc>
          <w:tcPr>
            <w:tcW w:w="723" w:type="dxa"/>
            <w:tcBorders>
              <w:bottom w:val="single" w:sz="8" w:space="0" w:color="000000"/>
            </w:tcBorders>
          </w:tcPr>
          <w:p>
            <w:pPr>
              <w:pStyle w:val="TableParagraph"/>
              <w:spacing w:before="114"/>
              <w:ind w:left="3" w:right="1"/>
              <w:jc w:val="center"/>
              <w:rPr>
                <w:rFonts w:ascii="Calibri"/>
                <w:sz w:val="22"/>
              </w:rPr>
            </w:pPr>
            <w:r>
              <w:rPr>
                <w:rFonts w:ascii="Calibri"/>
                <w:spacing w:val="-5"/>
                <w:sz w:val="22"/>
              </w:rPr>
              <w:t>33</w:t>
            </w:r>
          </w:p>
        </w:tc>
        <w:tc>
          <w:tcPr>
            <w:tcW w:w="1584" w:type="dxa"/>
            <w:tcBorders>
              <w:bottom w:val="single" w:sz="8" w:space="0" w:color="000000"/>
            </w:tcBorders>
          </w:tcPr>
          <w:p>
            <w:pPr>
              <w:pStyle w:val="TableParagraph"/>
              <w:rPr>
                <w:sz w:val="22"/>
              </w:rPr>
            </w:pPr>
          </w:p>
        </w:tc>
        <w:tc>
          <w:tcPr>
            <w:tcW w:w="1179" w:type="dxa"/>
            <w:tcBorders>
              <w:bottom w:val="single" w:sz="8" w:space="0" w:color="000000"/>
            </w:tcBorders>
          </w:tcPr>
          <w:p>
            <w:pPr>
              <w:pStyle w:val="TableParagraph"/>
              <w:rPr>
                <w:sz w:val="22"/>
              </w:rPr>
            </w:pPr>
          </w:p>
        </w:tc>
        <w:tc>
          <w:tcPr>
            <w:tcW w:w="2003" w:type="dxa"/>
            <w:tcBorders>
              <w:bottom w:val="single" w:sz="8" w:space="0" w:color="000000"/>
            </w:tcBorders>
          </w:tcPr>
          <w:p>
            <w:pPr>
              <w:pStyle w:val="TableParagraph"/>
              <w:rPr>
                <w:sz w:val="22"/>
              </w:rPr>
            </w:pPr>
          </w:p>
        </w:tc>
      </w:tr>
    </w:tbl>
    <w:p>
      <w:pPr>
        <w:pStyle w:val="BodyText"/>
        <w:spacing w:before="243"/>
        <w:rPr>
          <w:b/>
        </w:rPr>
      </w:pPr>
    </w:p>
    <w:p>
      <w:pPr>
        <w:pStyle w:val="BodyText"/>
        <w:spacing w:line="480" w:lineRule="auto"/>
        <w:ind w:left="267" w:right="727"/>
        <w:jc w:val="both"/>
      </w:pPr>
      <w:r>
        <w:rPr/>
        <w:t>Since</w:t>
      </w:r>
      <w:r>
        <w:rPr>
          <w:spacing w:val="-2"/>
        </w:rPr>
        <w:t> </w:t>
      </w:r>
      <w:r>
        <w:rPr/>
        <w:t>the</w:t>
      </w:r>
      <w:r>
        <w:rPr>
          <w:spacing w:val="-1"/>
        </w:rPr>
        <w:t> </w:t>
      </w:r>
      <w:r>
        <w:rPr/>
        <w:t>F-statistic</w:t>
      </w:r>
      <w:r>
        <w:rPr>
          <w:spacing w:val="-1"/>
        </w:rPr>
        <w:t> </w:t>
      </w:r>
      <w:r>
        <w:rPr/>
        <w:t>(4.38)</w:t>
      </w:r>
      <w:r>
        <w:rPr>
          <w:spacing w:val="-1"/>
        </w:rPr>
        <w:t> </w:t>
      </w:r>
      <w:r>
        <w:rPr/>
        <w:t>is lesser, when compared with a</w:t>
      </w:r>
      <w:r>
        <w:rPr>
          <w:spacing w:val="-1"/>
        </w:rPr>
        <w:t> </w:t>
      </w:r>
      <w:r>
        <w:rPr/>
        <w:t>5%, F(1,32),</w:t>
      </w:r>
      <w:r>
        <w:rPr>
          <w:spacing w:val="-1"/>
        </w:rPr>
        <w:t> </w:t>
      </w:r>
      <w:r>
        <w:rPr/>
        <w:t>the</w:t>
      </w:r>
      <w:r>
        <w:rPr>
          <w:spacing w:val="-1"/>
        </w:rPr>
        <w:t> </w:t>
      </w:r>
      <w:r>
        <w:rPr/>
        <w:t>null hypothesis of variation between household sources of water used for drinking and domestic uses in the study</w:t>
      </w:r>
      <w:r>
        <w:rPr>
          <w:spacing w:val="-15"/>
        </w:rPr>
        <w:t> </w:t>
      </w:r>
      <w:r>
        <w:rPr/>
        <w:t>area</w:t>
      </w:r>
      <w:r>
        <w:rPr>
          <w:spacing w:val="-15"/>
        </w:rPr>
        <w:t> </w:t>
      </w:r>
      <w:r>
        <w:rPr/>
        <w:t>is</w:t>
      </w:r>
      <w:r>
        <w:rPr>
          <w:spacing w:val="-15"/>
        </w:rPr>
        <w:t> </w:t>
      </w:r>
      <w:r>
        <w:rPr/>
        <w:t>accepted</w:t>
      </w:r>
      <w:r>
        <w:rPr>
          <w:spacing w:val="34"/>
        </w:rPr>
        <w:t> </w:t>
      </w:r>
      <w:r>
        <w:rPr/>
        <w:t>(P-value</w:t>
      </w:r>
      <w:r>
        <w:rPr>
          <w:spacing w:val="-15"/>
        </w:rPr>
        <w:t> </w:t>
      </w:r>
      <w:r>
        <w:rPr/>
        <w:t>of</w:t>
      </w:r>
      <w:r>
        <w:rPr>
          <w:spacing w:val="-15"/>
        </w:rPr>
        <w:t> </w:t>
      </w:r>
      <w:r>
        <w:rPr/>
        <w:t>0.249</w:t>
      </w:r>
      <w:r>
        <w:rPr>
          <w:spacing w:val="-12"/>
        </w:rPr>
        <w:t> </w:t>
      </w:r>
      <w:r>
        <w:rPr/>
        <w:t>&gt;</w:t>
      </w:r>
      <w:r>
        <w:rPr>
          <w:spacing w:val="-15"/>
        </w:rPr>
        <w:t> </w:t>
      </w:r>
      <w:r>
        <w:rPr/>
        <w:t>0.05).</w:t>
      </w:r>
      <w:r>
        <w:rPr>
          <w:spacing w:val="-12"/>
        </w:rPr>
        <w:t> </w:t>
      </w:r>
      <w:r>
        <w:rPr/>
        <w:t>This</w:t>
      </w:r>
      <w:r>
        <w:rPr>
          <w:spacing w:val="-14"/>
        </w:rPr>
        <w:t> </w:t>
      </w:r>
      <w:r>
        <w:rPr/>
        <w:t>implies</w:t>
      </w:r>
      <w:r>
        <w:rPr>
          <w:spacing w:val="-14"/>
        </w:rPr>
        <w:t> </w:t>
      </w:r>
      <w:r>
        <w:rPr/>
        <w:t>that</w:t>
      </w:r>
      <w:r>
        <w:rPr>
          <w:spacing w:val="-14"/>
        </w:rPr>
        <w:t> </w:t>
      </w:r>
      <w:r>
        <w:rPr/>
        <w:t>the</w:t>
      </w:r>
      <w:r>
        <w:rPr>
          <w:spacing w:val="-15"/>
        </w:rPr>
        <w:t> </w:t>
      </w:r>
      <w:r>
        <w:rPr/>
        <w:t>water</w:t>
      </w:r>
      <w:r>
        <w:rPr>
          <w:spacing w:val="-13"/>
        </w:rPr>
        <w:t> </w:t>
      </w:r>
      <w:r>
        <w:rPr/>
        <w:t>source</w:t>
      </w:r>
      <w:r>
        <w:rPr>
          <w:spacing w:val="-13"/>
        </w:rPr>
        <w:t> </w:t>
      </w:r>
      <w:r>
        <w:rPr/>
        <w:t>employed by</w:t>
      </w:r>
      <w:r>
        <w:rPr>
          <w:spacing w:val="-14"/>
        </w:rPr>
        <w:t> </w:t>
      </w:r>
      <w:r>
        <w:rPr/>
        <w:t>households</w:t>
      </w:r>
      <w:r>
        <w:rPr>
          <w:spacing w:val="-9"/>
        </w:rPr>
        <w:t> </w:t>
      </w:r>
      <w:r>
        <w:rPr/>
        <w:t>for</w:t>
      </w:r>
      <w:r>
        <w:rPr>
          <w:spacing w:val="-9"/>
        </w:rPr>
        <w:t> </w:t>
      </w:r>
      <w:r>
        <w:rPr/>
        <w:t>drinking</w:t>
      </w:r>
      <w:r>
        <w:rPr>
          <w:spacing w:val="-12"/>
        </w:rPr>
        <w:t> </w:t>
      </w:r>
      <w:r>
        <w:rPr/>
        <w:t>is</w:t>
      </w:r>
      <w:r>
        <w:rPr>
          <w:spacing w:val="-9"/>
        </w:rPr>
        <w:t> </w:t>
      </w:r>
      <w:r>
        <w:rPr/>
        <w:t>not</w:t>
      </w:r>
      <w:r>
        <w:rPr>
          <w:spacing w:val="-9"/>
        </w:rPr>
        <w:t> </w:t>
      </w:r>
      <w:r>
        <w:rPr/>
        <w:t>different</w:t>
      </w:r>
      <w:r>
        <w:rPr>
          <w:spacing w:val="-9"/>
        </w:rPr>
        <w:t> </w:t>
      </w:r>
      <w:r>
        <w:rPr/>
        <w:t>from</w:t>
      </w:r>
      <w:r>
        <w:rPr>
          <w:spacing w:val="-10"/>
        </w:rPr>
        <w:t> </w:t>
      </w:r>
      <w:r>
        <w:rPr/>
        <w:t>that</w:t>
      </w:r>
      <w:r>
        <w:rPr>
          <w:spacing w:val="-9"/>
        </w:rPr>
        <w:t> </w:t>
      </w:r>
      <w:r>
        <w:rPr/>
        <w:t>employed</w:t>
      </w:r>
      <w:r>
        <w:rPr>
          <w:spacing w:val="-8"/>
        </w:rPr>
        <w:t> </w:t>
      </w:r>
      <w:r>
        <w:rPr/>
        <w:t>for</w:t>
      </w:r>
      <w:r>
        <w:rPr>
          <w:spacing w:val="-9"/>
        </w:rPr>
        <w:t> </w:t>
      </w:r>
      <w:r>
        <w:rPr/>
        <w:t>domestic</w:t>
      </w:r>
      <w:r>
        <w:rPr>
          <w:spacing w:val="-8"/>
        </w:rPr>
        <w:t> </w:t>
      </w:r>
      <w:r>
        <w:rPr/>
        <w:t>uses</w:t>
      </w:r>
      <w:r>
        <w:rPr>
          <w:spacing w:val="-9"/>
        </w:rPr>
        <w:t> </w:t>
      </w:r>
      <w:r>
        <w:rPr/>
        <w:t>in</w:t>
      </w:r>
      <w:r>
        <w:rPr>
          <w:spacing w:val="-9"/>
        </w:rPr>
        <w:t> </w:t>
      </w:r>
      <w:r>
        <w:rPr/>
        <w:t>the</w:t>
      </w:r>
      <w:r>
        <w:rPr>
          <w:spacing w:val="-10"/>
        </w:rPr>
        <w:t> </w:t>
      </w:r>
      <w:r>
        <w:rPr/>
        <w:t>study </w:t>
      </w:r>
      <w:r>
        <w:rPr>
          <w:spacing w:val="-2"/>
        </w:rPr>
        <w:t>area.</w:t>
      </w:r>
    </w:p>
    <w:p>
      <w:pPr>
        <w:spacing w:after="0" w:line="480" w:lineRule="auto"/>
        <w:jc w:val="both"/>
        <w:sectPr>
          <w:pgSz w:w="12240" w:h="15840"/>
          <w:pgMar w:header="0" w:footer="1068" w:top="1340" w:bottom="1260" w:left="1720" w:right="680"/>
        </w:sectPr>
      </w:pPr>
    </w:p>
    <w:p>
      <w:pPr>
        <w:pStyle w:val="BodyText"/>
        <w:spacing w:line="480" w:lineRule="auto" w:before="63"/>
        <w:ind w:left="267" w:right="729"/>
        <w:jc w:val="both"/>
      </w:pPr>
      <w:r>
        <w:rPr/>
        <w:t>This insignificant result between household sources of water used for drinking and that employed</w:t>
      </w:r>
      <w:r>
        <w:rPr>
          <w:spacing w:val="-12"/>
        </w:rPr>
        <w:t> </w:t>
      </w:r>
      <w:r>
        <w:rPr/>
        <w:t>for</w:t>
      </w:r>
      <w:r>
        <w:rPr>
          <w:spacing w:val="-14"/>
        </w:rPr>
        <w:t> </w:t>
      </w:r>
      <w:r>
        <w:rPr/>
        <w:t>domestic</w:t>
      </w:r>
      <w:r>
        <w:rPr>
          <w:spacing w:val="-13"/>
        </w:rPr>
        <w:t> </w:t>
      </w:r>
      <w:r>
        <w:rPr/>
        <w:t>use</w:t>
      </w:r>
      <w:r>
        <w:rPr>
          <w:spacing w:val="-13"/>
        </w:rPr>
        <w:t> </w:t>
      </w:r>
      <w:r>
        <w:rPr/>
        <w:t>can</w:t>
      </w:r>
      <w:r>
        <w:rPr>
          <w:spacing w:val="-12"/>
        </w:rPr>
        <w:t> </w:t>
      </w:r>
      <w:r>
        <w:rPr/>
        <w:t>be</w:t>
      </w:r>
      <w:r>
        <w:rPr>
          <w:spacing w:val="-11"/>
        </w:rPr>
        <w:t> </w:t>
      </w:r>
      <w:r>
        <w:rPr/>
        <w:t>attributed</w:t>
      </w:r>
      <w:r>
        <w:rPr>
          <w:spacing w:val="-12"/>
        </w:rPr>
        <w:t> </w:t>
      </w:r>
      <w:r>
        <w:rPr/>
        <w:t>to</w:t>
      </w:r>
      <w:r>
        <w:rPr>
          <w:spacing w:val="-12"/>
        </w:rPr>
        <w:t> </w:t>
      </w:r>
      <w:r>
        <w:rPr/>
        <w:t>the</w:t>
      </w:r>
      <w:r>
        <w:rPr>
          <w:spacing w:val="-13"/>
        </w:rPr>
        <w:t> </w:t>
      </w:r>
      <w:r>
        <w:rPr/>
        <w:t>fact</w:t>
      </w:r>
      <w:r>
        <w:rPr>
          <w:spacing w:val="-12"/>
        </w:rPr>
        <w:t> </w:t>
      </w:r>
      <w:r>
        <w:rPr/>
        <w:t>that</w:t>
      </w:r>
      <w:r>
        <w:rPr>
          <w:spacing w:val="-12"/>
        </w:rPr>
        <w:t> </w:t>
      </w:r>
      <w:r>
        <w:rPr/>
        <w:t>most</w:t>
      </w:r>
      <w:r>
        <w:rPr>
          <w:spacing w:val="-11"/>
        </w:rPr>
        <w:t> </w:t>
      </w:r>
      <w:r>
        <w:rPr/>
        <w:t>households</w:t>
      </w:r>
      <w:r>
        <w:rPr>
          <w:spacing w:val="-12"/>
        </w:rPr>
        <w:t> </w:t>
      </w:r>
      <w:r>
        <w:rPr/>
        <w:t>in</w:t>
      </w:r>
      <w:r>
        <w:rPr>
          <w:spacing w:val="-12"/>
        </w:rPr>
        <w:t> </w:t>
      </w:r>
      <w:r>
        <w:rPr/>
        <w:t>the</w:t>
      </w:r>
      <w:r>
        <w:rPr>
          <w:spacing w:val="-13"/>
        </w:rPr>
        <w:t> </w:t>
      </w:r>
      <w:r>
        <w:rPr/>
        <w:t>study</w:t>
      </w:r>
      <w:r>
        <w:rPr>
          <w:spacing w:val="-15"/>
        </w:rPr>
        <w:t> </w:t>
      </w:r>
      <w:r>
        <w:rPr/>
        <w:t>area used public tap, private covered dug well, rain water, water vendor and sachet water for drinking purpose and domestic use.</w:t>
      </w:r>
    </w:p>
    <w:p>
      <w:pPr>
        <w:pStyle w:val="BodyText"/>
        <w:spacing w:before="7"/>
      </w:pPr>
    </w:p>
    <w:p>
      <w:pPr>
        <w:pStyle w:val="Heading1"/>
        <w:numPr>
          <w:ilvl w:val="1"/>
          <w:numId w:val="10"/>
        </w:numPr>
        <w:tabs>
          <w:tab w:pos="987" w:val="left" w:leader="none"/>
        </w:tabs>
        <w:spacing w:line="240" w:lineRule="auto" w:before="1" w:after="0"/>
        <w:ind w:left="987" w:right="0" w:hanging="720"/>
        <w:jc w:val="left"/>
      </w:pPr>
      <w:r>
        <w:rPr/>
        <w:t>Water Poverty</w:t>
      </w:r>
      <w:r>
        <w:rPr>
          <w:spacing w:val="-1"/>
        </w:rPr>
        <w:t> </w:t>
      </w:r>
      <w:r>
        <w:rPr/>
        <w:t>in</w:t>
      </w:r>
      <w:r>
        <w:rPr>
          <w:spacing w:val="-1"/>
        </w:rPr>
        <w:t> </w:t>
      </w:r>
      <w:r>
        <w:rPr/>
        <w:t>the</w:t>
      </w:r>
      <w:r>
        <w:rPr>
          <w:spacing w:val="-1"/>
        </w:rPr>
        <w:t> </w:t>
      </w:r>
      <w:r>
        <w:rPr/>
        <w:t>Study </w:t>
      </w:r>
      <w:r>
        <w:rPr>
          <w:spacing w:val="-4"/>
        </w:rPr>
        <w:t>Area</w:t>
      </w:r>
    </w:p>
    <w:p>
      <w:pPr>
        <w:pStyle w:val="BodyText"/>
        <w:spacing w:before="21"/>
        <w:rPr>
          <w:b/>
        </w:rPr>
      </w:pPr>
    </w:p>
    <w:p>
      <w:pPr>
        <w:pStyle w:val="ListParagraph"/>
        <w:numPr>
          <w:ilvl w:val="2"/>
          <w:numId w:val="10"/>
        </w:numPr>
        <w:tabs>
          <w:tab w:pos="987" w:val="left" w:leader="none"/>
        </w:tabs>
        <w:spacing w:line="240" w:lineRule="auto" w:before="0" w:after="0"/>
        <w:ind w:left="987" w:right="0" w:hanging="720"/>
        <w:jc w:val="left"/>
        <w:rPr>
          <w:b/>
          <w:sz w:val="24"/>
        </w:rPr>
      </w:pPr>
      <w:r>
        <w:rPr>
          <w:b/>
          <w:sz w:val="24"/>
        </w:rPr>
        <w:t>Household</w:t>
      </w:r>
      <w:r>
        <w:rPr>
          <w:b/>
          <w:spacing w:val="-2"/>
          <w:sz w:val="24"/>
        </w:rPr>
        <w:t> </w:t>
      </w:r>
      <w:r>
        <w:rPr>
          <w:b/>
          <w:sz w:val="24"/>
        </w:rPr>
        <w:t>water</w:t>
      </w:r>
      <w:r>
        <w:rPr>
          <w:b/>
          <w:spacing w:val="-1"/>
          <w:sz w:val="24"/>
        </w:rPr>
        <w:t> </w:t>
      </w:r>
      <w:r>
        <w:rPr>
          <w:b/>
          <w:spacing w:val="-2"/>
          <w:sz w:val="24"/>
        </w:rPr>
        <w:t>stress</w:t>
      </w:r>
    </w:p>
    <w:p>
      <w:pPr>
        <w:pStyle w:val="BodyText"/>
        <w:spacing w:before="15"/>
        <w:rPr>
          <w:b/>
        </w:rPr>
      </w:pPr>
    </w:p>
    <w:p>
      <w:pPr>
        <w:pStyle w:val="BodyText"/>
        <w:spacing w:line="480" w:lineRule="auto"/>
        <w:ind w:left="267" w:right="728"/>
        <w:jc w:val="both"/>
      </w:pPr>
      <w:r>
        <w:rPr/>
        <w:t>The</w:t>
      </w:r>
      <w:r>
        <w:rPr>
          <w:spacing w:val="-3"/>
        </w:rPr>
        <w:t> </w:t>
      </w:r>
      <w:r>
        <w:rPr/>
        <w:t>section</w:t>
      </w:r>
      <w:r>
        <w:rPr>
          <w:spacing w:val="-1"/>
        </w:rPr>
        <w:t> </w:t>
      </w:r>
      <w:r>
        <w:rPr/>
        <w:t>provides</w:t>
      </w:r>
      <w:r>
        <w:rPr>
          <w:spacing w:val="-1"/>
        </w:rPr>
        <w:t> </w:t>
      </w:r>
      <w:r>
        <w:rPr/>
        <w:t>an analysis</w:t>
      </w:r>
      <w:r>
        <w:rPr>
          <w:spacing w:val="-1"/>
        </w:rPr>
        <w:t> </w:t>
      </w:r>
      <w:r>
        <w:rPr/>
        <w:t>of water</w:t>
      </w:r>
      <w:r>
        <w:rPr>
          <w:spacing w:val="-3"/>
        </w:rPr>
        <w:t> </w:t>
      </w:r>
      <w:r>
        <w:rPr/>
        <w:t>stress/scarcity</w:t>
      </w:r>
      <w:r>
        <w:rPr>
          <w:spacing w:val="-5"/>
        </w:rPr>
        <w:t> </w:t>
      </w:r>
      <w:r>
        <w:rPr/>
        <w:t>condition</w:t>
      </w:r>
      <w:r>
        <w:rPr>
          <w:spacing w:val="40"/>
        </w:rPr>
        <w:t> </w:t>
      </w:r>
      <w:r>
        <w:rPr/>
        <w:t>as</w:t>
      </w:r>
      <w:r>
        <w:rPr>
          <w:spacing w:val="-1"/>
        </w:rPr>
        <w:t> </w:t>
      </w:r>
      <w:r>
        <w:rPr/>
        <w:t>a component</w:t>
      </w:r>
      <w:r>
        <w:rPr>
          <w:spacing w:val="-1"/>
        </w:rPr>
        <w:t> </w:t>
      </w:r>
      <w:r>
        <w:rPr/>
        <w:t>of</w:t>
      </w:r>
      <w:r>
        <w:rPr>
          <w:spacing w:val="-2"/>
        </w:rPr>
        <w:t> </w:t>
      </w:r>
      <w:r>
        <w:rPr/>
        <w:t>water poverty in the study area in terms of water collection responsibility, crossing during water fetching, daily number of trips to water collection, time taken per water collection trip, waiting</w:t>
      </w:r>
      <w:r>
        <w:rPr>
          <w:spacing w:val="-15"/>
        </w:rPr>
        <w:t> </w:t>
      </w:r>
      <w:r>
        <w:rPr/>
        <w:t>time</w:t>
      </w:r>
      <w:r>
        <w:rPr>
          <w:spacing w:val="-15"/>
        </w:rPr>
        <w:t> </w:t>
      </w:r>
      <w:r>
        <w:rPr/>
        <w:t>per</w:t>
      </w:r>
      <w:r>
        <w:rPr>
          <w:spacing w:val="-15"/>
        </w:rPr>
        <w:t> </w:t>
      </w:r>
      <w:r>
        <w:rPr/>
        <w:t>water</w:t>
      </w:r>
      <w:r>
        <w:rPr>
          <w:spacing w:val="-15"/>
        </w:rPr>
        <w:t> </w:t>
      </w:r>
      <w:r>
        <w:rPr/>
        <w:t>collection,</w:t>
      </w:r>
      <w:r>
        <w:rPr>
          <w:spacing w:val="-15"/>
        </w:rPr>
        <w:t> </w:t>
      </w:r>
      <w:r>
        <w:rPr/>
        <w:t>water</w:t>
      </w:r>
      <w:r>
        <w:rPr>
          <w:spacing w:val="-15"/>
        </w:rPr>
        <w:t> </w:t>
      </w:r>
      <w:r>
        <w:rPr/>
        <w:t>quantity</w:t>
      </w:r>
      <w:r>
        <w:rPr>
          <w:spacing w:val="-15"/>
        </w:rPr>
        <w:t> </w:t>
      </w:r>
      <w:r>
        <w:rPr/>
        <w:t>sufficiency</w:t>
      </w:r>
      <w:r>
        <w:rPr>
          <w:spacing w:val="-15"/>
        </w:rPr>
        <w:t> </w:t>
      </w:r>
      <w:r>
        <w:rPr/>
        <w:t>status,</w:t>
      </w:r>
      <w:r>
        <w:rPr>
          <w:spacing w:val="-15"/>
        </w:rPr>
        <w:t> </w:t>
      </w:r>
      <w:r>
        <w:rPr/>
        <w:t>perceived</w:t>
      </w:r>
      <w:r>
        <w:rPr>
          <w:spacing w:val="-15"/>
        </w:rPr>
        <w:t> </w:t>
      </w:r>
      <w:r>
        <w:rPr/>
        <w:t>rainfall</w:t>
      </w:r>
      <w:r>
        <w:rPr>
          <w:spacing w:val="-15"/>
        </w:rPr>
        <w:t> </w:t>
      </w:r>
      <w:r>
        <w:rPr/>
        <w:t>pattern, seasonal</w:t>
      </w:r>
      <w:r>
        <w:rPr>
          <w:spacing w:val="-13"/>
        </w:rPr>
        <w:t> </w:t>
      </w:r>
      <w:r>
        <w:rPr/>
        <w:t>variation</w:t>
      </w:r>
      <w:r>
        <w:rPr>
          <w:spacing w:val="-13"/>
        </w:rPr>
        <w:t> </w:t>
      </w:r>
      <w:r>
        <w:rPr/>
        <w:t>in</w:t>
      </w:r>
      <w:r>
        <w:rPr>
          <w:spacing w:val="-13"/>
        </w:rPr>
        <w:t> </w:t>
      </w:r>
      <w:r>
        <w:rPr/>
        <w:t>public</w:t>
      </w:r>
      <w:r>
        <w:rPr>
          <w:spacing w:val="-14"/>
        </w:rPr>
        <w:t> </w:t>
      </w:r>
      <w:r>
        <w:rPr/>
        <w:t>water</w:t>
      </w:r>
      <w:r>
        <w:rPr>
          <w:spacing w:val="-14"/>
        </w:rPr>
        <w:t> </w:t>
      </w:r>
      <w:r>
        <w:rPr/>
        <w:t>supply,</w:t>
      </w:r>
      <w:r>
        <w:rPr>
          <w:spacing w:val="-13"/>
        </w:rPr>
        <w:t> </w:t>
      </w:r>
      <w:r>
        <w:rPr/>
        <w:t>water</w:t>
      </w:r>
      <w:r>
        <w:rPr>
          <w:spacing w:val="-14"/>
        </w:rPr>
        <w:t> </w:t>
      </w:r>
      <w:r>
        <w:rPr/>
        <w:t>treatment</w:t>
      </w:r>
      <w:r>
        <w:rPr>
          <w:spacing w:val="-13"/>
        </w:rPr>
        <w:t> </w:t>
      </w:r>
      <w:r>
        <w:rPr/>
        <w:t>method,</w:t>
      </w:r>
      <w:r>
        <w:rPr>
          <w:spacing w:val="-13"/>
        </w:rPr>
        <w:t> </w:t>
      </w:r>
      <w:r>
        <w:rPr/>
        <w:t>reliability</w:t>
      </w:r>
      <w:r>
        <w:rPr>
          <w:spacing w:val="-15"/>
        </w:rPr>
        <w:t> </w:t>
      </w:r>
      <w:r>
        <w:rPr/>
        <w:t>of</w:t>
      </w:r>
      <w:r>
        <w:rPr>
          <w:spacing w:val="-11"/>
        </w:rPr>
        <w:t> </w:t>
      </w:r>
      <w:r>
        <w:rPr/>
        <w:t>water</w:t>
      </w:r>
      <w:r>
        <w:rPr>
          <w:spacing w:val="-14"/>
        </w:rPr>
        <w:t> </w:t>
      </w:r>
      <w:r>
        <w:rPr/>
        <w:t>quality for drinking purpose, water related conflicts and monthly expenditure on coping for public tap, drinking and domestic water.</w:t>
      </w:r>
    </w:p>
    <w:p>
      <w:pPr>
        <w:pStyle w:val="Heading1"/>
        <w:numPr>
          <w:ilvl w:val="3"/>
          <w:numId w:val="10"/>
        </w:numPr>
        <w:tabs>
          <w:tab w:pos="986" w:val="left" w:leader="none"/>
        </w:tabs>
        <w:spacing w:line="240" w:lineRule="auto" w:before="169" w:after="0"/>
        <w:ind w:left="986" w:right="0" w:hanging="719"/>
        <w:jc w:val="both"/>
      </w:pPr>
      <w:r>
        <w:rPr/>
        <w:t>Household</w:t>
      </w:r>
      <w:r>
        <w:rPr>
          <w:spacing w:val="-2"/>
        </w:rPr>
        <w:t> </w:t>
      </w:r>
      <w:r>
        <w:rPr/>
        <w:t>water</w:t>
      </w:r>
      <w:r>
        <w:rPr>
          <w:spacing w:val="-2"/>
        </w:rPr>
        <w:t> </w:t>
      </w:r>
      <w:r>
        <w:rPr/>
        <w:t>fetching </w:t>
      </w:r>
      <w:r>
        <w:rPr>
          <w:spacing w:val="-2"/>
        </w:rPr>
        <w:t>responsibility</w:t>
      </w:r>
    </w:p>
    <w:p>
      <w:pPr>
        <w:pStyle w:val="BodyText"/>
        <w:spacing w:before="96"/>
        <w:rPr>
          <w:b/>
        </w:rPr>
      </w:pPr>
    </w:p>
    <w:p>
      <w:pPr>
        <w:pStyle w:val="BodyText"/>
        <w:spacing w:line="480" w:lineRule="auto"/>
        <w:ind w:left="267" w:right="728"/>
        <w:jc w:val="both"/>
      </w:pPr>
      <w:r>
        <w:rPr/>
        <w:t>Figure</w:t>
      </w:r>
      <w:r>
        <w:rPr>
          <w:spacing w:val="-7"/>
        </w:rPr>
        <w:t> </w:t>
      </w:r>
      <w:r>
        <w:rPr/>
        <w:t>4.2</w:t>
      </w:r>
      <w:r>
        <w:rPr>
          <w:spacing w:val="-6"/>
        </w:rPr>
        <w:t> </w:t>
      </w:r>
      <w:r>
        <w:rPr/>
        <w:t>provides</w:t>
      </w:r>
      <w:r>
        <w:rPr>
          <w:spacing w:val="-6"/>
        </w:rPr>
        <w:t> </w:t>
      </w:r>
      <w:r>
        <w:rPr/>
        <w:t>a</w:t>
      </w:r>
      <w:r>
        <w:rPr>
          <w:spacing w:val="-7"/>
        </w:rPr>
        <w:t> </w:t>
      </w:r>
      <w:r>
        <w:rPr/>
        <w:t>breakdown</w:t>
      </w:r>
      <w:r>
        <w:rPr>
          <w:spacing w:val="-6"/>
        </w:rPr>
        <w:t> </w:t>
      </w:r>
      <w:r>
        <w:rPr/>
        <w:t>of</w:t>
      </w:r>
      <w:r>
        <w:rPr>
          <w:spacing w:val="-7"/>
        </w:rPr>
        <w:t> </w:t>
      </w:r>
      <w:r>
        <w:rPr/>
        <w:t>the</w:t>
      </w:r>
      <w:r>
        <w:rPr>
          <w:spacing w:val="-6"/>
        </w:rPr>
        <w:t> </w:t>
      </w:r>
      <w:r>
        <w:rPr/>
        <w:t>individuals</w:t>
      </w:r>
      <w:r>
        <w:rPr>
          <w:spacing w:val="-6"/>
        </w:rPr>
        <w:t> </w:t>
      </w:r>
      <w:r>
        <w:rPr/>
        <w:t>within</w:t>
      </w:r>
      <w:r>
        <w:rPr>
          <w:spacing w:val="-6"/>
        </w:rPr>
        <w:t> </w:t>
      </w:r>
      <w:r>
        <w:rPr/>
        <w:t>households</w:t>
      </w:r>
      <w:r>
        <w:rPr>
          <w:spacing w:val="-5"/>
        </w:rPr>
        <w:t> </w:t>
      </w:r>
      <w:r>
        <w:rPr/>
        <w:t>who</w:t>
      </w:r>
      <w:r>
        <w:rPr>
          <w:spacing w:val="-6"/>
        </w:rPr>
        <w:t> </w:t>
      </w:r>
      <w:r>
        <w:rPr/>
        <w:t>were</w:t>
      </w:r>
      <w:r>
        <w:rPr>
          <w:spacing w:val="-5"/>
        </w:rPr>
        <w:t> </w:t>
      </w:r>
      <w:r>
        <w:rPr/>
        <w:t>responsible for</w:t>
      </w:r>
      <w:r>
        <w:rPr>
          <w:spacing w:val="-9"/>
        </w:rPr>
        <w:t> </w:t>
      </w:r>
      <w:r>
        <w:rPr/>
        <w:t>water</w:t>
      </w:r>
      <w:r>
        <w:rPr>
          <w:spacing w:val="-8"/>
        </w:rPr>
        <w:t> </w:t>
      </w:r>
      <w:r>
        <w:rPr/>
        <w:t>fetching</w:t>
      </w:r>
      <w:r>
        <w:rPr>
          <w:spacing w:val="-10"/>
        </w:rPr>
        <w:t> </w:t>
      </w:r>
      <w:r>
        <w:rPr/>
        <w:t>in</w:t>
      </w:r>
      <w:r>
        <w:rPr>
          <w:spacing w:val="-7"/>
        </w:rPr>
        <w:t> </w:t>
      </w:r>
      <w:r>
        <w:rPr/>
        <w:t>the</w:t>
      </w:r>
      <w:r>
        <w:rPr>
          <w:spacing w:val="-8"/>
        </w:rPr>
        <w:t> </w:t>
      </w:r>
      <w:r>
        <w:rPr/>
        <w:t>study</w:t>
      </w:r>
      <w:r>
        <w:rPr>
          <w:spacing w:val="-12"/>
        </w:rPr>
        <w:t> </w:t>
      </w:r>
      <w:r>
        <w:rPr/>
        <w:t>area.</w:t>
      </w:r>
      <w:r>
        <w:rPr>
          <w:spacing w:val="-2"/>
        </w:rPr>
        <w:t> </w:t>
      </w:r>
      <w:r>
        <w:rPr/>
        <w:t>As</w:t>
      </w:r>
      <w:r>
        <w:rPr>
          <w:spacing w:val="-8"/>
        </w:rPr>
        <w:t> </w:t>
      </w:r>
      <w:r>
        <w:rPr/>
        <w:t>seen</w:t>
      </w:r>
      <w:r>
        <w:rPr>
          <w:spacing w:val="-7"/>
        </w:rPr>
        <w:t> </w:t>
      </w:r>
      <w:r>
        <w:rPr/>
        <w:t>in</w:t>
      </w:r>
      <w:r>
        <w:rPr>
          <w:spacing w:val="-7"/>
        </w:rPr>
        <w:t> </w:t>
      </w:r>
      <w:r>
        <w:rPr/>
        <w:t>figure</w:t>
      </w:r>
      <w:r>
        <w:rPr>
          <w:spacing w:val="-9"/>
        </w:rPr>
        <w:t> </w:t>
      </w:r>
      <w:r>
        <w:rPr/>
        <w:t>4.2,</w:t>
      </w:r>
      <w:r>
        <w:rPr>
          <w:spacing w:val="-7"/>
        </w:rPr>
        <w:t> </w:t>
      </w:r>
      <w:r>
        <w:rPr>
          <w:color w:val="0D0F1A"/>
        </w:rPr>
        <w:t>responses</w:t>
      </w:r>
      <w:r>
        <w:rPr>
          <w:color w:val="0D0F1A"/>
          <w:spacing w:val="-8"/>
        </w:rPr>
        <w:t> </w:t>
      </w:r>
      <w:r>
        <w:rPr>
          <w:color w:val="0D0F1A"/>
        </w:rPr>
        <w:t>from</w:t>
      </w:r>
      <w:r>
        <w:rPr>
          <w:color w:val="0D0F1A"/>
          <w:spacing w:val="-8"/>
        </w:rPr>
        <w:t> </w:t>
      </w:r>
      <w:r>
        <w:rPr>
          <w:color w:val="0D0F1A"/>
        </w:rPr>
        <w:t>all</w:t>
      </w:r>
      <w:r>
        <w:rPr>
          <w:color w:val="0D0F1A"/>
          <w:spacing w:val="-4"/>
        </w:rPr>
        <w:t> </w:t>
      </w:r>
      <w:r>
        <w:rPr>
          <w:color w:val="0D0F1A"/>
        </w:rPr>
        <w:t>the</w:t>
      </w:r>
      <w:r>
        <w:rPr>
          <w:color w:val="0D0F1A"/>
          <w:spacing w:val="-6"/>
        </w:rPr>
        <w:t> </w:t>
      </w:r>
      <w:r>
        <w:rPr>
          <w:color w:val="0D0F1A"/>
        </w:rPr>
        <w:t>respondents in</w:t>
      </w:r>
      <w:r>
        <w:rPr>
          <w:color w:val="0D0F1A"/>
          <w:spacing w:val="-3"/>
        </w:rPr>
        <w:t> </w:t>
      </w:r>
      <w:r>
        <w:rPr>
          <w:color w:val="0D0F1A"/>
        </w:rPr>
        <w:t>the</w:t>
      </w:r>
      <w:r>
        <w:rPr>
          <w:color w:val="0D0F1A"/>
          <w:spacing w:val="-4"/>
        </w:rPr>
        <w:t> </w:t>
      </w:r>
      <w:r>
        <w:rPr>
          <w:color w:val="0D0F1A"/>
        </w:rPr>
        <w:t>study</w:t>
      </w:r>
      <w:r>
        <w:rPr>
          <w:color w:val="0D0F1A"/>
          <w:spacing w:val="-9"/>
        </w:rPr>
        <w:t> </w:t>
      </w:r>
      <w:r>
        <w:rPr>
          <w:color w:val="0D0F1A"/>
        </w:rPr>
        <w:t>area</w:t>
      </w:r>
      <w:r>
        <w:rPr>
          <w:color w:val="0D0F1A"/>
          <w:spacing w:val="-5"/>
        </w:rPr>
        <w:t> </w:t>
      </w:r>
      <w:r>
        <w:rPr>
          <w:color w:val="0D0F1A"/>
        </w:rPr>
        <w:t>on</w:t>
      </w:r>
      <w:r>
        <w:rPr>
          <w:color w:val="0D0F1A"/>
          <w:spacing w:val="-4"/>
        </w:rPr>
        <w:t> </w:t>
      </w:r>
      <w:r>
        <w:rPr>
          <w:color w:val="0D0F1A"/>
        </w:rPr>
        <w:t>water</w:t>
      </w:r>
      <w:r>
        <w:rPr>
          <w:color w:val="0D0F1A"/>
          <w:spacing w:val="-5"/>
        </w:rPr>
        <w:t> </w:t>
      </w:r>
      <w:r>
        <w:rPr>
          <w:color w:val="0D0F1A"/>
        </w:rPr>
        <w:t>fetching</w:t>
      </w:r>
      <w:r>
        <w:rPr>
          <w:color w:val="0D0F1A"/>
          <w:spacing w:val="-6"/>
        </w:rPr>
        <w:t> </w:t>
      </w:r>
      <w:r>
        <w:rPr>
          <w:color w:val="0D0F1A"/>
        </w:rPr>
        <w:t>responsibility</w:t>
      </w:r>
      <w:r>
        <w:rPr>
          <w:color w:val="0D0F1A"/>
          <w:spacing w:val="-11"/>
        </w:rPr>
        <w:t> </w:t>
      </w:r>
      <w:r>
        <w:rPr>
          <w:color w:val="0D0F1A"/>
        </w:rPr>
        <w:t>showed</w:t>
      </w:r>
      <w:r>
        <w:rPr>
          <w:color w:val="0D0F1A"/>
          <w:spacing w:val="-4"/>
        </w:rPr>
        <w:t> </w:t>
      </w:r>
      <w:r>
        <w:rPr>
          <w:color w:val="0D0F1A"/>
        </w:rPr>
        <w:t>that</w:t>
      </w:r>
      <w:r>
        <w:rPr>
          <w:color w:val="0D0F1A"/>
          <w:spacing w:val="-4"/>
        </w:rPr>
        <w:t> </w:t>
      </w:r>
      <w:r>
        <w:rPr>
          <w:color w:val="0D0F1A"/>
        </w:rPr>
        <w:t>22</w:t>
      </w:r>
      <w:r>
        <w:rPr>
          <w:color w:val="0D0F1A"/>
          <w:spacing w:val="-4"/>
        </w:rPr>
        <w:t> </w:t>
      </w:r>
      <w:r>
        <w:rPr>
          <w:color w:val="0D0F1A"/>
        </w:rPr>
        <w:t>(6.10%)</w:t>
      </w:r>
      <w:r>
        <w:rPr>
          <w:color w:val="0D0F1A"/>
          <w:spacing w:val="-5"/>
        </w:rPr>
        <w:t> </w:t>
      </w:r>
      <w:r>
        <w:rPr>
          <w:color w:val="0D0F1A"/>
        </w:rPr>
        <w:t>were</w:t>
      </w:r>
      <w:r>
        <w:rPr>
          <w:color w:val="0D0F1A"/>
          <w:spacing w:val="-6"/>
        </w:rPr>
        <w:t> </w:t>
      </w:r>
      <w:r>
        <w:rPr>
          <w:color w:val="0D0F1A"/>
        </w:rPr>
        <w:t>women</w:t>
      </w:r>
      <w:r>
        <w:rPr>
          <w:color w:val="0D0F1A"/>
          <w:spacing w:val="-4"/>
        </w:rPr>
        <w:t> </w:t>
      </w:r>
      <w:r>
        <w:rPr>
          <w:color w:val="0D0F1A"/>
        </w:rPr>
        <w:t>only, 4(1.10%)</w:t>
      </w:r>
      <w:r>
        <w:rPr>
          <w:color w:val="0D0F1A"/>
          <w:spacing w:val="-9"/>
        </w:rPr>
        <w:t> </w:t>
      </w:r>
      <w:r>
        <w:rPr>
          <w:color w:val="0D0F1A"/>
        </w:rPr>
        <w:t>were</w:t>
      </w:r>
      <w:r>
        <w:rPr>
          <w:color w:val="0D0F1A"/>
          <w:spacing w:val="-10"/>
        </w:rPr>
        <w:t> </w:t>
      </w:r>
      <w:r>
        <w:rPr>
          <w:color w:val="0D0F1A"/>
        </w:rPr>
        <w:t>men</w:t>
      </w:r>
      <w:r>
        <w:rPr>
          <w:color w:val="0D0F1A"/>
          <w:spacing w:val="-8"/>
        </w:rPr>
        <w:t> </w:t>
      </w:r>
      <w:r>
        <w:rPr>
          <w:color w:val="0D0F1A"/>
        </w:rPr>
        <w:t>only,</w:t>
      </w:r>
      <w:r>
        <w:rPr>
          <w:color w:val="0D0F1A"/>
          <w:spacing w:val="-6"/>
        </w:rPr>
        <w:t> </w:t>
      </w:r>
      <w:r>
        <w:rPr>
          <w:color w:val="0D0F1A"/>
        </w:rPr>
        <w:t>2(0.60%)</w:t>
      </w:r>
      <w:r>
        <w:rPr>
          <w:color w:val="0D0F1A"/>
          <w:spacing w:val="-9"/>
        </w:rPr>
        <w:t> </w:t>
      </w:r>
      <w:r>
        <w:rPr>
          <w:color w:val="0D0F1A"/>
        </w:rPr>
        <w:t>were</w:t>
      </w:r>
      <w:r>
        <w:rPr>
          <w:color w:val="0D0F1A"/>
          <w:spacing w:val="-8"/>
        </w:rPr>
        <w:t> </w:t>
      </w:r>
      <w:r>
        <w:rPr>
          <w:color w:val="0D0F1A"/>
        </w:rPr>
        <w:t>female</w:t>
      </w:r>
      <w:r>
        <w:rPr>
          <w:color w:val="0D0F1A"/>
          <w:spacing w:val="-9"/>
        </w:rPr>
        <w:t> </w:t>
      </w:r>
      <w:r>
        <w:rPr>
          <w:color w:val="0D0F1A"/>
        </w:rPr>
        <w:t>children</w:t>
      </w:r>
      <w:r>
        <w:rPr>
          <w:color w:val="0D0F1A"/>
          <w:spacing w:val="-8"/>
        </w:rPr>
        <w:t> </w:t>
      </w:r>
      <w:r>
        <w:rPr>
          <w:color w:val="0D0F1A"/>
        </w:rPr>
        <w:t>only,</w:t>
      </w:r>
      <w:r>
        <w:rPr>
          <w:color w:val="0D0F1A"/>
          <w:spacing w:val="-8"/>
        </w:rPr>
        <w:t> </w:t>
      </w:r>
      <w:r>
        <w:rPr>
          <w:color w:val="0D0F1A"/>
        </w:rPr>
        <w:t>1(0.30%)</w:t>
      </w:r>
      <w:r>
        <w:rPr>
          <w:color w:val="0D0F1A"/>
          <w:spacing w:val="-7"/>
        </w:rPr>
        <w:t> </w:t>
      </w:r>
      <w:r>
        <w:rPr>
          <w:color w:val="0D0F1A"/>
        </w:rPr>
        <w:t>were</w:t>
      </w:r>
      <w:r>
        <w:rPr>
          <w:color w:val="0D0F1A"/>
          <w:spacing w:val="-10"/>
        </w:rPr>
        <w:t> </w:t>
      </w:r>
      <w:r>
        <w:rPr>
          <w:color w:val="0D0F1A"/>
        </w:rPr>
        <w:t>male</w:t>
      </w:r>
      <w:r>
        <w:rPr>
          <w:color w:val="0D0F1A"/>
          <w:spacing w:val="-9"/>
        </w:rPr>
        <w:t> </w:t>
      </w:r>
      <w:r>
        <w:rPr>
          <w:color w:val="0D0F1A"/>
        </w:rPr>
        <w:t>children only, while 77(21.40%) were only children. Furthermore, 3(0.80%) were men and female children,</w:t>
      </w:r>
      <w:r>
        <w:rPr>
          <w:color w:val="0D0F1A"/>
          <w:spacing w:val="-11"/>
        </w:rPr>
        <w:t> </w:t>
      </w:r>
      <w:r>
        <w:rPr>
          <w:color w:val="0D0F1A"/>
        </w:rPr>
        <w:t>1(0.30%)</w:t>
      </w:r>
      <w:r>
        <w:rPr>
          <w:color w:val="0D0F1A"/>
          <w:spacing w:val="-11"/>
        </w:rPr>
        <w:t> </w:t>
      </w:r>
      <w:r>
        <w:rPr>
          <w:color w:val="0D0F1A"/>
        </w:rPr>
        <w:t>were</w:t>
      </w:r>
      <w:r>
        <w:rPr>
          <w:color w:val="0D0F1A"/>
          <w:spacing w:val="-10"/>
        </w:rPr>
        <w:t> </w:t>
      </w:r>
      <w:r>
        <w:rPr>
          <w:color w:val="0D0F1A"/>
        </w:rPr>
        <w:t>men</w:t>
      </w:r>
      <w:r>
        <w:rPr>
          <w:color w:val="0D0F1A"/>
          <w:spacing w:val="-11"/>
        </w:rPr>
        <w:t> </w:t>
      </w:r>
      <w:r>
        <w:rPr>
          <w:color w:val="0D0F1A"/>
        </w:rPr>
        <w:t>and</w:t>
      </w:r>
      <w:r>
        <w:rPr>
          <w:color w:val="0D0F1A"/>
          <w:spacing w:val="-11"/>
        </w:rPr>
        <w:t> </w:t>
      </w:r>
      <w:r>
        <w:rPr>
          <w:color w:val="0D0F1A"/>
        </w:rPr>
        <w:t>male</w:t>
      </w:r>
      <w:r>
        <w:rPr>
          <w:color w:val="0D0F1A"/>
          <w:spacing w:val="-9"/>
        </w:rPr>
        <w:t> </w:t>
      </w:r>
      <w:r>
        <w:rPr>
          <w:color w:val="0D0F1A"/>
        </w:rPr>
        <w:t>children,</w:t>
      </w:r>
      <w:r>
        <w:rPr>
          <w:color w:val="0D0F1A"/>
          <w:spacing w:val="-11"/>
        </w:rPr>
        <w:t> </w:t>
      </w:r>
      <w:r>
        <w:rPr>
          <w:color w:val="0D0F1A"/>
        </w:rPr>
        <w:t>6(1.70%)</w:t>
      </w:r>
      <w:r>
        <w:rPr>
          <w:color w:val="0D0F1A"/>
          <w:spacing w:val="-11"/>
        </w:rPr>
        <w:t> </w:t>
      </w:r>
      <w:r>
        <w:rPr>
          <w:color w:val="0D0F1A"/>
        </w:rPr>
        <w:t>were</w:t>
      </w:r>
      <w:r>
        <w:rPr>
          <w:color w:val="0D0F1A"/>
          <w:spacing w:val="-10"/>
        </w:rPr>
        <w:t> </w:t>
      </w:r>
      <w:r>
        <w:rPr>
          <w:color w:val="0D0F1A"/>
        </w:rPr>
        <w:t>women</w:t>
      </w:r>
      <w:r>
        <w:rPr>
          <w:color w:val="0D0F1A"/>
          <w:spacing w:val="-8"/>
        </w:rPr>
        <w:t> </w:t>
      </w:r>
      <w:r>
        <w:rPr>
          <w:color w:val="0D0F1A"/>
        </w:rPr>
        <w:t>and</w:t>
      </w:r>
      <w:r>
        <w:rPr>
          <w:color w:val="0D0F1A"/>
          <w:spacing w:val="-11"/>
        </w:rPr>
        <w:t> </w:t>
      </w:r>
      <w:r>
        <w:rPr>
          <w:color w:val="0D0F1A"/>
        </w:rPr>
        <w:t>female</w:t>
      </w:r>
      <w:r>
        <w:rPr>
          <w:color w:val="0D0F1A"/>
          <w:spacing w:val="-9"/>
        </w:rPr>
        <w:t> </w:t>
      </w:r>
      <w:r>
        <w:rPr>
          <w:color w:val="0D0F1A"/>
        </w:rPr>
        <w:t>children, 161(44.80%) were women, men and children, 3(0.80%) were men and children while the remaining 79(22.00) were women and children.</w:t>
      </w:r>
    </w:p>
    <w:p>
      <w:pPr>
        <w:spacing w:after="0" w:line="480" w:lineRule="auto"/>
        <w:jc w:val="both"/>
        <w:sectPr>
          <w:pgSz w:w="12240" w:h="15840"/>
          <w:pgMar w:header="0" w:footer="1068" w:top="1340" w:bottom="1260" w:left="1720" w:right="680"/>
        </w:sectPr>
      </w:pPr>
    </w:p>
    <w:p>
      <w:pPr>
        <w:pStyle w:val="BodyText"/>
        <w:ind w:left="267"/>
        <w:rPr>
          <w:sz w:val="20"/>
        </w:rPr>
      </w:pPr>
      <w:r>
        <w:rPr>
          <w:sz w:val="20"/>
        </w:rPr>
        <w:drawing>
          <wp:inline distT="0" distB="0" distL="0" distR="0">
            <wp:extent cx="5396767" cy="2331338"/>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28" cstate="print"/>
                    <a:stretch>
                      <a:fillRect/>
                    </a:stretch>
                  </pic:blipFill>
                  <pic:spPr>
                    <a:xfrm>
                      <a:off x="0" y="0"/>
                      <a:ext cx="5396767" cy="2331338"/>
                    </a:xfrm>
                    <a:prstGeom prst="rect">
                      <a:avLst/>
                    </a:prstGeom>
                  </pic:spPr>
                </pic:pic>
              </a:graphicData>
            </a:graphic>
          </wp:inline>
        </w:drawing>
      </w:r>
      <w:r>
        <w:rPr>
          <w:sz w:val="20"/>
        </w:rPr>
      </w:r>
    </w:p>
    <w:p>
      <w:pPr>
        <w:pStyle w:val="Heading1"/>
        <w:spacing w:before="37"/>
        <w:ind w:firstLine="244"/>
      </w:pPr>
      <w:r>
        <w:rPr/>
        <w:t>Figure</w:t>
      </w:r>
      <w:r>
        <w:rPr>
          <w:spacing w:val="-5"/>
        </w:rPr>
        <w:t> </w:t>
      </w:r>
      <w:r>
        <w:rPr/>
        <w:t>4.2:</w:t>
      </w:r>
      <w:r>
        <w:rPr>
          <w:spacing w:val="-1"/>
        </w:rPr>
        <w:t> </w:t>
      </w:r>
      <w:r>
        <w:rPr/>
        <w:t>Frequency</w:t>
      </w:r>
      <w:r>
        <w:rPr>
          <w:spacing w:val="-2"/>
        </w:rPr>
        <w:t> </w:t>
      </w:r>
      <w:r>
        <w:rPr/>
        <w:t>and</w:t>
      </w:r>
      <w:r>
        <w:rPr>
          <w:spacing w:val="-2"/>
        </w:rPr>
        <w:t> </w:t>
      </w:r>
      <w:r>
        <w:rPr/>
        <w:t>Percentage</w:t>
      </w:r>
      <w:r>
        <w:rPr>
          <w:spacing w:val="-4"/>
        </w:rPr>
        <w:t> </w:t>
      </w:r>
      <w:r>
        <w:rPr/>
        <w:t>of</w:t>
      </w:r>
      <w:r>
        <w:rPr>
          <w:spacing w:val="1"/>
        </w:rPr>
        <w:t> </w:t>
      </w:r>
      <w:r>
        <w:rPr/>
        <w:t>Persons</w:t>
      </w:r>
      <w:r>
        <w:rPr>
          <w:spacing w:val="-2"/>
        </w:rPr>
        <w:t> </w:t>
      </w:r>
      <w:r>
        <w:rPr/>
        <w:t>Responsible</w:t>
      </w:r>
      <w:r>
        <w:rPr>
          <w:spacing w:val="-2"/>
        </w:rPr>
        <w:t> </w:t>
      </w:r>
      <w:r>
        <w:rPr/>
        <w:t>for</w:t>
      </w:r>
      <w:r>
        <w:rPr>
          <w:spacing w:val="-3"/>
        </w:rPr>
        <w:t> </w:t>
      </w:r>
      <w:r>
        <w:rPr/>
        <w:t>Water </w:t>
      </w:r>
      <w:r>
        <w:rPr>
          <w:spacing w:val="-2"/>
        </w:rPr>
        <w:t>Fetching</w:t>
      </w:r>
    </w:p>
    <w:p>
      <w:pPr>
        <w:pStyle w:val="BodyText"/>
        <w:spacing w:before="271"/>
        <w:rPr>
          <w:b/>
        </w:rPr>
      </w:pPr>
    </w:p>
    <w:p>
      <w:pPr>
        <w:pStyle w:val="BodyText"/>
        <w:spacing w:line="480" w:lineRule="auto"/>
        <w:ind w:left="267" w:right="727"/>
        <w:jc w:val="both"/>
      </w:pPr>
      <w:r>
        <w:rPr>
          <w:color w:val="0D0F1A"/>
        </w:rPr>
        <w:t>This</w:t>
      </w:r>
      <w:r>
        <w:rPr>
          <w:color w:val="0D0F1A"/>
          <w:spacing w:val="-15"/>
        </w:rPr>
        <w:t> </w:t>
      </w:r>
      <w:r>
        <w:rPr>
          <w:color w:val="0D0F1A"/>
        </w:rPr>
        <w:t>nature</w:t>
      </w:r>
      <w:r>
        <w:rPr>
          <w:color w:val="0D0F1A"/>
          <w:spacing w:val="-15"/>
        </w:rPr>
        <w:t> </w:t>
      </w:r>
      <w:r>
        <w:rPr>
          <w:color w:val="0D0F1A"/>
        </w:rPr>
        <w:t>of</w:t>
      </w:r>
      <w:r>
        <w:rPr>
          <w:color w:val="0D0F1A"/>
          <w:spacing w:val="-15"/>
        </w:rPr>
        <w:t> </w:t>
      </w:r>
      <w:r>
        <w:rPr>
          <w:color w:val="0D0F1A"/>
        </w:rPr>
        <w:t>responses</w:t>
      </w:r>
      <w:r>
        <w:rPr>
          <w:color w:val="0D0F1A"/>
          <w:spacing w:val="-15"/>
        </w:rPr>
        <w:t> </w:t>
      </w:r>
      <w:r>
        <w:rPr>
          <w:color w:val="0D0F1A"/>
        </w:rPr>
        <w:t>depicts</w:t>
      </w:r>
      <w:r>
        <w:rPr>
          <w:color w:val="0D0F1A"/>
          <w:spacing w:val="-15"/>
        </w:rPr>
        <w:t> </w:t>
      </w:r>
      <w:r>
        <w:rPr>
          <w:color w:val="0D0F1A"/>
        </w:rPr>
        <w:t>two</w:t>
      </w:r>
      <w:r>
        <w:rPr>
          <w:color w:val="0D0F1A"/>
          <w:spacing w:val="-15"/>
        </w:rPr>
        <w:t> </w:t>
      </w:r>
      <w:r>
        <w:rPr>
          <w:color w:val="0D0F1A"/>
        </w:rPr>
        <w:t>interesting</w:t>
      </w:r>
      <w:r>
        <w:rPr>
          <w:color w:val="0D0F1A"/>
          <w:spacing w:val="-15"/>
        </w:rPr>
        <w:t> </w:t>
      </w:r>
      <w:r>
        <w:rPr>
          <w:color w:val="0D0F1A"/>
        </w:rPr>
        <w:t>inferences.</w:t>
      </w:r>
      <w:r>
        <w:rPr>
          <w:color w:val="0D0F1A"/>
          <w:spacing w:val="-15"/>
        </w:rPr>
        <w:t> </w:t>
      </w:r>
      <w:r>
        <w:rPr>
          <w:color w:val="0D0F1A"/>
        </w:rPr>
        <w:t>First,</w:t>
      </w:r>
      <w:r>
        <w:rPr>
          <w:color w:val="0D0F1A"/>
          <w:spacing w:val="-15"/>
        </w:rPr>
        <w:t> </w:t>
      </w:r>
      <w:r>
        <w:rPr>
          <w:color w:val="0D0F1A"/>
        </w:rPr>
        <w:t>gender</w:t>
      </w:r>
      <w:r>
        <w:rPr>
          <w:color w:val="0D0F1A"/>
          <w:spacing w:val="-15"/>
        </w:rPr>
        <w:t> </w:t>
      </w:r>
      <w:r>
        <w:rPr>
          <w:color w:val="0D0F1A"/>
        </w:rPr>
        <w:t>dimension</w:t>
      </w:r>
      <w:r>
        <w:rPr>
          <w:color w:val="0D0F1A"/>
          <w:spacing w:val="-15"/>
        </w:rPr>
        <w:t> </w:t>
      </w:r>
      <w:r>
        <w:rPr>
          <w:color w:val="0D0F1A"/>
        </w:rPr>
        <w:t>manifests in</w:t>
      </w:r>
      <w:r>
        <w:rPr>
          <w:color w:val="0D0F1A"/>
          <w:spacing w:val="-8"/>
        </w:rPr>
        <w:t> </w:t>
      </w:r>
      <w:r>
        <w:rPr/>
        <w:t>household</w:t>
      </w:r>
      <w:r>
        <w:rPr>
          <w:spacing w:val="-8"/>
        </w:rPr>
        <w:t> </w:t>
      </w:r>
      <w:r>
        <w:rPr/>
        <w:t>water</w:t>
      </w:r>
      <w:r>
        <w:rPr>
          <w:spacing w:val="-9"/>
        </w:rPr>
        <w:t> </w:t>
      </w:r>
      <w:r>
        <w:rPr/>
        <w:t>fetching</w:t>
      </w:r>
      <w:r>
        <w:rPr>
          <w:spacing w:val="-11"/>
        </w:rPr>
        <w:t> </w:t>
      </w:r>
      <w:r>
        <w:rPr/>
        <w:t>responsibility</w:t>
      </w:r>
      <w:r>
        <w:rPr>
          <w:spacing w:val="-13"/>
        </w:rPr>
        <w:t> </w:t>
      </w:r>
      <w:r>
        <w:rPr/>
        <w:t>in</w:t>
      </w:r>
      <w:r>
        <w:rPr>
          <w:spacing w:val="-8"/>
        </w:rPr>
        <w:t> </w:t>
      </w:r>
      <w:r>
        <w:rPr/>
        <w:t>the</w:t>
      </w:r>
      <w:r>
        <w:rPr>
          <w:spacing w:val="-9"/>
        </w:rPr>
        <w:t> </w:t>
      </w:r>
      <w:r>
        <w:rPr/>
        <w:t>study</w:t>
      </w:r>
      <w:r>
        <w:rPr>
          <w:spacing w:val="-13"/>
        </w:rPr>
        <w:t> </w:t>
      </w:r>
      <w:r>
        <w:rPr/>
        <w:t>area.</w:t>
      </w:r>
      <w:r>
        <w:rPr>
          <w:spacing w:val="-8"/>
        </w:rPr>
        <w:t> </w:t>
      </w:r>
      <w:r>
        <w:rPr/>
        <w:t>As</w:t>
      </w:r>
      <w:r>
        <w:rPr>
          <w:spacing w:val="-9"/>
        </w:rPr>
        <w:t> </w:t>
      </w:r>
      <w:r>
        <w:rPr/>
        <w:t>observed</w:t>
      </w:r>
      <w:r>
        <w:rPr>
          <w:spacing w:val="-8"/>
        </w:rPr>
        <w:t> </w:t>
      </w:r>
      <w:r>
        <w:rPr/>
        <w:t>from</w:t>
      </w:r>
      <w:r>
        <w:rPr>
          <w:spacing w:val="-8"/>
        </w:rPr>
        <w:t> </w:t>
      </w:r>
      <w:r>
        <w:rPr/>
        <w:t>figure</w:t>
      </w:r>
      <w:r>
        <w:rPr>
          <w:spacing w:val="-10"/>
        </w:rPr>
        <w:t> </w:t>
      </w:r>
      <w:r>
        <w:rPr/>
        <w:t>4.2,</w:t>
      </w:r>
      <w:r>
        <w:rPr>
          <w:spacing w:val="-8"/>
        </w:rPr>
        <w:t> </w:t>
      </w:r>
      <w:r>
        <w:rPr/>
        <w:t>the search and fetching of water is the domestic responsibility of women in most households, though they are assisted by male and female children alike in the study area.</w:t>
      </w:r>
      <w:r>
        <w:rPr>
          <w:spacing w:val="40"/>
        </w:rPr>
        <w:t> </w:t>
      </w:r>
      <w:r>
        <w:rPr>
          <w:color w:val="0D0F1A"/>
        </w:rPr>
        <w:t>Secondly, as water fetching responsibility lies mainly with women and children (the vulnerable group), they</w:t>
      </w:r>
      <w:r>
        <w:rPr>
          <w:color w:val="0D0F1A"/>
          <w:spacing w:val="-15"/>
        </w:rPr>
        <w:t> </w:t>
      </w:r>
      <w:r>
        <w:rPr>
          <w:color w:val="0D0F1A"/>
        </w:rPr>
        <w:t>suffered</w:t>
      </w:r>
      <w:r>
        <w:rPr>
          <w:color w:val="0D0F1A"/>
          <w:spacing w:val="-15"/>
        </w:rPr>
        <w:t> </w:t>
      </w:r>
      <w:r>
        <w:rPr>
          <w:color w:val="0D0F1A"/>
        </w:rPr>
        <w:t>the</w:t>
      </w:r>
      <w:r>
        <w:rPr>
          <w:color w:val="0D0F1A"/>
          <w:spacing w:val="-14"/>
        </w:rPr>
        <w:t> </w:t>
      </w:r>
      <w:r>
        <w:rPr>
          <w:color w:val="0D0F1A"/>
        </w:rPr>
        <w:t>physical</w:t>
      </w:r>
      <w:r>
        <w:rPr>
          <w:color w:val="0D0F1A"/>
          <w:spacing w:val="-10"/>
        </w:rPr>
        <w:t> </w:t>
      </w:r>
      <w:r>
        <w:rPr>
          <w:color w:val="0D0F1A"/>
        </w:rPr>
        <w:t>burden</w:t>
      </w:r>
      <w:r>
        <w:rPr>
          <w:color w:val="0D0F1A"/>
          <w:spacing w:val="-13"/>
        </w:rPr>
        <w:t> </w:t>
      </w:r>
      <w:r>
        <w:rPr>
          <w:color w:val="0D0F1A"/>
        </w:rPr>
        <w:t>related</w:t>
      </w:r>
      <w:r>
        <w:rPr>
          <w:color w:val="0D0F1A"/>
          <w:spacing w:val="-13"/>
        </w:rPr>
        <w:t> </w:t>
      </w:r>
      <w:r>
        <w:rPr>
          <w:color w:val="0D0F1A"/>
        </w:rPr>
        <w:t>to</w:t>
      </w:r>
      <w:r>
        <w:rPr>
          <w:color w:val="0D0F1A"/>
          <w:spacing w:val="-13"/>
        </w:rPr>
        <w:t> </w:t>
      </w:r>
      <w:r>
        <w:rPr>
          <w:color w:val="0D0F1A"/>
        </w:rPr>
        <w:t>water</w:t>
      </w:r>
      <w:r>
        <w:rPr>
          <w:color w:val="0D0F1A"/>
          <w:spacing w:val="-14"/>
        </w:rPr>
        <w:t> </w:t>
      </w:r>
      <w:r>
        <w:rPr>
          <w:color w:val="0D0F1A"/>
        </w:rPr>
        <w:t>fetching/abstraction</w:t>
      </w:r>
      <w:r>
        <w:rPr>
          <w:color w:val="0D0F1A"/>
          <w:spacing w:val="-13"/>
        </w:rPr>
        <w:t> </w:t>
      </w:r>
      <w:r>
        <w:rPr>
          <w:color w:val="0D0F1A"/>
        </w:rPr>
        <w:t>in</w:t>
      </w:r>
      <w:r>
        <w:rPr>
          <w:color w:val="0D0F1A"/>
          <w:spacing w:val="-13"/>
        </w:rPr>
        <w:t> </w:t>
      </w:r>
      <w:r>
        <w:rPr>
          <w:color w:val="0D0F1A"/>
        </w:rPr>
        <w:t>the</w:t>
      </w:r>
      <w:r>
        <w:rPr>
          <w:color w:val="0D0F1A"/>
          <w:spacing w:val="-11"/>
        </w:rPr>
        <w:t> </w:t>
      </w:r>
      <w:r>
        <w:rPr>
          <w:color w:val="0D0F1A"/>
        </w:rPr>
        <w:t>study</w:t>
      </w:r>
      <w:r>
        <w:rPr>
          <w:color w:val="0D0F1A"/>
          <w:spacing w:val="-15"/>
        </w:rPr>
        <w:t> </w:t>
      </w:r>
      <w:r>
        <w:rPr>
          <w:color w:val="0D0F1A"/>
        </w:rPr>
        <w:t>area,</w:t>
      </w:r>
      <w:r>
        <w:rPr>
          <w:color w:val="0D0F1A"/>
          <w:spacing w:val="-13"/>
        </w:rPr>
        <w:t> </w:t>
      </w:r>
      <w:r>
        <w:rPr>
          <w:color w:val="0D0F1A"/>
        </w:rPr>
        <w:t>aside the associated time collection cost shown in Table 4.11. For example, th</w:t>
      </w:r>
      <w:r>
        <w:rPr/>
        <w:t>e water collection time and multiple trips are energy-sapping for women and children (water-carriers) and exposed them to avoidable suffering and other external vulnerability in terms of health outcomes (cough, cold and catarrh).</w:t>
      </w:r>
    </w:p>
    <w:p>
      <w:pPr>
        <w:pStyle w:val="BodyText"/>
        <w:spacing w:line="480" w:lineRule="auto" w:before="241"/>
        <w:ind w:left="267" w:right="725"/>
        <w:jc w:val="both"/>
      </w:pPr>
      <w:r>
        <w:rPr/>
        <w:t>Aside</w:t>
      </w:r>
      <w:r>
        <w:rPr>
          <w:spacing w:val="-1"/>
        </w:rPr>
        <w:t> </w:t>
      </w:r>
      <w:r>
        <w:rPr/>
        <w:t>the</w:t>
      </w:r>
      <w:r>
        <w:rPr>
          <w:spacing w:val="-1"/>
        </w:rPr>
        <w:t> </w:t>
      </w:r>
      <w:r>
        <w:rPr/>
        <w:t>physical burden and its consequential attendants, the</w:t>
      </w:r>
      <w:r>
        <w:rPr>
          <w:spacing w:val="-1"/>
        </w:rPr>
        <w:t> </w:t>
      </w:r>
      <w:r>
        <w:rPr/>
        <w:t>time</w:t>
      </w:r>
      <w:r>
        <w:rPr>
          <w:spacing w:val="-1"/>
        </w:rPr>
        <w:t> </w:t>
      </w:r>
      <w:r>
        <w:rPr/>
        <w:t>cost of water</w:t>
      </w:r>
      <w:r>
        <w:rPr>
          <w:spacing w:val="-2"/>
        </w:rPr>
        <w:t> </w:t>
      </w:r>
      <w:r>
        <w:rPr/>
        <w:t>collection also</w:t>
      </w:r>
      <w:r>
        <w:rPr>
          <w:spacing w:val="-15"/>
        </w:rPr>
        <w:t> </w:t>
      </w:r>
      <w:r>
        <w:rPr/>
        <w:t>has</w:t>
      </w:r>
      <w:r>
        <w:rPr>
          <w:spacing w:val="-14"/>
        </w:rPr>
        <w:t> </w:t>
      </w:r>
      <w:r>
        <w:rPr/>
        <w:t>far</w:t>
      </w:r>
      <w:r>
        <w:rPr>
          <w:spacing w:val="-12"/>
        </w:rPr>
        <w:t> </w:t>
      </w:r>
      <w:r>
        <w:rPr/>
        <w:t>reaching</w:t>
      </w:r>
      <w:r>
        <w:rPr>
          <w:spacing w:val="-15"/>
        </w:rPr>
        <w:t> </w:t>
      </w:r>
      <w:r>
        <w:rPr/>
        <w:t>implication</w:t>
      </w:r>
      <w:r>
        <w:rPr>
          <w:spacing w:val="-14"/>
        </w:rPr>
        <w:t> </w:t>
      </w:r>
      <w:r>
        <w:rPr/>
        <w:t>for</w:t>
      </w:r>
      <w:r>
        <w:rPr>
          <w:spacing w:val="-14"/>
        </w:rPr>
        <w:t> </w:t>
      </w:r>
      <w:r>
        <w:rPr/>
        <w:t>household</w:t>
      </w:r>
      <w:r>
        <w:rPr>
          <w:spacing w:val="-14"/>
        </w:rPr>
        <w:t> </w:t>
      </w:r>
      <w:r>
        <w:rPr/>
        <w:t>productive</w:t>
      </w:r>
      <w:r>
        <w:rPr>
          <w:spacing w:val="-15"/>
        </w:rPr>
        <w:t> </w:t>
      </w:r>
      <w:r>
        <w:rPr/>
        <w:t>activities.</w:t>
      </w:r>
      <w:r>
        <w:rPr>
          <w:spacing w:val="-15"/>
        </w:rPr>
        <w:t> </w:t>
      </w:r>
      <w:r>
        <w:rPr/>
        <w:t>As</w:t>
      </w:r>
      <w:r>
        <w:rPr>
          <w:spacing w:val="-15"/>
        </w:rPr>
        <w:t> </w:t>
      </w:r>
      <w:r>
        <w:rPr/>
        <w:t>rightly</w:t>
      </w:r>
      <w:r>
        <w:rPr>
          <w:spacing w:val="-15"/>
        </w:rPr>
        <w:t> </w:t>
      </w:r>
      <w:r>
        <w:rPr/>
        <w:t>noted</w:t>
      </w:r>
      <w:r>
        <w:rPr>
          <w:spacing w:val="-13"/>
        </w:rPr>
        <w:t> </w:t>
      </w:r>
      <w:r>
        <w:rPr/>
        <w:t>in</w:t>
      </w:r>
      <w:r>
        <w:rPr>
          <w:spacing w:val="-14"/>
        </w:rPr>
        <w:t> </w:t>
      </w:r>
      <w:r>
        <w:rPr/>
        <w:t>prior studies, excessive time spent on water collection reduces the time available to women to engage in other income generating activities that can contribute to household poverty reduction</w:t>
      </w:r>
      <w:r>
        <w:rPr>
          <w:spacing w:val="-10"/>
        </w:rPr>
        <w:t> </w:t>
      </w:r>
      <w:r>
        <w:rPr/>
        <w:t>(Olajuyigbe,</w:t>
      </w:r>
      <w:r>
        <w:rPr>
          <w:spacing w:val="-8"/>
        </w:rPr>
        <w:t> </w:t>
      </w:r>
      <w:r>
        <w:rPr/>
        <w:t>2010;</w:t>
      </w:r>
      <w:r>
        <w:rPr>
          <w:spacing w:val="-8"/>
        </w:rPr>
        <w:t> </w:t>
      </w:r>
      <w:r>
        <w:rPr/>
        <w:t>Sanusi,</w:t>
      </w:r>
      <w:r>
        <w:rPr>
          <w:spacing w:val="-9"/>
        </w:rPr>
        <w:t> </w:t>
      </w:r>
      <w:r>
        <w:rPr/>
        <w:t>2010;</w:t>
      </w:r>
      <w:r>
        <w:rPr>
          <w:spacing w:val="-8"/>
        </w:rPr>
        <w:t> </w:t>
      </w:r>
      <w:r>
        <w:rPr/>
        <w:t>Pickering</w:t>
      </w:r>
      <w:r>
        <w:rPr>
          <w:spacing w:val="-10"/>
        </w:rPr>
        <w:t> </w:t>
      </w:r>
      <w:r>
        <w:rPr/>
        <w:t>and</w:t>
      </w:r>
      <w:r>
        <w:rPr>
          <w:spacing w:val="-7"/>
        </w:rPr>
        <w:t> </w:t>
      </w:r>
      <w:r>
        <w:rPr/>
        <w:t>Davies,</w:t>
      </w:r>
      <w:r>
        <w:rPr>
          <w:spacing w:val="-9"/>
        </w:rPr>
        <w:t> </w:t>
      </w:r>
      <w:r>
        <w:rPr/>
        <w:t>2012)</w:t>
      </w:r>
      <w:r>
        <w:rPr>
          <w:spacing w:val="-8"/>
        </w:rPr>
        <w:t> </w:t>
      </w:r>
      <w:r>
        <w:rPr/>
        <w:t>with</w:t>
      </w:r>
      <w:r>
        <w:rPr>
          <w:spacing w:val="-9"/>
        </w:rPr>
        <w:t> </w:t>
      </w:r>
      <w:r>
        <w:rPr/>
        <w:t>children</w:t>
      </w:r>
      <w:r>
        <w:rPr>
          <w:spacing w:val="-8"/>
        </w:rPr>
        <w:t> </w:t>
      </w:r>
      <w:r>
        <w:rPr>
          <w:spacing w:val="-2"/>
        </w:rPr>
        <w:t>losing</w:t>
      </w:r>
    </w:p>
    <w:p>
      <w:pPr>
        <w:spacing w:after="0" w:line="480" w:lineRule="auto"/>
        <w:jc w:val="both"/>
        <w:sectPr>
          <w:pgSz w:w="12240" w:h="15840"/>
          <w:pgMar w:header="0" w:footer="1068" w:top="1420" w:bottom="1260" w:left="1720" w:right="680"/>
        </w:sectPr>
      </w:pPr>
    </w:p>
    <w:p>
      <w:pPr>
        <w:pStyle w:val="BodyText"/>
        <w:spacing w:line="480" w:lineRule="auto" w:before="63"/>
        <w:ind w:left="267" w:right="729"/>
        <w:jc w:val="both"/>
      </w:pPr>
      <w:r>
        <w:rPr/>
        <w:t>effective school time in searching and fetching water (Mukuhlani and Mandlenkosi, 2014). Nonetheless, </w:t>
      </w:r>
      <w:r>
        <w:rPr>
          <w:color w:val="0D0F1A"/>
        </w:rPr>
        <w:t>this time and physical burden further translate into reduced quantity of water available for households’ use and consumption in the study area.</w:t>
      </w:r>
    </w:p>
    <w:p>
      <w:pPr>
        <w:pStyle w:val="BodyText"/>
        <w:spacing w:before="7"/>
      </w:pPr>
    </w:p>
    <w:p>
      <w:pPr>
        <w:pStyle w:val="Heading1"/>
        <w:numPr>
          <w:ilvl w:val="3"/>
          <w:numId w:val="10"/>
        </w:numPr>
        <w:tabs>
          <w:tab w:pos="1046" w:val="left" w:leader="none"/>
        </w:tabs>
        <w:spacing w:line="240" w:lineRule="auto" w:before="1" w:after="0"/>
        <w:ind w:left="1046" w:right="0" w:hanging="779"/>
        <w:jc w:val="left"/>
      </w:pPr>
      <w:r>
        <w:rPr/>
        <w:t>Road</w:t>
      </w:r>
      <w:r>
        <w:rPr>
          <w:spacing w:val="-1"/>
        </w:rPr>
        <w:t> </w:t>
      </w:r>
      <w:r>
        <w:rPr/>
        <w:t>crossing</w:t>
      </w:r>
      <w:r>
        <w:rPr>
          <w:spacing w:val="-1"/>
        </w:rPr>
        <w:t> </w:t>
      </w:r>
      <w:r>
        <w:rPr/>
        <w:t>during</w:t>
      </w:r>
      <w:r>
        <w:rPr>
          <w:spacing w:val="-4"/>
        </w:rPr>
        <w:t> </w:t>
      </w:r>
      <w:r>
        <w:rPr/>
        <w:t>water</w:t>
      </w:r>
      <w:r>
        <w:rPr>
          <w:spacing w:val="-1"/>
        </w:rPr>
        <w:t> </w:t>
      </w:r>
      <w:r>
        <w:rPr>
          <w:spacing w:val="-2"/>
        </w:rPr>
        <w:t>fetching</w:t>
      </w:r>
    </w:p>
    <w:p>
      <w:pPr>
        <w:pStyle w:val="BodyText"/>
        <w:spacing w:before="14"/>
        <w:rPr>
          <w:b/>
        </w:rPr>
      </w:pPr>
    </w:p>
    <w:p>
      <w:pPr>
        <w:pStyle w:val="BodyText"/>
        <w:ind w:left="267"/>
        <w:jc w:val="both"/>
      </w:pPr>
      <w:r>
        <w:rPr/>
        <w:t>The</w:t>
      </w:r>
      <w:r>
        <w:rPr>
          <w:spacing w:val="-5"/>
        </w:rPr>
        <w:t> </w:t>
      </w:r>
      <w:r>
        <w:rPr/>
        <w:t>responses</w:t>
      </w:r>
      <w:r>
        <w:rPr>
          <w:spacing w:val="-1"/>
        </w:rPr>
        <w:t> </w:t>
      </w:r>
      <w:r>
        <w:rPr/>
        <w:t>of</w:t>
      </w:r>
      <w:r>
        <w:rPr>
          <w:spacing w:val="-1"/>
        </w:rPr>
        <w:t> </w:t>
      </w:r>
      <w:r>
        <w:rPr/>
        <w:t>the</w:t>
      </w:r>
      <w:r>
        <w:rPr>
          <w:spacing w:val="-1"/>
        </w:rPr>
        <w:t> </w:t>
      </w:r>
      <w:r>
        <w:rPr/>
        <w:t>respondents</w:t>
      </w:r>
      <w:r>
        <w:rPr>
          <w:spacing w:val="-1"/>
        </w:rPr>
        <w:t> </w:t>
      </w:r>
      <w:r>
        <w:rPr/>
        <w:t>on road</w:t>
      </w:r>
      <w:r>
        <w:rPr>
          <w:spacing w:val="-1"/>
        </w:rPr>
        <w:t> </w:t>
      </w:r>
      <w:r>
        <w:rPr/>
        <w:t>crossing</w:t>
      </w:r>
      <w:r>
        <w:rPr>
          <w:spacing w:val="-1"/>
        </w:rPr>
        <w:t> </w:t>
      </w:r>
      <w:r>
        <w:rPr/>
        <w:t>during</w:t>
      </w:r>
      <w:r>
        <w:rPr>
          <w:spacing w:val="-3"/>
        </w:rPr>
        <w:t> </w:t>
      </w:r>
      <w:r>
        <w:rPr/>
        <w:t>water</w:t>
      </w:r>
      <w:r>
        <w:rPr>
          <w:spacing w:val="-1"/>
        </w:rPr>
        <w:t> </w:t>
      </w:r>
      <w:r>
        <w:rPr/>
        <w:t>fetching</w:t>
      </w:r>
      <w:r>
        <w:rPr>
          <w:spacing w:val="-3"/>
        </w:rPr>
        <w:t> </w:t>
      </w:r>
      <w:r>
        <w:rPr/>
        <w:t>are shown</w:t>
      </w:r>
      <w:r>
        <w:rPr>
          <w:spacing w:val="-1"/>
        </w:rPr>
        <w:t> </w:t>
      </w:r>
      <w:r>
        <w:rPr/>
        <w:t>in </w:t>
      </w:r>
      <w:r>
        <w:rPr>
          <w:spacing w:val="-2"/>
        </w:rPr>
        <w:t>Table</w:t>
      </w:r>
    </w:p>
    <w:p>
      <w:pPr>
        <w:pStyle w:val="BodyText"/>
      </w:pPr>
    </w:p>
    <w:p>
      <w:pPr>
        <w:pStyle w:val="BodyText"/>
        <w:spacing w:line="480" w:lineRule="auto"/>
        <w:ind w:left="267"/>
      </w:pPr>
      <w:r>
        <w:rPr/>
        <w:t>4.9.</w:t>
      </w:r>
      <w:r>
        <w:rPr>
          <w:spacing w:val="40"/>
        </w:rPr>
        <w:t> </w:t>
      </w:r>
      <w:r>
        <w:rPr/>
        <w:t>Only</w:t>
      </w:r>
      <w:r>
        <w:rPr>
          <w:spacing w:val="40"/>
        </w:rPr>
        <w:t> </w:t>
      </w:r>
      <w:r>
        <w:rPr/>
        <w:t>29(8.10%)</w:t>
      </w:r>
      <w:r>
        <w:rPr>
          <w:spacing w:val="40"/>
        </w:rPr>
        <w:t> </w:t>
      </w:r>
      <w:r>
        <w:rPr/>
        <w:t>of</w:t>
      </w:r>
      <w:r>
        <w:rPr>
          <w:spacing w:val="40"/>
        </w:rPr>
        <w:t> </w:t>
      </w:r>
      <w:r>
        <w:rPr/>
        <w:t>the</w:t>
      </w:r>
      <w:r>
        <w:rPr>
          <w:spacing w:val="40"/>
        </w:rPr>
        <w:t> </w:t>
      </w:r>
      <w:r>
        <w:rPr/>
        <w:t>respondent’s</w:t>
      </w:r>
      <w:r>
        <w:rPr>
          <w:spacing w:val="40"/>
        </w:rPr>
        <w:t> </w:t>
      </w:r>
      <w:r>
        <w:rPr/>
        <w:t>cross</w:t>
      </w:r>
      <w:r>
        <w:rPr>
          <w:spacing w:val="40"/>
        </w:rPr>
        <w:t> </w:t>
      </w:r>
      <w:r>
        <w:rPr/>
        <w:t>road</w:t>
      </w:r>
      <w:r>
        <w:rPr>
          <w:spacing w:val="40"/>
        </w:rPr>
        <w:t> </w:t>
      </w:r>
      <w:r>
        <w:rPr/>
        <w:t>during</w:t>
      </w:r>
      <w:r>
        <w:rPr>
          <w:spacing w:val="40"/>
        </w:rPr>
        <w:t> </w:t>
      </w:r>
      <w:r>
        <w:rPr/>
        <w:t>water</w:t>
      </w:r>
      <w:r>
        <w:rPr>
          <w:spacing w:val="40"/>
        </w:rPr>
        <w:t> </w:t>
      </w:r>
      <w:r>
        <w:rPr/>
        <w:t>fetching</w:t>
      </w:r>
      <w:r>
        <w:rPr>
          <w:spacing w:val="40"/>
        </w:rPr>
        <w:t> </w:t>
      </w:r>
      <w:r>
        <w:rPr/>
        <w:t>whereas</w:t>
      </w:r>
      <w:r>
        <w:rPr>
          <w:spacing w:val="40"/>
        </w:rPr>
        <w:t> </w:t>
      </w:r>
      <w:r>
        <w:rPr/>
        <w:t>the remaining 330(91.90%) did not.</w:t>
      </w:r>
    </w:p>
    <w:p>
      <w:pPr>
        <w:pStyle w:val="Heading1"/>
        <w:spacing w:before="6" w:after="3"/>
        <w:jc w:val="both"/>
      </w:pPr>
      <w:r>
        <w:rPr/>
        <w:t>Table</w:t>
      </w:r>
      <w:r>
        <w:rPr>
          <w:spacing w:val="-6"/>
        </w:rPr>
        <w:t> </w:t>
      </w:r>
      <w:r>
        <w:rPr/>
        <w:t>4.9:</w:t>
      </w:r>
      <w:r>
        <w:rPr>
          <w:spacing w:val="-3"/>
        </w:rPr>
        <w:t> </w:t>
      </w:r>
      <w:r>
        <w:rPr/>
        <w:t>Respondents’</w:t>
      </w:r>
      <w:r>
        <w:rPr>
          <w:spacing w:val="-3"/>
        </w:rPr>
        <w:t> </w:t>
      </w:r>
      <w:r>
        <w:rPr/>
        <w:t>Responses</w:t>
      </w:r>
      <w:r>
        <w:rPr>
          <w:spacing w:val="-4"/>
        </w:rPr>
        <w:t> </w:t>
      </w:r>
      <w:r>
        <w:rPr/>
        <w:t>on</w:t>
      </w:r>
      <w:r>
        <w:rPr>
          <w:spacing w:val="-3"/>
        </w:rPr>
        <w:t> </w:t>
      </w:r>
      <w:r>
        <w:rPr/>
        <w:t>Road</w:t>
      </w:r>
      <w:r>
        <w:rPr>
          <w:spacing w:val="-4"/>
        </w:rPr>
        <w:t> </w:t>
      </w:r>
      <w:r>
        <w:rPr/>
        <w:t>Crossing</w:t>
      </w:r>
      <w:r>
        <w:rPr>
          <w:spacing w:val="-3"/>
        </w:rPr>
        <w:t> </w:t>
      </w:r>
      <w:r>
        <w:rPr/>
        <w:t>During</w:t>
      </w:r>
      <w:r>
        <w:rPr>
          <w:spacing w:val="-3"/>
        </w:rPr>
        <w:t> </w:t>
      </w:r>
      <w:r>
        <w:rPr/>
        <w:t>Water</w:t>
      </w:r>
      <w:r>
        <w:rPr>
          <w:spacing w:val="-4"/>
        </w:rPr>
        <w:t> </w:t>
      </w:r>
      <w:r>
        <w:rPr>
          <w:spacing w:val="-2"/>
        </w:rPr>
        <w:t>Fetching</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8"/>
        <w:gridCol w:w="3413"/>
        <w:gridCol w:w="2956"/>
      </w:tblGrid>
      <w:tr>
        <w:trPr>
          <w:trHeight w:val="1103" w:hRule="atLeast"/>
        </w:trPr>
        <w:tc>
          <w:tcPr>
            <w:tcW w:w="2568" w:type="dxa"/>
            <w:tcBorders>
              <w:top w:val="single" w:sz="8" w:space="0" w:color="000000"/>
              <w:bottom w:val="single" w:sz="8" w:space="0" w:color="000000"/>
            </w:tcBorders>
          </w:tcPr>
          <w:p>
            <w:pPr>
              <w:pStyle w:val="TableParagraph"/>
              <w:spacing w:line="272" w:lineRule="exact"/>
              <w:ind w:left="115"/>
              <w:rPr>
                <w:b/>
                <w:sz w:val="24"/>
              </w:rPr>
            </w:pPr>
            <w:r>
              <w:rPr>
                <w:b/>
                <w:sz w:val="24"/>
              </w:rPr>
              <w:t>Road</w:t>
            </w:r>
            <w:r>
              <w:rPr>
                <w:b/>
                <w:spacing w:val="-2"/>
                <w:sz w:val="24"/>
              </w:rPr>
              <w:t> Crossing</w:t>
            </w:r>
          </w:p>
        </w:tc>
        <w:tc>
          <w:tcPr>
            <w:tcW w:w="3413" w:type="dxa"/>
            <w:tcBorders>
              <w:top w:val="single" w:sz="8" w:space="0" w:color="000000"/>
              <w:bottom w:val="single" w:sz="8" w:space="0" w:color="000000"/>
            </w:tcBorders>
          </w:tcPr>
          <w:p>
            <w:pPr>
              <w:pStyle w:val="TableParagraph"/>
              <w:spacing w:line="272" w:lineRule="exact"/>
              <w:ind w:left="770"/>
              <w:jc w:val="center"/>
              <w:rPr>
                <w:b/>
                <w:sz w:val="24"/>
              </w:rPr>
            </w:pPr>
            <w:r>
              <w:rPr>
                <w:b/>
                <w:sz w:val="24"/>
              </w:rPr>
              <w:t>Frequency</w:t>
            </w:r>
            <w:r>
              <w:rPr>
                <w:b/>
                <w:spacing w:val="-5"/>
                <w:sz w:val="24"/>
              </w:rPr>
              <w:t> </w:t>
            </w:r>
            <w:r>
              <w:rPr>
                <w:b/>
                <w:sz w:val="24"/>
              </w:rPr>
              <w:t>of</w:t>
            </w:r>
            <w:r>
              <w:rPr>
                <w:b/>
                <w:spacing w:val="-1"/>
                <w:sz w:val="24"/>
              </w:rPr>
              <w:t> </w:t>
            </w:r>
            <w:r>
              <w:rPr>
                <w:b/>
                <w:spacing w:val="-2"/>
                <w:sz w:val="24"/>
              </w:rPr>
              <w:t>response</w:t>
            </w:r>
          </w:p>
        </w:tc>
        <w:tc>
          <w:tcPr>
            <w:tcW w:w="2956" w:type="dxa"/>
            <w:tcBorders>
              <w:top w:val="single" w:sz="8" w:space="0" w:color="000000"/>
              <w:bottom w:val="single" w:sz="8" w:space="0" w:color="000000"/>
            </w:tcBorders>
          </w:tcPr>
          <w:p>
            <w:pPr>
              <w:pStyle w:val="TableParagraph"/>
              <w:spacing w:line="272" w:lineRule="exact"/>
              <w:ind w:right="18"/>
              <w:jc w:val="center"/>
              <w:rPr>
                <w:b/>
                <w:sz w:val="24"/>
              </w:rPr>
            </w:pPr>
            <w:r>
              <w:rPr>
                <w:b/>
                <w:sz w:val="24"/>
              </w:rPr>
              <w:t>Percentage</w:t>
            </w:r>
            <w:r>
              <w:rPr>
                <w:b/>
                <w:spacing w:val="-4"/>
                <w:sz w:val="24"/>
              </w:rPr>
              <w:t> </w:t>
            </w:r>
            <w:r>
              <w:rPr>
                <w:b/>
                <w:sz w:val="24"/>
              </w:rPr>
              <w:t>of </w:t>
            </w:r>
            <w:r>
              <w:rPr>
                <w:b/>
                <w:spacing w:val="-2"/>
                <w:sz w:val="24"/>
              </w:rPr>
              <w:t>respondent</w:t>
            </w:r>
          </w:p>
          <w:p>
            <w:pPr>
              <w:pStyle w:val="TableParagraph"/>
              <w:rPr>
                <w:b/>
                <w:sz w:val="24"/>
              </w:rPr>
            </w:pPr>
          </w:p>
          <w:p>
            <w:pPr>
              <w:pStyle w:val="TableParagraph"/>
              <w:ind w:left="3" w:right="18"/>
              <w:jc w:val="center"/>
              <w:rPr>
                <w:b/>
                <w:sz w:val="24"/>
              </w:rPr>
            </w:pPr>
            <w:r>
              <w:rPr>
                <w:b/>
                <w:spacing w:val="-5"/>
                <w:sz w:val="24"/>
              </w:rPr>
              <w:t>(%)</w:t>
            </w:r>
          </w:p>
        </w:tc>
      </w:tr>
      <w:tr>
        <w:trPr>
          <w:trHeight w:val="415" w:hRule="atLeast"/>
        </w:trPr>
        <w:tc>
          <w:tcPr>
            <w:tcW w:w="2568" w:type="dxa"/>
            <w:tcBorders>
              <w:top w:val="single" w:sz="8" w:space="0" w:color="000000"/>
            </w:tcBorders>
          </w:tcPr>
          <w:p>
            <w:pPr>
              <w:pStyle w:val="TableParagraph"/>
              <w:spacing w:line="275" w:lineRule="exact"/>
              <w:ind w:left="115"/>
              <w:rPr>
                <w:b/>
                <w:sz w:val="24"/>
              </w:rPr>
            </w:pPr>
            <w:r>
              <w:rPr>
                <w:b/>
                <w:spacing w:val="-5"/>
                <w:sz w:val="24"/>
              </w:rPr>
              <w:t>Yes</w:t>
            </w:r>
          </w:p>
        </w:tc>
        <w:tc>
          <w:tcPr>
            <w:tcW w:w="3413" w:type="dxa"/>
            <w:tcBorders>
              <w:top w:val="single" w:sz="8" w:space="0" w:color="000000"/>
            </w:tcBorders>
          </w:tcPr>
          <w:p>
            <w:pPr>
              <w:pStyle w:val="TableParagraph"/>
              <w:spacing w:line="270" w:lineRule="exact"/>
              <w:ind w:left="769"/>
              <w:jc w:val="center"/>
              <w:rPr>
                <w:sz w:val="24"/>
              </w:rPr>
            </w:pPr>
            <w:r>
              <w:rPr>
                <w:spacing w:val="-5"/>
                <w:sz w:val="24"/>
              </w:rPr>
              <w:t>29</w:t>
            </w:r>
          </w:p>
        </w:tc>
        <w:tc>
          <w:tcPr>
            <w:tcW w:w="2956" w:type="dxa"/>
            <w:tcBorders>
              <w:top w:val="single" w:sz="8" w:space="0" w:color="000000"/>
            </w:tcBorders>
          </w:tcPr>
          <w:p>
            <w:pPr>
              <w:pStyle w:val="TableParagraph"/>
              <w:spacing w:line="270" w:lineRule="exact"/>
              <w:ind w:left="2" w:right="18"/>
              <w:jc w:val="center"/>
              <w:rPr>
                <w:sz w:val="24"/>
              </w:rPr>
            </w:pPr>
            <w:r>
              <w:rPr>
                <w:spacing w:val="-4"/>
                <w:sz w:val="24"/>
              </w:rPr>
              <w:t>8.10</w:t>
            </w:r>
          </w:p>
        </w:tc>
      </w:tr>
      <w:tr>
        <w:trPr>
          <w:trHeight w:val="552" w:hRule="atLeast"/>
        </w:trPr>
        <w:tc>
          <w:tcPr>
            <w:tcW w:w="2568" w:type="dxa"/>
          </w:tcPr>
          <w:p>
            <w:pPr>
              <w:pStyle w:val="TableParagraph"/>
              <w:spacing w:before="135"/>
              <w:ind w:left="115"/>
              <w:rPr>
                <w:b/>
                <w:sz w:val="24"/>
              </w:rPr>
            </w:pPr>
            <w:r>
              <w:rPr>
                <w:b/>
                <w:spacing w:val="-5"/>
                <w:sz w:val="24"/>
              </w:rPr>
              <w:t>No</w:t>
            </w:r>
          </w:p>
        </w:tc>
        <w:tc>
          <w:tcPr>
            <w:tcW w:w="3413" w:type="dxa"/>
          </w:tcPr>
          <w:p>
            <w:pPr>
              <w:pStyle w:val="TableParagraph"/>
              <w:spacing w:before="130"/>
              <w:ind w:left="770" w:right="2"/>
              <w:jc w:val="center"/>
              <w:rPr>
                <w:sz w:val="24"/>
              </w:rPr>
            </w:pPr>
            <w:r>
              <w:rPr>
                <w:spacing w:val="-5"/>
                <w:sz w:val="24"/>
              </w:rPr>
              <w:t>330</w:t>
            </w:r>
          </w:p>
        </w:tc>
        <w:tc>
          <w:tcPr>
            <w:tcW w:w="2956" w:type="dxa"/>
          </w:tcPr>
          <w:p>
            <w:pPr>
              <w:pStyle w:val="TableParagraph"/>
              <w:spacing w:before="130"/>
              <w:ind w:left="2" w:right="18"/>
              <w:jc w:val="center"/>
              <w:rPr>
                <w:sz w:val="24"/>
              </w:rPr>
            </w:pPr>
            <w:r>
              <w:rPr>
                <w:spacing w:val="-2"/>
                <w:sz w:val="24"/>
              </w:rPr>
              <w:t>91.90</w:t>
            </w:r>
          </w:p>
        </w:tc>
      </w:tr>
      <w:tr>
        <w:trPr>
          <w:trHeight w:val="690" w:hRule="atLeast"/>
        </w:trPr>
        <w:tc>
          <w:tcPr>
            <w:tcW w:w="2568" w:type="dxa"/>
            <w:tcBorders>
              <w:bottom w:val="single" w:sz="8" w:space="0" w:color="000000"/>
            </w:tcBorders>
          </w:tcPr>
          <w:p>
            <w:pPr>
              <w:pStyle w:val="TableParagraph"/>
              <w:spacing w:before="135"/>
              <w:ind w:left="115"/>
              <w:rPr>
                <w:b/>
                <w:sz w:val="24"/>
              </w:rPr>
            </w:pPr>
            <w:r>
              <w:rPr>
                <w:b/>
                <w:spacing w:val="-2"/>
                <w:sz w:val="24"/>
              </w:rPr>
              <w:t>Total</w:t>
            </w:r>
          </w:p>
        </w:tc>
        <w:tc>
          <w:tcPr>
            <w:tcW w:w="3413" w:type="dxa"/>
            <w:tcBorders>
              <w:bottom w:val="single" w:sz="8" w:space="0" w:color="000000"/>
            </w:tcBorders>
          </w:tcPr>
          <w:p>
            <w:pPr>
              <w:pStyle w:val="TableParagraph"/>
              <w:spacing w:before="130"/>
              <w:ind w:left="770" w:right="2"/>
              <w:jc w:val="center"/>
              <w:rPr>
                <w:sz w:val="24"/>
              </w:rPr>
            </w:pPr>
            <w:r>
              <w:rPr>
                <w:spacing w:val="-5"/>
                <w:sz w:val="24"/>
              </w:rPr>
              <w:t>359</w:t>
            </w:r>
          </w:p>
        </w:tc>
        <w:tc>
          <w:tcPr>
            <w:tcW w:w="2956" w:type="dxa"/>
            <w:tcBorders>
              <w:bottom w:val="single" w:sz="8" w:space="0" w:color="000000"/>
            </w:tcBorders>
          </w:tcPr>
          <w:p>
            <w:pPr>
              <w:pStyle w:val="TableParagraph"/>
              <w:spacing w:before="130"/>
              <w:ind w:right="18"/>
              <w:jc w:val="center"/>
              <w:rPr>
                <w:sz w:val="24"/>
              </w:rPr>
            </w:pPr>
            <w:r>
              <w:rPr>
                <w:spacing w:val="-5"/>
                <w:sz w:val="24"/>
              </w:rPr>
              <w:t>100</w:t>
            </w:r>
          </w:p>
        </w:tc>
      </w:tr>
    </w:tbl>
    <w:p>
      <w:pPr>
        <w:pStyle w:val="BodyText"/>
        <w:spacing w:before="232"/>
        <w:rPr>
          <w:b/>
        </w:rPr>
      </w:pPr>
    </w:p>
    <w:p>
      <w:pPr>
        <w:pStyle w:val="BodyText"/>
        <w:spacing w:line="480" w:lineRule="auto"/>
        <w:ind w:left="267" w:right="725"/>
        <w:jc w:val="both"/>
      </w:pPr>
      <w:r>
        <w:rPr/>
        <w:t>This shows that a proportion of the household aside being</w:t>
      </w:r>
      <w:r>
        <w:rPr>
          <w:spacing w:val="-2"/>
        </w:rPr>
        <w:t> </w:t>
      </w:r>
      <w:r>
        <w:rPr/>
        <w:t>physically</w:t>
      </w:r>
      <w:r>
        <w:rPr>
          <w:spacing w:val="-2"/>
        </w:rPr>
        <w:t> </w:t>
      </w:r>
      <w:r>
        <w:rPr/>
        <w:t>burdened due to water fetching is exposed to mishap such as road accidents in the process of water fetching in the study area. The breakdown of the 29 respondents crossing road during water fetching by means of conveyance/carrier is presented next.</w:t>
      </w:r>
    </w:p>
    <w:p>
      <w:pPr>
        <w:pStyle w:val="BodyText"/>
        <w:spacing w:before="8"/>
      </w:pPr>
    </w:p>
    <w:p>
      <w:pPr>
        <w:pStyle w:val="Heading1"/>
      </w:pPr>
      <w:r>
        <w:rPr/>
        <w:t>4.</w:t>
      </w:r>
      <w:r>
        <w:rPr>
          <w:spacing w:val="-5"/>
        </w:rPr>
        <w:t> </w:t>
      </w:r>
      <w:r>
        <w:rPr/>
        <w:t>3.1.2.1</w:t>
      </w:r>
      <w:r>
        <w:rPr>
          <w:spacing w:val="-1"/>
        </w:rPr>
        <w:t> </w:t>
      </w:r>
      <w:r>
        <w:rPr/>
        <w:t>Cross-Tabulation</w:t>
      </w:r>
      <w:r>
        <w:rPr>
          <w:spacing w:val="-2"/>
        </w:rPr>
        <w:t> </w:t>
      </w:r>
      <w:r>
        <w:rPr/>
        <w:t>of</w:t>
      </w:r>
      <w:r>
        <w:rPr>
          <w:spacing w:val="2"/>
        </w:rPr>
        <w:t> </w:t>
      </w:r>
      <w:r>
        <w:rPr/>
        <w:t>gender</w:t>
      </w:r>
      <w:r>
        <w:rPr>
          <w:spacing w:val="-2"/>
        </w:rPr>
        <w:t> </w:t>
      </w:r>
      <w:r>
        <w:rPr/>
        <w:t>of</w:t>
      </w:r>
      <w:r>
        <w:rPr>
          <w:spacing w:val="-1"/>
        </w:rPr>
        <w:t> </w:t>
      </w:r>
      <w:r>
        <w:rPr/>
        <w:t>road</w:t>
      </w:r>
      <w:r>
        <w:rPr>
          <w:spacing w:val="-1"/>
        </w:rPr>
        <w:t> </w:t>
      </w:r>
      <w:r>
        <w:rPr/>
        <w:t>crossers</w:t>
      </w:r>
      <w:r>
        <w:rPr>
          <w:spacing w:val="-1"/>
        </w:rPr>
        <w:t> </w:t>
      </w:r>
      <w:r>
        <w:rPr/>
        <w:t>with</w:t>
      </w:r>
      <w:r>
        <w:rPr>
          <w:spacing w:val="-2"/>
        </w:rPr>
        <w:t> </w:t>
      </w:r>
      <w:r>
        <w:rPr/>
        <w:t>water</w:t>
      </w:r>
      <w:r>
        <w:rPr>
          <w:spacing w:val="-2"/>
        </w:rPr>
        <w:t> </w:t>
      </w:r>
      <w:r>
        <w:rPr/>
        <w:t>conveyance </w:t>
      </w:r>
      <w:r>
        <w:rPr>
          <w:spacing w:val="-2"/>
        </w:rPr>
        <w:t>method</w:t>
      </w:r>
    </w:p>
    <w:p>
      <w:pPr>
        <w:pStyle w:val="BodyText"/>
        <w:spacing w:before="96"/>
        <w:rPr>
          <w:b/>
        </w:rPr>
      </w:pPr>
    </w:p>
    <w:p>
      <w:pPr>
        <w:pStyle w:val="BodyText"/>
        <w:spacing w:line="477" w:lineRule="auto"/>
        <w:ind w:left="267" w:right="728"/>
        <w:jc w:val="both"/>
      </w:pPr>
      <w:r>
        <w:rPr/>
        <w:t>Table 4.10 presents a cross-tabulation of the responses on gender of the road-crossers with the means of water conveyance.</w:t>
      </w:r>
    </w:p>
    <w:p>
      <w:pPr>
        <w:spacing w:after="0" w:line="477" w:lineRule="auto"/>
        <w:jc w:val="both"/>
        <w:sectPr>
          <w:pgSz w:w="12240" w:h="15840"/>
          <w:pgMar w:header="0" w:footer="1068" w:top="1340" w:bottom="1260" w:left="1720" w:right="680"/>
        </w:sectPr>
      </w:pPr>
    </w:p>
    <w:p>
      <w:pPr>
        <w:pStyle w:val="BodyText"/>
        <w:spacing w:line="480" w:lineRule="auto" w:before="63"/>
        <w:ind w:left="267" w:right="727"/>
        <w:jc w:val="both"/>
      </w:pPr>
      <w:r>
        <w:rPr/>
        <w:t>The result in the table showed that of the 11 female respondents who crossed road during water fetching, 8(72.73%) conveyed water on their heads while 2(18.18%) hauled water to their</w:t>
      </w:r>
      <w:r>
        <w:rPr>
          <w:spacing w:val="-15"/>
        </w:rPr>
        <w:t> </w:t>
      </w:r>
      <w:r>
        <w:rPr/>
        <w:t>respective</w:t>
      </w:r>
      <w:r>
        <w:rPr>
          <w:spacing w:val="-15"/>
        </w:rPr>
        <w:t> </w:t>
      </w:r>
      <w:r>
        <w:rPr/>
        <w:t>houses</w:t>
      </w:r>
      <w:r>
        <w:rPr>
          <w:spacing w:val="-15"/>
        </w:rPr>
        <w:t> </w:t>
      </w:r>
      <w:r>
        <w:rPr/>
        <w:t>using</w:t>
      </w:r>
      <w:r>
        <w:rPr>
          <w:spacing w:val="-15"/>
        </w:rPr>
        <w:t> </w:t>
      </w:r>
      <w:r>
        <w:rPr/>
        <w:t>water</w:t>
      </w:r>
      <w:r>
        <w:rPr>
          <w:spacing w:val="-15"/>
        </w:rPr>
        <w:t> </w:t>
      </w:r>
      <w:r>
        <w:rPr/>
        <w:t>truck/wheel-barrow.</w:t>
      </w:r>
      <w:r>
        <w:rPr>
          <w:spacing w:val="-15"/>
        </w:rPr>
        <w:t> </w:t>
      </w:r>
      <w:r>
        <w:rPr/>
        <w:t>Only</w:t>
      </w:r>
      <w:r>
        <w:rPr>
          <w:spacing w:val="-15"/>
        </w:rPr>
        <w:t> </w:t>
      </w:r>
      <w:r>
        <w:rPr/>
        <w:t>1(9.09%)</w:t>
      </w:r>
      <w:r>
        <w:rPr>
          <w:spacing w:val="-15"/>
        </w:rPr>
        <w:t> </w:t>
      </w:r>
      <w:r>
        <w:rPr/>
        <w:t>respondent</w:t>
      </w:r>
      <w:r>
        <w:rPr>
          <w:spacing w:val="-15"/>
        </w:rPr>
        <w:t> </w:t>
      </w:r>
      <w:r>
        <w:rPr/>
        <w:t>conveyed water by</w:t>
      </w:r>
      <w:r>
        <w:rPr>
          <w:spacing w:val="-3"/>
        </w:rPr>
        <w:t> </w:t>
      </w:r>
      <w:r>
        <w:rPr/>
        <w:t>hand while cross the road. On the other hand, out of the 18 male respondents who hauled water by crossing the road, 8(44.44%) conveyed water on their heads, whereas 6(33.33%)</w:t>
      </w:r>
      <w:r>
        <w:rPr>
          <w:spacing w:val="-2"/>
        </w:rPr>
        <w:t> </w:t>
      </w:r>
      <w:r>
        <w:rPr/>
        <w:t>hauled</w:t>
      </w:r>
      <w:r>
        <w:rPr>
          <w:spacing w:val="-1"/>
        </w:rPr>
        <w:t> </w:t>
      </w:r>
      <w:r>
        <w:rPr/>
        <w:t>water</w:t>
      </w:r>
      <w:r>
        <w:rPr>
          <w:spacing w:val="-2"/>
        </w:rPr>
        <w:t> </w:t>
      </w:r>
      <w:r>
        <w:rPr/>
        <w:t>to</w:t>
      </w:r>
      <w:r>
        <w:rPr>
          <w:spacing w:val="-2"/>
        </w:rPr>
        <w:t> </w:t>
      </w:r>
      <w:r>
        <w:rPr/>
        <w:t>their</w:t>
      </w:r>
      <w:r>
        <w:rPr>
          <w:spacing w:val="-3"/>
        </w:rPr>
        <w:t> </w:t>
      </w:r>
      <w:r>
        <w:rPr/>
        <w:t>respective</w:t>
      </w:r>
      <w:r>
        <w:rPr>
          <w:spacing w:val="-1"/>
        </w:rPr>
        <w:t> </w:t>
      </w:r>
      <w:r>
        <w:rPr/>
        <w:t>houses by</w:t>
      </w:r>
      <w:r>
        <w:rPr>
          <w:spacing w:val="-7"/>
        </w:rPr>
        <w:t> </w:t>
      </w:r>
      <w:r>
        <w:rPr/>
        <w:t>hand,</w:t>
      </w:r>
      <w:r>
        <w:rPr>
          <w:spacing w:val="-2"/>
        </w:rPr>
        <w:t> </w:t>
      </w:r>
      <w:r>
        <w:rPr/>
        <w:t>while</w:t>
      </w:r>
      <w:r>
        <w:rPr>
          <w:spacing w:val="-1"/>
        </w:rPr>
        <w:t> </w:t>
      </w:r>
      <w:r>
        <w:rPr/>
        <w:t>only</w:t>
      </w:r>
      <w:r>
        <w:rPr>
          <w:spacing w:val="-7"/>
        </w:rPr>
        <w:t> </w:t>
      </w:r>
      <w:r>
        <w:rPr/>
        <w:t>4(22.22%)</w:t>
      </w:r>
      <w:r>
        <w:rPr>
          <w:spacing w:val="-2"/>
        </w:rPr>
        <w:t> </w:t>
      </w:r>
      <w:r>
        <w:rPr/>
        <w:t>conveyed water</w:t>
      </w:r>
      <w:r>
        <w:rPr>
          <w:spacing w:val="-7"/>
        </w:rPr>
        <w:t> </w:t>
      </w:r>
      <w:r>
        <w:rPr/>
        <w:t>using</w:t>
      </w:r>
      <w:r>
        <w:rPr>
          <w:spacing w:val="-8"/>
        </w:rPr>
        <w:t> </w:t>
      </w:r>
      <w:r>
        <w:rPr/>
        <w:t>water</w:t>
      </w:r>
      <w:r>
        <w:rPr>
          <w:spacing w:val="-7"/>
        </w:rPr>
        <w:t> </w:t>
      </w:r>
      <w:r>
        <w:rPr/>
        <w:t>truck/wheel-barrow</w:t>
      </w:r>
      <w:r>
        <w:rPr>
          <w:spacing w:val="-3"/>
        </w:rPr>
        <w:t> </w:t>
      </w:r>
      <w:r>
        <w:rPr/>
        <w:t>while</w:t>
      </w:r>
      <w:r>
        <w:rPr>
          <w:spacing w:val="-7"/>
        </w:rPr>
        <w:t> </w:t>
      </w:r>
      <w:r>
        <w:rPr/>
        <w:t>crossing</w:t>
      </w:r>
      <w:r>
        <w:rPr>
          <w:spacing w:val="-8"/>
        </w:rPr>
        <w:t> </w:t>
      </w:r>
      <w:r>
        <w:rPr/>
        <w:t>the</w:t>
      </w:r>
      <w:r>
        <w:rPr>
          <w:spacing w:val="-6"/>
        </w:rPr>
        <w:t> </w:t>
      </w:r>
      <w:r>
        <w:rPr/>
        <w:t>road.</w:t>
      </w:r>
      <w:r>
        <w:rPr>
          <w:spacing w:val="-6"/>
        </w:rPr>
        <w:t> </w:t>
      </w:r>
      <w:r>
        <w:rPr/>
        <w:t>This</w:t>
      </w:r>
      <w:r>
        <w:rPr>
          <w:spacing w:val="-5"/>
        </w:rPr>
        <w:t> </w:t>
      </w:r>
      <w:r>
        <w:rPr/>
        <w:t>result</w:t>
      </w:r>
      <w:r>
        <w:rPr>
          <w:spacing w:val="-3"/>
        </w:rPr>
        <w:t> </w:t>
      </w:r>
      <w:r>
        <w:rPr/>
        <w:t>implied</w:t>
      </w:r>
      <w:r>
        <w:rPr>
          <w:spacing w:val="-6"/>
        </w:rPr>
        <w:t> </w:t>
      </w:r>
      <w:r>
        <w:rPr/>
        <w:t>that</w:t>
      </w:r>
      <w:r>
        <w:rPr>
          <w:spacing w:val="-6"/>
        </w:rPr>
        <w:t> </w:t>
      </w:r>
      <w:r>
        <w:rPr/>
        <w:t>some households’ members, both male and female alike conveyed water on their heads while crossing the road.</w:t>
      </w:r>
    </w:p>
    <w:p>
      <w:pPr>
        <w:pStyle w:val="BodyText"/>
        <w:spacing w:before="6"/>
      </w:pPr>
    </w:p>
    <w:p>
      <w:pPr>
        <w:spacing w:before="0" w:after="20"/>
        <w:ind w:left="267" w:right="0" w:firstLine="0"/>
        <w:jc w:val="both"/>
        <w:rPr>
          <w:b/>
          <w:sz w:val="24"/>
        </w:rPr>
      </w:pPr>
      <w:r>
        <w:rPr>
          <w:b/>
          <w:sz w:val="24"/>
          <w:u w:val="single"/>
        </w:rPr>
        <w:t>Table</w:t>
      </w:r>
      <w:r>
        <w:rPr>
          <w:b/>
          <w:spacing w:val="-5"/>
          <w:sz w:val="24"/>
          <w:u w:val="single"/>
        </w:rPr>
        <w:t> </w:t>
      </w:r>
      <w:r>
        <w:rPr>
          <w:b/>
          <w:sz w:val="24"/>
          <w:u w:val="single"/>
        </w:rPr>
        <w:t>4.10:</w:t>
      </w:r>
      <w:r>
        <w:rPr>
          <w:b/>
          <w:spacing w:val="-3"/>
          <w:sz w:val="24"/>
          <w:u w:val="single"/>
        </w:rPr>
        <w:t> </w:t>
      </w:r>
      <w:r>
        <w:rPr>
          <w:b/>
          <w:sz w:val="24"/>
          <w:u w:val="single"/>
        </w:rPr>
        <w:t>Respondents’</w:t>
      </w:r>
      <w:r>
        <w:rPr>
          <w:b/>
          <w:spacing w:val="-4"/>
          <w:sz w:val="24"/>
          <w:u w:val="single"/>
        </w:rPr>
        <w:t> </w:t>
      </w:r>
      <w:r>
        <w:rPr>
          <w:b/>
          <w:sz w:val="24"/>
          <w:u w:val="single"/>
        </w:rPr>
        <w:t>Responses</w:t>
      </w:r>
      <w:r>
        <w:rPr>
          <w:b/>
          <w:spacing w:val="-4"/>
          <w:sz w:val="24"/>
          <w:u w:val="single"/>
        </w:rPr>
        <w:t> </w:t>
      </w:r>
      <w:r>
        <w:rPr>
          <w:b/>
          <w:sz w:val="24"/>
          <w:u w:val="single"/>
        </w:rPr>
        <w:t>on</w:t>
      </w:r>
      <w:r>
        <w:rPr>
          <w:b/>
          <w:spacing w:val="-2"/>
          <w:sz w:val="24"/>
          <w:u w:val="single"/>
        </w:rPr>
        <w:t> </w:t>
      </w:r>
      <w:r>
        <w:rPr>
          <w:b/>
          <w:sz w:val="24"/>
          <w:u w:val="single"/>
        </w:rPr>
        <w:t>Road</w:t>
      </w:r>
      <w:r>
        <w:rPr>
          <w:b/>
          <w:spacing w:val="-4"/>
          <w:sz w:val="24"/>
          <w:u w:val="single"/>
        </w:rPr>
        <w:t> </w:t>
      </w:r>
      <w:r>
        <w:rPr>
          <w:b/>
          <w:sz w:val="24"/>
          <w:u w:val="single"/>
        </w:rPr>
        <w:t>Crossing</w:t>
      </w:r>
      <w:r>
        <w:rPr>
          <w:b/>
          <w:spacing w:val="-2"/>
          <w:sz w:val="24"/>
          <w:u w:val="single"/>
        </w:rPr>
        <w:t> </w:t>
      </w:r>
      <w:r>
        <w:rPr>
          <w:b/>
          <w:sz w:val="24"/>
          <w:u w:val="single"/>
        </w:rPr>
        <w:t>During</w:t>
      </w:r>
      <w:r>
        <w:rPr>
          <w:b/>
          <w:spacing w:val="-3"/>
          <w:sz w:val="24"/>
          <w:u w:val="single"/>
        </w:rPr>
        <w:t> </w:t>
      </w:r>
      <w:r>
        <w:rPr>
          <w:b/>
          <w:sz w:val="24"/>
          <w:u w:val="single"/>
        </w:rPr>
        <w:t>Water</w:t>
      </w:r>
      <w:r>
        <w:rPr>
          <w:b/>
          <w:spacing w:val="-3"/>
          <w:sz w:val="24"/>
          <w:u w:val="single"/>
        </w:rPr>
        <w:t> </w:t>
      </w:r>
      <w:r>
        <w:rPr>
          <w:b/>
          <w:spacing w:val="-2"/>
          <w:sz w:val="24"/>
          <w:u w:val="single"/>
        </w:rPr>
        <w:t>Fetchi</w:t>
      </w:r>
      <w:r>
        <w:rPr>
          <w:b/>
          <w:spacing w:val="-2"/>
          <w:sz w:val="24"/>
        </w:rPr>
        <w:t>ng</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6"/>
        <w:gridCol w:w="2802"/>
        <w:gridCol w:w="1453"/>
        <w:gridCol w:w="1047"/>
        <w:gridCol w:w="915"/>
      </w:tblGrid>
      <w:tr>
        <w:trPr>
          <w:trHeight w:val="268" w:hRule="atLeast"/>
        </w:trPr>
        <w:tc>
          <w:tcPr>
            <w:tcW w:w="1596" w:type="dxa"/>
            <w:tcBorders>
              <w:bottom w:val="single" w:sz="8" w:space="0" w:color="000000"/>
            </w:tcBorders>
          </w:tcPr>
          <w:p>
            <w:pPr>
              <w:pStyle w:val="TableParagraph"/>
              <w:spacing w:line="249" w:lineRule="exact"/>
              <w:ind w:left="122"/>
              <w:rPr>
                <w:b/>
                <w:sz w:val="24"/>
              </w:rPr>
            </w:pPr>
            <w:r>
              <w:rPr>
                <w:b/>
                <w:spacing w:val="-2"/>
                <w:sz w:val="24"/>
              </w:rPr>
              <w:t>Gender</w:t>
            </w:r>
          </w:p>
        </w:tc>
        <w:tc>
          <w:tcPr>
            <w:tcW w:w="4255" w:type="dxa"/>
            <w:gridSpan w:val="2"/>
            <w:tcBorders>
              <w:bottom w:val="single" w:sz="8" w:space="0" w:color="000000"/>
            </w:tcBorders>
          </w:tcPr>
          <w:p>
            <w:pPr>
              <w:pStyle w:val="TableParagraph"/>
              <w:spacing w:line="249" w:lineRule="exact"/>
              <w:ind w:left="1291"/>
              <w:rPr>
                <w:b/>
                <w:sz w:val="24"/>
              </w:rPr>
            </w:pPr>
            <w:r>
              <w:rPr>
                <w:b/>
                <w:sz w:val="24"/>
              </w:rPr>
              <w:t>Water</w:t>
            </w:r>
            <w:r>
              <w:rPr>
                <w:b/>
                <w:spacing w:val="-2"/>
                <w:sz w:val="24"/>
              </w:rPr>
              <w:t> </w:t>
            </w:r>
            <w:r>
              <w:rPr>
                <w:b/>
                <w:sz w:val="24"/>
              </w:rPr>
              <w:t>Conveyance</w:t>
            </w:r>
            <w:r>
              <w:rPr>
                <w:b/>
                <w:spacing w:val="-1"/>
                <w:sz w:val="24"/>
              </w:rPr>
              <w:t> </w:t>
            </w:r>
            <w:r>
              <w:rPr>
                <w:b/>
                <w:spacing w:val="-2"/>
                <w:sz w:val="24"/>
              </w:rPr>
              <w:t>Method</w:t>
            </w:r>
          </w:p>
        </w:tc>
        <w:tc>
          <w:tcPr>
            <w:tcW w:w="1047" w:type="dxa"/>
            <w:tcBorders>
              <w:bottom w:val="single" w:sz="8" w:space="0" w:color="000000"/>
            </w:tcBorders>
          </w:tcPr>
          <w:p>
            <w:pPr>
              <w:pStyle w:val="TableParagraph"/>
              <w:rPr>
                <w:sz w:val="18"/>
              </w:rPr>
            </w:pPr>
          </w:p>
        </w:tc>
        <w:tc>
          <w:tcPr>
            <w:tcW w:w="915" w:type="dxa"/>
            <w:tcBorders>
              <w:bottom w:val="single" w:sz="8" w:space="0" w:color="000000"/>
            </w:tcBorders>
          </w:tcPr>
          <w:p>
            <w:pPr>
              <w:pStyle w:val="TableParagraph"/>
              <w:spacing w:line="249" w:lineRule="exact"/>
              <w:ind w:right="28"/>
              <w:jc w:val="center"/>
              <w:rPr>
                <w:b/>
                <w:sz w:val="24"/>
              </w:rPr>
            </w:pPr>
            <w:r>
              <w:rPr>
                <w:b/>
                <w:spacing w:val="-2"/>
                <w:sz w:val="24"/>
              </w:rPr>
              <w:t>Total</w:t>
            </w:r>
          </w:p>
        </w:tc>
      </w:tr>
      <w:tr>
        <w:trPr>
          <w:trHeight w:val="277" w:hRule="atLeast"/>
        </w:trPr>
        <w:tc>
          <w:tcPr>
            <w:tcW w:w="1596" w:type="dxa"/>
            <w:tcBorders>
              <w:top w:val="single" w:sz="8" w:space="0" w:color="000000"/>
            </w:tcBorders>
          </w:tcPr>
          <w:p>
            <w:pPr>
              <w:pStyle w:val="TableParagraph"/>
              <w:rPr>
                <w:sz w:val="20"/>
              </w:rPr>
            </w:pPr>
          </w:p>
        </w:tc>
        <w:tc>
          <w:tcPr>
            <w:tcW w:w="2802" w:type="dxa"/>
            <w:tcBorders>
              <w:top w:val="single" w:sz="8" w:space="0" w:color="000000"/>
            </w:tcBorders>
          </w:tcPr>
          <w:p>
            <w:pPr>
              <w:pStyle w:val="TableParagraph"/>
              <w:spacing w:line="257" w:lineRule="exact"/>
              <w:ind w:left="227"/>
              <w:rPr>
                <w:b/>
                <w:sz w:val="24"/>
              </w:rPr>
            </w:pPr>
            <w:r>
              <w:rPr>
                <w:b/>
                <w:sz w:val="24"/>
              </w:rPr>
              <w:t>Truck/</w:t>
            </w:r>
            <w:r>
              <w:rPr>
                <w:b/>
                <w:spacing w:val="-4"/>
                <w:sz w:val="24"/>
              </w:rPr>
              <w:t> </w:t>
            </w:r>
            <w:r>
              <w:rPr>
                <w:b/>
                <w:sz w:val="24"/>
              </w:rPr>
              <w:t>Wheel-</w:t>
            </w:r>
            <w:r>
              <w:rPr>
                <w:b/>
                <w:spacing w:val="-2"/>
                <w:sz w:val="24"/>
              </w:rPr>
              <w:t>barrow</w:t>
            </w:r>
          </w:p>
        </w:tc>
        <w:tc>
          <w:tcPr>
            <w:tcW w:w="1453" w:type="dxa"/>
            <w:tcBorders>
              <w:top w:val="single" w:sz="8" w:space="0" w:color="000000"/>
            </w:tcBorders>
          </w:tcPr>
          <w:p>
            <w:pPr>
              <w:pStyle w:val="TableParagraph"/>
              <w:spacing w:line="257" w:lineRule="exact"/>
              <w:ind w:left="1" w:right="277"/>
              <w:jc w:val="center"/>
              <w:rPr>
                <w:b/>
                <w:sz w:val="24"/>
              </w:rPr>
            </w:pPr>
            <w:r>
              <w:rPr>
                <w:b/>
                <w:spacing w:val="-4"/>
                <w:sz w:val="24"/>
              </w:rPr>
              <w:t>Head</w:t>
            </w:r>
          </w:p>
        </w:tc>
        <w:tc>
          <w:tcPr>
            <w:tcW w:w="1047" w:type="dxa"/>
            <w:tcBorders>
              <w:top w:val="single" w:sz="8" w:space="0" w:color="000000"/>
            </w:tcBorders>
          </w:tcPr>
          <w:p>
            <w:pPr>
              <w:pStyle w:val="TableParagraph"/>
              <w:spacing w:line="257" w:lineRule="exact"/>
              <w:ind w:left="3" w:right="173"/>
              <w:jc w:val="center"/>
              <w:rPr>
                <w:b/>
                <w:sz w:val="24"/>
              </w:rPr>
            </w:pPr>
            <w:r>
              <w:rPr>
                <w:b/>
                <w:spacing w:val="-4"/>
                <w:sz w:val="24"/>
              </w:rPr>
              <w:t>Hand</w:t>
            </w:r>
          </w:p>
        </w:tc>
        <w:tc>
          <w:tcPr>
            <w:tcW w:w="915" w:type="dxa"/>
            <w:tcBorders>
              <w:top w:val="single" w:sz="8" w:space="0" w:color="000000"/>
            </w:tcBorders>
          </w:tcPr>
          <w:p>
            <w:pPr>
              <w:pStyle w:val="TableParagraph"/>
              <w:rPr>
                <w:sz w:val="20"/>
              </w:rPr>
            </w:pPr>
          </w:p>
        </w:tc>
      </w:tr>
      <w:tr>
        <w:trPr>
          <w:trHeight w:val="303" w:hRule="atLeast"/>
        </w:trPr>
        <w:tc>
          <w:tcPr>
            <w:tcW w:w="1596" w:type="dxa"/>
          </w:tcPr>
          <w:p>
            <w:pPr>
              <w:pStyle w:val="TableParagraph"/>
              <w:spacing w:line="271" w:lineRule="exact"/>
              <w:ind w:left="122"/>
              <w:rPr>
                <w:b/>
                <w:sz w:val="24"/>
              </w:rPr>
            </w:pPr>
            <w:r>
              <w:rPr>
                <w:b/>
                <w:spacing w:val="-2"/>
                <w:sz w:val="24"/>
              </w:rPr>
              <w:t>Female</w:t>
            </w:r>
          </w:p>
        </w:tc>
        <w:tc>
          <w:tcPr>
            <w:tcW w:w="2802" w:type="dxa"/>
          </w:tcPr>
          <w:p>
            <w:pPr>
              <w:pStyle w:val="TableParagraph"/>
              <w:rPr>
                <w:sz w:val="22"/>
              </w:rPr>
            </w:pPr>
          </w:p>
        </w:tc>
        <w:tc>
          <w:tcPr>
            <w:tcW w:w="1453" w:type="dxa"/>
          </w:tcPr>
          <w:p>
            <w:pPr>
              <w:pStyle w:val="TableParagraph"/>
              <w:rPr>
                <w:sz w:val="22"/>
              </w:rPr>
            </w:pPr>
          </w:p>
        </w:tc>
        <w:tc>
          <w:tcPr>
            <w:tcW w:w="1047" w:type="dxa"/>
          </w:tcPr>
          <w:p>
            <w:pPr>
              <w:pStyle w:val="TableParagraph"/>
              <w:rPr>
                <w:sz w:val="22"/>
              </w:rPr>
            </w:pPr>
          </w:p>
        </w:tc>
        <w:tc>
          <w:tcPr>
            <w:tcW w:w="915" w:type="dxa"/>
          </w:tcPr>
          <w:p>
            <w:pPr>
              <w:pStyle w:val="TableParagraph"/>
              <w:rPr>
                <w:sz w:val="22"/>
              </w:rPr>
            </w:pPr>
          </w:p>
        </w:tc>
      </w:tr>
      <w:tr>
        <w:trPr>
          <w:trHeight w:val="332" w:hRule="atLeast"/>
        </w:trPr>
        <w:tc>
          <w:tcPr>
            <w:tcW w:w="1596" w:type="dxa"/>
          </w:tcPr>
          <w:p>
            <w:pPr>
              <w:pStyle w:val="TableParagraph"/>
              <w:spacing w:before="27"/>
              <w:ind w:left="122"/>
              <w:rPr>
                <w:b/>
                <w:sz w:val="24"/>
              </w:rPr>
            </w:pPr>
            <w:r>
              <w:rPr>
                <w:b/>
                <w:spacing w:val="-2"/>
                <w:sz w:val="24"/>
              </w:rPr>
              <w:t>Frequency</w:t>
            </w:r>
          </w:p>
        </w:tc>
        <w:tc>
          <w:tcPr>
            <w:tcW w:w="2802" w:type="dxa"/>
          </w:tcPr>
          <w:p>
            <w:pPr>
              <w:pStyle w:val="TableParagraph"/>
              <w:spacing w:before="22"/>
              <w:ind w:left="227"/>
              <w:rPr>
                <w:sz w:val="24"/>
              </w:rPr>
            </w:pPr>
            <w:r>
              <w:rPr>
                <w:spacing w:val="-10"/>
                <w:sz w:val="24"/>
              </w:rPr>
              <w:t>2</w:t>
            </w:r>
          </w:p>
        </w:tc>
        <w:tc>
          <w:tcPr>
            <w:tcW w:w="1453" w:type="dxa"/>
          </w:tcPr>
          <w:p>
            <w:pPr>
              <w:pStyle w:val="TableParagraph"/>
              <w:spacing w:before="22"/>
              <w:ind w:left="2" w:right="277"/>
              <w:jc w:val="center"/>
              <w:rPr>
                <w:sz w:val="24"/>
              </w:rPr>
            </w:pPr>
            <w:r>
              <w:rPr>
                <w:spacing w:val="-10"/>
                <w:sz w:val="24"/>
              </w:rPr>
              <w:t>8</w:t>
            </w:r>
          </w:p>
        </w:tc>
        <w:tc>
          <w:tcPr>
            <w:tcW w:w="1047" w:type="dxa"/>
          </w:tcPr>
          <w:p>
            <w:pPr>
              <w:pStyle w:val="TableParagraph"/>
              <w:spacing w:before="22"/>
              <w:ind w:right="173"/>
              <w:jc w:val="center"/>
              <w:rPr>
                <w:sz w:val="24"/>
              </w:rPr>
            </w:pPr>
            <w:r>
              <w:rPr>
                <w:spacing w:val="-10"/>
                <w:sz w:val="24"/>
              </w:rPr>
              <w:t>1</w:t>
            </w:r>
          </w:p>
        </w:tc>
        <w:tc>
          <w:tcPr>
            <w:tcW w:w="915" w:type="dxa"/>
          </w:tcPr>
          <w:p>
            <w:pPr>
              <w:pStyle w:val="TableParagraph"/>
              <w:spacing w:before="22"/>
              <w:ind w:left="1" w:right="28"/>
              <w:jc w:val="center"/>
              <w:rPr>
                <w:sz w:val="24"/>
              </w:rPr>
            </w:pPr>
            <w:r>
              <w:rPr>
                <w:spacing w:val="-5"/>
                <w:sz w:val="24"/>
              </w:rPr>
              <w:t>11</w:t>
            </w:r>
          </w:p>
        </w:tc>
      </w:tr>
      <w:tr>
        <w:trPr>
          <w:trHeight w:val="326" w:hRule="atLeast"/>
        </w:trPr>
        <w:tc>
          <w:tcPr>
            <w:tcW w:w="1596" w:type="dxa"/>
          </w:tcPr>
          <w:p>
            <w:pPr>
              <w:pStyle w:val="TableParagraph"/>
              <w:spacing w:before="24"/>
              <w:ind w:left="122"/>
              <w:rPr>
                <w:b/>
                <w:sz w:val="24"/>
              </w:rPr>
            </w:pPr>
            <w:r>
              <w:rPr>
                <w:b/>
                <w:sz w:val="24"/>
              </w:rPr>
              <w:t>Percent</w:t>
            </w:r>
            <w:r>
              <w:rPr>
                <w:b/>
                <w:spacing w:val="-5"/>
                <w:sz w:val="24"/>
              </w:rPr>
              <w:t> (%)</w:t>
            </w:r>
          </w:p>
        </w:tc>
        <w:tc>
          <w:tcPr>
            <w:tcW w:w="2802" w:type="dxa"/>
          </w:tcPr>
          <w:p>
            <w:pPr>
              <w:pStyle w:val="TableParagraph"/>
              <w:spacing w:before="19"/>
              <w:ind w:left="227"/>
              <w:rPr>
                <w:sz w:val="24"/>
              </w:rPr>
            </w:pPr>
            <w:r>
              <w:rPr>
                <w:spacing w:val="-2"/>
                <w:sz w:val="24"/>
              </w:rPr>
              <w:t>18.18</w:t>
            </w:r>
          </w:p>
        </w:tc>
        <w:tc>
          <w:tcPr>
            <w:tcW w:w="1453" w:type="dxa"/>
          </w:tcPr>
          <w:p>
            <w:pPr>
              <w:pStyle w:val="TableParagraph"/>
              <w:spacing w:before="19"/>
              <w:ind w:right="277"/>
              <w:jc w:val="center"/>
              <w:rPr>
                <w:sz w:val="24"/>
              </w:rPr>
            </w:pPr>
            <w:r>
              <w:rPr>
                <w:spacing w:val="-2"/>
                <w:sz w:val="24"/>
              </w:rPr>
              <w:t>72.73</w:t>
            </w:r>
          </w:p>
        </w:tc>
        <w:tc>
          <w:tcPr>
            <w:tcW w:w="1047" w:type="dxa"/>
          </w:tcPr>
          <w:p>
            <w:pPr>
              <w:pStyle w:val="TableParagraph"/>
              <w:spacing w:before="19"/>
              <w:ind w:right="171"/>
              <w:jc w:val="center"/>
              <w:rPr>
                <w:sz w:val="24"/>
              </w:rPr>
            </w:pPr>
            <w:r>
              <w:rPr>
                <w:spacing w:val="-4"/>
                <w:sz w:val="24"/>
              </w:rPr>
              <w:t>9.09</w:t>
            </w:r>
          </w:p>
        </w:tc>
        <w:tc>
          <w:tcPr>
            <w:tcW w:w="915" w:type="dxa"/>
          </w:tcPr>
          <w:p>
            <w:pPr>
              <w:pStyle w:val="TableParagraph"/>
              <w:rPr>
                <w:sz w:val="24"/>
              </w:rPr>
            </w:pPr>
          </w:p>
        </w:tc>
      </w:tr>
      <w:tr>
        <w:trPr>
          <w:trHeight w:val="324" w:hRule="atLeast"/>
        </w:trPr>
        <w:tc>
          <w:tcPr>
            <w:tcW w:w="1596" w:type="dxa"/>
          </w:tcPr>
          <w:p>
            <w:pPr>
              <w:pStyle w:val="TableParagraph"/>
              <w:spacing w:before="21"/>
              <w:ind w:left="122"/>
              <w:rPr>
                <w:b/>
                <w:sz w:val="24"/>
              </w:rPr>
            </w:pPr>
            <w:r>
              <w:rPr>
                <w:b/>
                <w:spacing w:val="-4"/>
                <w:sz w:val="24"/>
              </w:rPr>
              <w:t>Male</w:t>
            </w:r>
          </w:p>
        </w:tc>
        <w:tc>
          <w:tcPr>
            <w:tcW w:w="2802" w:type="dxa"/>
          </w:tcPr>
          <w:p>
            <w:pPr>
              <w:pStyle w:val="TableParagraph"/>
              <w:spacing w:before="16"/>
              <w:ind w:left="227"/>
              <w:rPr>
                <w:sz w:val="24"/>
              </w:rPr>
            </w:pPr>
            <w:r>
              <w:rPr>
                <w:spacing w:val="-10"/>
                <w:sz w:val="24"/>
              </w:rPr>
              <w:t>4</w:t>
            </w:r>
          </w:p>
        </w:tc>
        <w:tc>
          <w:tcPr>
            <w:tcW w:w="1453" w:type="dxa"/>
          </w:tcPr>
          <w:p>
            <w:pPr>
              <w:pStyle w:val="TableParagraph"/>
              <w:spacing w:before="16"/>
              <w:ind w:left="2" w:right="277"/>
              <w:jc w:val="center"/>
              <w:rPr>
                <w:sz w:val="24"/>
              </w:rPr>
            </w:pPr>
            <w:r>
              <w:rPr>
                <w:spacing w:val="-10"/>
                <w:sz w:val="24"/>
              </w:rPr>
              <w:t>8</w:t>
            </w:r>
          </w:p>
        </w:tc>
        <w:tc>
          <w:tcPr>
            <w:tcW w:w="1047" w:type="dxa"/>
          </w:tcPr>
          <w:p>
            <w:pPr>
              <w:pStyle w:val="TableParagraph"/>
              <w:spacing w:before="16"/>
              <w:ind w:right="173"/>
              <w:jc w:val="center"/>
              <w:rPr>
                <w:sz w:val="24"/>
              </w:rPr>
            </w:pPr>
            <w:r>
              <w:rPr>
                <w:spacing w:val="-10"/>
                <w:sz w:val="24"/>
              </w:rPr>
              <w:t>6</w:t>
            </w:r>
          </w:p>
        </w:tc>
        <w:tc>
          <w:tcPr>
            <w:tcW w:w="915" w:type="dxa"/>
          </w:tcPr>
          <w:p>
            <w:pPr>
              <w:pStyle w:val="TableParagraph"/>
              <w:spacing w:before="16"/>
              <w:ind w:left="1" w:right="28"/>
              <w:jc w:val="center"/>
              <w:rPr>
                <w:sz w:val="24"/>
              </w:rPr>
            </w:pPr>
            <w:r>
              <w:rPr>
                <w:spacing w:val="-5"/>
                <w:sz w:val="24"/>
              </w:rPr>
              <w:t>18</w:t>
            </w:r>
          </w:p>
        </w:tc>
      </w:tr>
      <w:tr>
        <w:trPr>
          <w:trHeight w:val="350" w:hRule="atLeast"/>
        </w:trPr>
        <w:tc>
          <w:tcPr>
            <w:tcW w:w="1596" w:type="dxa"/>
            <w:tcBorders>
              <w:bottom w:val="single" w:sz="8" w:space="0" w:color="000000"/>
            </w:tcBorders>
          </w:tcPr>
          <w:p>
            <w:pPr>
              <w:pStyle w:val="TableParagraph"/>
              <w:spacing w:before="21"/>
              <w:ind w:left="122"/>
              <w:rPr>
                <w:b/>
                <w:sz w:val="24"/>
              </w:rPr>
            </w:pPr>
            <w:r>
              <w:rPr>
                <w:b/>
                <w:sz w:val="24"/>
              </w:rPr>
              <w:t>Percent</w:t>
            </w:r>
            <w:r>
              <w:rPr>
                <w:b/>
                <w:spacing w:val="-5"/>
                <w:sz w:val="24"/>
              </w:rPr>
              <w:t> (%)</w:t>
            </w:r>
          </w:p>
        </w:tc>
        <w:tc>
          <w:tcPr>
            <w:tcW w:w="2802" w:type="dxa"/>
            <w:tcBorders>
              <w:bottom w:val="single" w:sz="8" w:space="0" w:color="000000"/>
            </w:tcBorders>
          </w:tcPr>
          <w:p>
            <w:pPr>
              <w:pStyle w:val="TableParagraph"/>
              <w:spacing w:before="16"/>
              <w:ind w:left="227"/>
              <w:rPr>
                <w:sz w:val="24"/>
              </w:rPr>
            </w:pPr>
            <w:r>
              <w:rPr>
                <w:spacing w:val="-2"/>
                <w:sz w:val="24"/>
              </w:rPr>
              <w:t>22.22</w:t>
            </w:r>
          </w:p>
        </w:tc>
        <w:tc>
          <w:tcPr>
            <w:tcW w:w="1453" w:type="dxa"/>
            <w:tcBorders>
              <w:bottom w:val="single" w:sz="8" w:space="0" w:color="000000"/>
            </w:tcBorders>
          </w:tcPr>
          <w:p>
            <w:pPr>
              <w:pStyle w:val="TableParagraph"/>
              <w:spacing w:before="16"/>
              <w:ind w:right="277"/>
              <w:jc w:val="center"/>
              <w:rPr>
                <w:sz w:val="24"/>
              </w:rPr>
            </w:pPr>
            <w:r>
              <w:rPr>
                <w:spacing w:val="-2"/>
                <w:sz w:val="24"/>
              </w:rPr>
              <w:t>44.44</w:t>
            </w:r>
          </w:p>
        </w:tc>
        <w:tc>
          <w:tcPr>
            <w:tcW w:w="1047" w:type="dxa"/>
            <w:tcBorders>
              <w:bottom w:val="single" w:sz="8" w:space="0" w:color="000000"/>
            </w:tcBorders>
          </w:tcPr>
          <w:p>
            <w:pPr>
              <w:pStyle w:val="TableParagraph"/>
              <w:spacing w:before="16"/>
              <w:ind w:right="171"/>
              <w:jc w:val="center"/>
              <w:rPr>
                <w:sz w:val="24"/>
              </w:rPr>
            </w:pPr>
            <w:r>
              <w:rPr>
                <w:spacing w:val="-2"/>
                <w:sz w:val="24"/>
              </w:rPr>
              <w:t>33.33</w:t>
            </w:r>
          </w:p>
        </w:tc>
        <w:tc>
          <w:tcPr>
            <w:tcW w:w="915" w:type="dxa"/>
            <w:tcBorders>
              <w:bottom w:val="single" w:sz="8" w:space="0" w:color="000000"/>
            </w:tcBorders>
          </w:tcPr>
          <w:p>
            <w:pPr>
              <w:pStyle w:val="TableParagraph"/>
              <w:rPr>
                <w:sz w:val="24"/>
              </w:rPr>
            </w:pPr>
          </w:p>
        </w:tc>
      </w:tr>
    </w:tbl>
    <w:p>
      <w:pPr>
        <w:pStyle w:val="BodyText"/>
        <w:rPr>
          <w:b/>
        </w:rPr>
      </w:pPr>
    </w:p>
    <w:p>
      <w:pPr>
        <w:pStyle w:val="BodyText"/>
        <w:spacing w:before="33"/>
        <w:rPr>
          <w:b/>
        </w:rPr>
      </w:pPr>
    </w:p>
    <w:p>
      <w:pPr>
        <w:pStyle w:val="Heading1"/>
      </w:pPr>
      <w:r>
        <w:rPr/>
        <w:t>4.</w:t>
      </w:r>
      <w:r>
        <w:rPr>
          <w:spacing w:val="-2"/>
        </w:rPr>
        <w:t> </w:t>
      </w:r>
      <w:r>
        <w:rPr/>
        <w:t>3.1.3</w:t>
      </w:r>
      <w:r>
        <w:rPr>
          <w:spacing w:val="58"/>
        </w:rPr>
        <w:t> </w:t>
      </w:r>
      <w:r>
        <w:rPr/>
        <w:t>Daily</w:t>
      </w:r>
      <w:r>
        <w:rPr>
          <w:spacing w:val="-1"/>
        </w:rPr>
        <w:t> </w:t>
      </w:r>
      <w:r>
        <w:rPr/>
        <w:t>trip,</w:t>
      </w:r>
      <w:r>
        <w:rPr>
          <w:spacing w:val="-1"/>
        </w:rPr>
        <w:t> </w:t>
      </w:r>
      <w:r>
        <w:rPr/>
        <w:t>collection</w:t>
      </w:r>
      <w:r>
        <w:rPr>
          <w:spacing w:val="-1"/>
        </w:rPr>
        <w:t> </w:t>
      </w:r>
      <w:r>
        <w:rPr/>
        <w:t>and</w:t>
      </w:r>
      <w:r>
        <w:rPr>
          <w:spacing w:val="-1"/>
        </w:rPr>
        <w:t> </w:t>
      </w:r>
      <w:r>
        <w:rPr/>
        <w:t>waiting</w:t>
      </w:r>
      <w:r>
        <w:rPr>
          <w:spacing w:val="-1"/>
        </w:rPr>
        <w:t> </w:t>
      </w:r>
      <w:r>
        <w:rPr/>
        <w:t>time</w:t>
      </w:r>
      <w:r>
        <w:rPr>
          <w:spacing w:val="-2"/>
        </w:rPr>
        <w:t> </w:t>
      </w:r>
      <w:r>
        <w:rPr/>
        <w:t>for</w:t>
      </w:r>
      <w:r>
        <w:rPr>
          <w:spacing w:val="-2"/>
        </w:rPr>
        <w:t> </w:t>
      </w:r>
      <w:r>
        <w:rPr/>
        <w:t>water</w:t>
      </w:r>
      <w:r>
        <w:rPr>
          <w:spacing w:val="-1"/>
        </w:rPr>
        <w:t> </w:t>
      </w:r>
      <w:r>
        <w:rPr>
          <w:spacing w:val="-2"/>
        </w:rPr>
        <w:t>abstraction</w:t>
      </w:r>
    </w:p>
    <w:p>
      <w:pPr>
        <w:pStyle w:val="BodyText"/>
        <w:spacing w:before="17"/>
        <w:rPr>
          <w:b/>
        </w:rPr>
      </w:pPr>
    </w:p>
    <w:p>
      <w:pPr>
        <w:pStyle w:val="BodyText"/>
        <w:spacing w:line="477" w:lineRule="auto"/>
        <w:ind w:left="267" w:right="727"/>
        <w:jc w:val="both"/>
      </w:pPr>
      <w:r>
        <w:rPr/>
        <w:t>Table 4.11 provides a summary descriptive statistic of the average number of daily trips to water fetching by the respondents, the collection and queuing time for water fetching.</w:t>
      </w:r>
    </w:p>
    <w:p>
      <w:pPr>
        <w:pStyle w:val="BodyText"/>
        <w:spacing w:before="8"/>
      </w:pPr>
    </w:p>
    <w:p>
      <w:pPr>
        <w:pStyle w:val="Heading1"/>
        <w:spacing w:before="1" w:after="3"/>
        <w:jc w:val="both"/>
      </w:pPr>
      <w:r>
        <w:rPr/>
        <w:t>Table</w:t>
      </w:r>
      <w:r>
        <w:rPr>
          <w:spacing w:val="-4"/>
        </w:rPr>
        <w:t> </w:t>
      </w:r>
      <w:r>
        <w:rPr/>
        <w:t>4.11:</w:t>
      </w:r>
      <w:r>
        <w:rPr>
          <w:spacing w:val="-2"/>
        </w:rPr>
        <w:t> </w:t>
      </w:r>
      <w:r>
        <w:rPr/>
        <w:t>Water</w:t>
      </w:r>
      <w:r>
        <w:rPr>
          <w:spacing w:val="-2"/>
        </w:rPr>
        <w:t> </w:t>
      </w:r>
      <w:r>
        <w:rPr/>
        <w:t>Collection</w:t>
      </w:r>
      <w:r>
        <w:rPr>
          <w:spacing w:val="-2"/>
        </w:rPr>
        <w:t> </w:t>
      </w:r>
      <w:r>
        <w:rPr/>
        <w:t>Trip and</w:t>
      </w:r>
      <w:r>
        <w:rPr>
          <w:spacing w:val="-1"/>
        </w:rPr>
        <w:t> </w:t>
      </w:r>
      <w:r>
        <w:rPr/>
        <w:t>Time</w:t>
      </w:r>
      <w:r>
        <w:rPr>
          <w:spacing w:val="-3"/>
        </w:rPr>
        <w:t> </w:t>
      </w:r>
      <w:r>
        <w:rPr/>
        <w:t>Burden</w:t>
      </w:r>
      <w:r>
        <w:rPr>
          <w:spacing w:val="-1"/>
        </w:rPr>
        <w:t> </w:t>
      </w:r>
      <w:r>
        <w:rPr/>
        <w:t>on</w:t>
      </w:r>
      <w:r>
        <w:rPr>
          <w:spacing w:val="-1"/>
        </w:rPr>
        <w:t> </w:t>
      </w:r>
      <w:r>
        <w:rPr/>
        <w:t>Water</w:t>
      </w:r>
      <w:r>
        <w:rPr>
          <w:spacing w:val="-2"/>
        </w:rPr>
        <w:t> Search</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3"/>
        <w:gridCol w:w="5290"/>
        <w:gridCol w:w="952"/>
        <w:gridCol w:w="1055"/>
        <w:gridCol w:w="1037"/>
      </w:tblGrid>
      <w:tr>
        <w:trPr>
          <w:trHeight w:val="412" w:hRule="atLeast"/>
        </w:trPr>
        <w:tc>
          <w:tcPr>
            <w:tcW w:w="683" w:type="dxa"/>
            <w:tcBorders>
              <w:top w:val="single" w:sz="8" w:space="0" w:color="000000"/>
              <w:bottom w:val="single" w:sz="8" w:space="0" w:color="000000"/>
            </w:tcBorders>
          </w:tcPr>
          <w:p>
            <w:pPr>
              <w:pStyle w:val="TableParagraph"/>
              <w:spacing w:line="275" w:lineRule="exact"/>
              <w:ind w:left="115"/>
              <w:rPr>
                <w:b/>
                <w:sz w:val="24"/>
              </w:rPr>
            </w:pPr>
            <w:r>
              <w:rPr>
                <w:b/>
                <w:spacing w:val="-5"/>
                <w:sz w:val="24"/>
              </w:rPr>
              <w:t>S/N</w:t>
            </w:r>
          </w:p>
        </w:tc>
        <w:tc>
          <w:tcPr>
            <w:tcW w:w="5290" w:type="dxa"/>
            <w:tcBorders>
              <w:top w:val="single" w:sz="8" w:space="0" w:color="000000"/>
              <w:bottom w:val="single" w:sz="8" w:space="0" w:color="000000"/>
            </w:tcBorders>
          </w:tcPr>
          <w:p>
            <w:pPr>
              <w:pStyle w:val="TableParagraph"/>
              <w:spacing w:line="275" w:lineRule="exact"/>
              <w:ind w:left="192"/>
              <w:rPr>
                <w:b/>
                <w:sz w:val="24"/>
              </w:rPr>
            </w:pPr>
            <w:r>
              <w:rPr>
                <w:b/>
                <w:sz w:val="24"/>
              </w:rPr>
              <w:t>Water</w:t>
            </w:r>
            <w:r>
              <w:rPr>
                <w:b/>
                <w:spacing w:val="-3"/>
                <w:sz w:val="24"/>
              </w:rPr>
              <w:t> </w:t>
            </w:r>
            <w:r>
              <w:rPr>
                <w:b/>
                <w:sz w:val="24"/>
              </w:rPr>
              <w:t>Collection</w:t>
            </w:r>
            <w:r>
              <w:rPr>
                <w:b/>
                <w:spacing w:val="-1"/>
                <w:sz w:val="24"/>
              </w:rPr>
              <w:t> </w:t>
            </w:r>
            <w:r>
              <w:rPr>
                <w:b/>
                <w:sz w:val="24"/>
              </w:rPr>
              <w:t>Trip and</w:t>
            </w:r>
            <w:r>
              <w:rPr>
                <w:b/>
                <w:spacing w:val="-1"/>
                <w:sz w:val="24"/>
              </w:rPr>
              <w:t> </w:t>
            </w:r>
            <w:r>
              <w:rPr>
                <w:b/>
                <w:sz w:val="24"/>
              </w:rPr>
              <w:t>Time</w:t>
            </w:r>
            <w:r>
              <w:rPr>
                <w:b/>
                <w:spacing w:val="-2"/>
                <w:sz w:val="24"/>
              </w:rPr>
              <w:t> Burden</w:t>
            </w:r>
          </w:p>
        </w:tc>
        <w:tc>
          <w:tcPr>
            <w:tcW w:w="952" w:type="dxa"/>
            <w:tcBorders>
              <w:top w:val="single" w:sz="8" w:space="0" w:color="000000"/>
              <w:bottom w:val="single" w:sz="8" w:space="0" w:color="000000"/>
            </w:tcBorders>
          </w:tcPr>
          <w:p>
            <w:pPr>
              <w:pStyle w:val="TableParagraph"/>
              <w:spacing w:line="275" w:lineRule="exact"/>
              <w:ind w:left="116" w:right="1"/>
              <w:jc w:val="center"/>
              <w:rPr>
                <w:b/>
                <w:sz w:val="24"/>
              </w:rPr>
            </w:pPr>
            <w:r>
              <w:rPr>
                <w:b/>
                <w:spacing w:val="-4"/>
                <w:sz w:val="24"/>
              </w:rPr>
              <w:t>Mean</w:t>
            </w:r>
          </w:p>
        </w:tc>
        <w:tc>
          <w:tcPr>
            <w:tcW w:w="1055" w:type="dxa"/>
            <w:tcBorders>
              <w:top w:val="single" w:sz="8" w:space="0" w:color="000000"/>
              <w:bottom w:val="single" w:sz="8" w:space="0" w:color="000000"/>
            </w:tcBorders>
          </w:tcPr>
          <w:p>
            <w:pPr>
              <w:pStyle w:val="TableParagraph"/>
              <w:spacing w:line="275" w:lineRule="exact"/>
              <w:ind w:left="1" w:right="3"/>
              <w:jc w:val="center"/>
              <w:rPr>
                <w:b/>
                <w:sz w:val="24"/>
              </w:rPr>
            </w:pPr>
            <w:r>
              <w:rPr>
                <w:b/>
                <w:spacing w:val="-2"/>
                <w:sz w:val="24"/>
              </w:rPr>
              <w:t>Std.Dev</w:t>
            </w:r>
          </w:p>
        </w:tc>
        <w:tc>
          <w:tcPr>
            <w:tcW w:w="1037" w:type="dxa"/>
            <w:tcBorders>
              <w:top w:val="single" w:sz="8" w:space="0" w:color="000000"/>
              <w:bottom w:val="single" w:sz="8" w:space="0" w:color="000000"/>
            </w:tcBorders>
          </w:tcPr>
          <w:p>
            <w:pPr>
              <w:pStyle w:val="TableParagraph"/>
              <w:spacing w:line="275" w:lineRule="exact"/>
              <w:ind w:right="6"/>
              <w:jc w:val="center"/>
              <w:rPr>
                <w:b/>
                <w:sz w:val="24"/>
              </w:rPr>
            </w:pPr>
            <w:r>
              <w:rPr>
                <w:b/>
                <w:spacing w:val="-2"/>
                <w:sz w:val="24"/>
              </w:rPr>
              <w:t>Median</w:t>
            </w:r>
          </w:p>
        </w:tc>
      </w:tr>
      <w:tr>
        <w:trPr>
          <w:trHeight w:val="326" w:hRule="atLeast"/>
        </w:trPr>
        <w:tc>
          <w:tcPr>
            <w:tcW w:w="683" w:type="dxa"/>
            <w:tcBorders>
              <w:top w:val="single" w:sz="8" w:space="0" w:color="000000"/>
            </w:tcBorders>
          </w:tcPr>
          <w:p>
            <w:pPr>
              <w:pStyle w:val="TableParagraph"/>
              <w:spacing w:line="275" w:lineRule="exact"/>
              <w:ind w:left="115"/>
              <w:rPr>
                <w:b/>
                <w:sz w:val="24"/>
              </w:rPr>
            </w:pPr>
            <w:r>
              <w:rPr>
                <w:b/>
                <w:spacing w:val="-10"/>
                <w:sz w:val="24"/>
              </w:rPr>
              <w:t>1</w:t>
            </w:r>
          </w:p>
        </w:tc>
        <w:tc>
          <w:tcPr>
            <w:tcW w:w="5290" w:type="dxa"/>
            <w:tcBorders>
              <w:top w:val="single" w:sz="8" w:space="0" w:color="000000"/>
            </w:tcBorders>
          </w:tcPr>
          <w:p>
            <w:pPr>
              <w:pStyle w:val="TableParagraph"/>
              <w:spacing w:line="270" w:lineRule="exact"/>
              <w:ind w:left="192"/>
              <w:rPr>
                <w:sz w:val="24"/>
              </w:rPr>
            </w:pPr>
            <w:r>
              <w:rPr>
                <w:sz w:val="24"/>
              </w:rPr>
              <w:t>Average</w:t>
            </w:r>
            <w:r>
              <w:rPr>
                <w:spacing w:val="-1"/>
                <w:sz w:val="24"/>
              </w:rPr>
              <w:t> </w:t>
            </w:r>
            <w:r>
              <w:rPr>
                <w:sz w:val="24"/>
              </w:rPr>
              <w:t>number</w:t>
            </w:r>
            <w:r>
              <w:rPr>
                <w:spacing w:val="-2"/>
                <w:sz w:val="24"/>
              </w:rPr>
              <w:t> </w:t>
            </w:r>
            <w:r>
              <w:rPr>
                <w:sz w:val="24"/>
              </w:rPr>
              <w:t>of daily</w:t>
            </w:r>
            <w:r>
              <w:rPr>
                <w:spacing w:val="-3"/>
                <w:sz w:val="24"/>
              </w:rPr>
              <w:t> </w:t>
            </w:r>
            <w:r>
              <w:rPr>
                <w:sz w:val="24"/>
              </w:rPr>
              <w:t>trips per</w:t>
            </w:r>
            <w:r>
              <w:rPr>
                <w:spacing w:val="-2"/>
                <w:sz w:val="24"/>
              </w:rPr>
              <w:t> </w:t>
            </w:r>
            <w:r>
              <w:rPr>
                <w:sz w:val="24"/>
              </w:rPr>
              <w:t>water </w:t>
            </w:r>
            <w:r>
              <w:rPr>
                <w:spacing w:val="-2"/>
                <w:sz w:val="24"/>
              </w:rPr>
              <w:t>collection</w:t>
            </w:r>
          </w:p>
        </w:tc>
        <w:tc>
          <w:tcPr>
            <w:tcW w:w="952" w:type="dxa"/>
            <w:tcBorders>
              <w:top w:val="single" w:sz="8" w:space="0" w:color="000000"/>
            </w:tcBorders>
          </w:tcPr>
          <w:p>
            <w:pPr>
              <w:pStyle w:val="TableParagraph"/>
              <w:spacing w:line="270" w:lineRule="exact"/>
              <w:ind w:left="116"/>
              <w:jc w:val="center"/>
              <w:rPr>
                <w:sz w:val="24"/>
              </w:rPr>
            </w:pPr>
            <w:r>
              <w:rPr>
                <w:spacing w:val="-10"/>
                <w:sz w:val="24"/>
              </w:rPr>
              <w:t>6</w:t>
            </w:r>
          </w:p>
        </w:tc>
        <w:tc>
          <w:tcPr>
            <w:tcW w:w="1055" w:type="dxa"/>
            <w:tcBorders>
              <w:top w:val="single" w:sz="8" w:space="0" w:color="000000"/>
            </w:tcBorders>
          </w:tcPr>
          <w:p>
            <w:pPr>
              <w:pStyle w:val="TableParagraph"/>
              <w:spacing w:line="270" w:lineRule="exact"/>
              <w:ind w:right="3"/>
              <w:jc w:val="center"/>
              <w:rPr>
                <w:sz w:val="24"/>
              </w:rPr>
            </w:pPr>
            <w:r>
              <w:rPr>
                <w:spacing w:val="-4"/>
                <w:sz w:val="24"/>
              </w:rPr>
              <w:t>7.03</w:t>
            </w:r>
          </w:p>
        </w:tc>
        <w:tc>
          <w:tcPr>
            <w:tcW w:w="1037" w:type="dxa"/>
            <w:tcBorders>
              <w:top w:val="single" w:sz="8" w:space="0" w:color="000000"/>
            </w:tcBorders>
          </w:tcPr>
          <w:p>
            <w:pPr>
              <w:pStyle w:val="TableParagraph"/>
              <w:spacing w:line="270" w:lineRule="exact"/>
              <w:ind w:left="4" w:right="6"/>
              <w:jc w:val="center"/>
              <w:rPr>
                <w:sz w:val="24"/>
              </w:rPr>
            </w:pPr>
            <w:r>
              <w:rPr>
                <w:spacing w:val="-4"/>
                <w:sz w:val="24"/>
              </w:rPr>
              <w:t>5.00</w:t>
            </w:r>
          </w:p>
        </w:tc>
      </w:tr>
      <w:tr>
        <w:trPr>
          <w:trHeight w:val="392" w:hRule="atLeast"/>
        </w:trPr>
        <w:tc>
          <w:tcPr>
            <w:tcW w:w="683" w:type="dxa"/>
          </w:tcPr>
          <w:p>
            <w:pPr>
              <w:pStyle w:val="TableParagraph"/>
              <w:spacing w:before="46"/>
              <w:ind w:left="115"/>
              <w:rPr>
                <w:b/>
                <w:sz w:val="24"/>
              </w:rPr>
            </w:pPr>
            <w:r>
              <w:rPr>
                <w:b/>
                <w:spacing w:val="-10"/>
                <w:sz w:val="24"/>
              </w:rPr>
              <w:t>2</w:t>
            </w:r>
          </w:p>
        </w:tc>
        <w:tc>
          <w:tcPr>
            <w:tcW w:w="5290" w:type="dxa"/>
          </w:tcPr>
          <w:p>
            <w:pPr>
              <w:pStyle w:val="TableParagraph"/>
              <w:spacing w:before="41"/>
              <w:ind w:left="192"/>
              <w:rPr>
                <w:sz w:val="24"/>
              </w:rPr>
            </w:pPr>
            <w:r>
              <w:rPr>
                <w:sz w:val="24"/>
              </w:rPr>
              <w:t>Water</w:t>
            </w:r>
            <w:r>
              <w:rPr>
                <w:spacing w:val="-3"/>
                <w:sz w:val="24"/>
              </w:rPr>
              <w:t> </w:t>
            </w:r>
            <w:r>
              <w:rPr>
                <w:sz w:val="24"/>
              </w:rPr>
              <w:t>collection time</w:t>
            </w:r>
            <w:r>
              <w:rPr>
                <w:spacing w:val="-1"/>
                <w:sz w:val="24"/>
              </w:rPr>
              <w:t> </w:t>
            </w:r>
            <w:r>
              <w:rPr>
                <w:sz w:val="24"/>
              </w:rPr>
              <w:t>per</w:t>
            </w:r>
            <w:r>
              <w:rPr>
                <w:spacing w:val="1"/>
                <w:sz w:val="24"/>
              </w:rPr>
              <w:t> </w:t>
            </w:r>
            <w:r>
              <w:rPr>
                <w:sz w:val="24"/>
              </w:rPr>
              <w:t>one-way</w:t>
            </w:r>
            <w:r>
              <w:rPr>
                <w:spacing w:val="-5"/>
                <w:sz w:val="24"/>
              </w:rPr>
              <w:t> </w:t>
            </w:r>
            <w:r>
              <w:rPr>
                <w:spacing w:val="-2"/>
                <w:sz w:val="24"/>
              </w:rPr>
              <w:t>trip(minutes)</w:t>
            </w:r>
          </w:p>
        </w:tc>
        <w:tc>
          <w:tcPr>
            <w:tcW w:w="952" w:type="dxa"/>
          </w:tcPr>
          <w:p>
            <w:pPr>
              <w:pStyle w:val="TableParagraph"/>
              <w:spacing w:before="41"/>
              <w:ind w:left="116"/>
              <w:jc w:val="center"/>
              <w:rPr>
                <w:sz w:val="24"/>
              </w:rPr>
            </w:pPr>
            <w:r>
              <w:rPr>
                <w:spacing w:val="-10"/>
                <w:sz w:val="24"/>
              </w:rPr>
              <w:t>8</w:t>
            </w:r>
          </w:p>
        </w:tc>
        <w:tc>
          <w:tcPr>
            <w:tcW w:w="1055" w:type="dxa"/>
          </w:tcPr>
          <w:p>
            <w:pPr>
              <w:pStyle w:val="TableParagraph"/>
              <w:spacing w:before="41"/>
              <w:ind w:right="3"/>
              <w:jc w:val="center"/>
              <w:rPr>
                <w:sz w:val="24"/>
              </w:rPr>
            </w:pPr>
            <w:r>
              <w:rPr>
                <w:spacing w:val="-4"/>
                <w:sz w:val="24"/>
              </w:rPr>
              <w:t>9.97</w:t>
            </w:r>
          </w:p>
        </w:tc>
        <w:tc>
          <w:tcPr>
            <w:tcW w:w="1037" w:type="dxa"/>
          </w:tcPr>
          <w:p>
            <w:pPr>
              <w:pStyle w:val="TableParagraph"/>
              <w:spacing w:before="41"/>
              <w:ind w:left="4" w:right="6"/>
              <w:jc w:val="center"/>
              <w:rPr>
                <w:sz w:val="24"/>
              </w:rPr>
            </w:pPr>
            <w:r>
              <w:rPr>
                <w:spacing w:val="-4"/>
                <w:sz w:val="24"/>
              </w:rPr>
              <w:t>5.00</w:t>
            </w:r>
          </w:p>
        </w:tc>
      </w:tr>
      <w:tr>
        <w:trPr>
          <w:trHeight w:val="480" w:hRule="atLeast"/>
        </w:trPr>
        <w:tc>
          <w:tcPr>
            <w:tcW w:w="683" w:type="dxa"/>
            <w:tcBorders>
              <w:bottom w:val="single" w:sz="8" w:space="0" w:color="000000"/>
            </w:tcBorders>
          </w:tcPr>
          <w:p>
            <w:pPr>
              <w:pStyle w:val="TableParagraph"/>
              <w:spacing w:before="64"/>
              <w:ind w:left="115"/>
              <w:rPr>
                <w:b/>
                <w:sz w:val="24"/>
              </w:rPr>
            </w:pPr>
            <w:r>
              <w:rPr>
                <w:b/>
                <w:spacing w:val="-10"/>
                <w:sz w:val="24"/>
              </w:rPr>
              <w:t>3</w:t>
            </w:r>
          </w:p>
        </w:tc>
        <w:tc>
          <w:tcPr>
            <w:tcW w:w="5290" w:type="dxa"/>
            <w:tcBorders>
              <w:bottom w:val="single" w:sz="8" w:space="0" w:color="000000"/>
            </w:tcBorders>
          </w:tcPr>
          <w:p>
            <w:pPr>
              <w:pStyle w:val="TableParagraph"/>
              <w:spacing w:before="59"/>
              <w:ind w:left="192"/>
              <w:rPr>
                <w:sz w:val="24"/>
              </w:rPr>
            </w:pPr>
            <w:r>
              <w:rPr>
                <w:sz w:val="24"/>
              </w:rPr>
              <w:t>Queuing</w:t>
            </w:r>
            <w:r>
              <w:rPr>
                <w:spacing w:val="-4"/>
                <w:sz w:val="24"/>
              </w:rPr>
              <w:t> </w:t>
            </w:r>
            <w:r>
              <w:rPr>
                <w:sz w:val="24"/>
              </w:rPr>
              <w:t>time</w:t>
            </w:r>
            <w:r>
              <w:rPr>
                <w:spacing w:val="-1"/>
                <w:sz w:val="24"/>
              </w:rPr>
              <w:t> </w:t>
            </w:r>
            <w:r>
              <w:rPr>
                <w:sz w:val="24"/>
              </w:rPr>
              <w:t>before</w:t>
            </w:r>
            <w:r>
              <w:rPr>
                <w:spacing w:val="-2"/>
                <w:sz w:val="24"/>
              </w:rPr>
              <w:t> </w:t>
            </w:r>
            <w:r>
              <w:rPr>
                <w:sz w:val="24"/>
              </w:rPr>
              <w:t>water </w:t>
            </w:r>
            <w:r>
              <w:rPr>
                <w:spacing w:val="-2"/>
                <w:sz w:val="24"/>
              </w:rPr>
              <w:t>abstraction/fetching</w:t>
            </w:r>
          </w:p>
        </w:tc>
        <w:tc>
          <w:tcPr>
            <w:tcW w:w="952" w:type="dxa"/>
            <w:tcBorders>
              <w:bottom w:val="single" w:sz="8" w:space="0" w:color="000000"/>
            </w:tcBorders>
          </w:tcPr>
          <w:p>
            <w:pPr>
              <w:pStyle w:val="TableParagraph"/>
              <w:spacing w:before="59"/>
              <w:ind w:left="116"/>
              <w:jc w:val="center"/>
              <w:rPr>
                <w:sz w:val="24"/>
              </w:rPr>
            </w:pPr>
            <w:r>
              <w:rPr>
                <w:spacing w:val="-5"/>
                <w:sz w:val="24"/>
              </w:rPr>
              <w:t>10</w:t>
            </w:r>
          </w:p>
        </w:tc>
        <w:tc>
          <w:tcPr>
            <w:tcW w:w="1055" w:type="dxa"/>
            <w:tcBorders>
              <w:bottom w:val="single" w:sz="8" w:space="0" w:color="000000"/>
            </w:tcBorders>
          </w:tcPr>
          <w:p>
            <w:pPr>
              <w:pStyle w:val="TableParagraph"/>
              <w:spacing w:before="59"/>
              <w:ind w:right="3"/>
              <w:jc w:val="center"/>
              <w:rPr>
                <w:sz w:val="24"/>
              </w:rPr>
            </w:pPr>
            <w:r>
              <w:rPr>
                <w:spacing w:val="-2"/>
                <w:sz w:val="24"/>
              </w:rPr>
              <w:t>14.80</w:t>
            </w:r>
          </w:p>
        </w:tc>
        <w:tc>
          <w:tcPr>
            <w:tcW w:w="1037" w:type="dxa"/>
            <w:tcBorders>
              <w:bottom w:val="single" w:sz="8" w:space="0" w:color="000000"/>
            </w:tcBorders>
          </w:tcPr>
          <w:p>
            <w:pPr>
              <w:pStyle w:val="TableParagraph"/>
              <w:spacing w:before="59"/>
              <w:ind w:left="4" w:right="6"/>
              <w:jc w:val="center"/>
              <w:rPr>
                <w:sz w:val="24"/>
              </w:rPr>
            </w:pPr>
            <w:r>
              <w:rPr>
                <w:spacing w:val="-4"/>
                <w:sz w:val="24"/>
              </w:rPr>
              <w:t>5.00</w:t>
            </w:r>
          </w:p>
        </w:tc>
      </w:tr>
    </w:tbl>
    <w:p>
      <w:pPr>
        <w:spacing w:after="0"/>
        <w:jc w:val="center"/>
        <w:rPr>
          <w:sz w:val="24"/>
        </w:rPr>
        <w:sectPr>
          <w:pgSz w:w="12240" w:h="15840"/>
          <w:pgMar w:header="0" w:footer="1068" w:top="1340" w:bottom="1260" w:left="1720" w:right="680"/>
        </w:sectPr>
      </w:pPr>
    </w:p>
    <w:p>
      <w:pPr>
        <w:pStyle w:val="BodyText"/>
        <w:spacing w:line="480" w:lineRule="auto" w:before="63"/>
        <w:ind w:left="267" w:right="727"/>
        <w:jc w:val="both"/>
      </w:pPr>
      <w:r>
        <w:rPr/>
        <w:t>Analysis</w:t>
      </w:r>
      <w:r>
        <w:rPr>
          <w:spacing w:val="-3"/>
        </w:rPr>
        <w:t> </w:t>
      </w:r>
      <w:r>
        <w:rPr/>
        <w:t>of</w:t>
      </w:r>
      <w:r>
        <w:rPr>
          <w:spacing w:val="-3"/>
        </w:rPr>
        <w:t> </w:t>
      </w:r>
      <w:r>
        <w:rPr/>
        <w:t>the</w:t>
      </w:r>
      <w:r>
        <w:rPr>
          <w:spacing w:val="-2"/>
        </w:rPr>
        <w:t> </w:t>
      </w:r>
      <w:r>
        <w:rPr/>
        <w:t>respondents’</w:t>
      </w:r>
      <w:r>
        <w:rPr>
          <w:spacing w:val="-3"/>
        </w:rPr>
        <w:t> </w:t>
      </w:r>
      <w:r>
        <w:rPr/>
        <w:t>responses</w:t>
      </w:r>
      <w:r>
        <w:rPr>
          <w:spacing w:val="-2"/>
        </w:rPr>
        <w:t> </w:t>
      </w:r>
      <w:r>
        <w:rPr/>
        <w:t>indicated</w:t>
      </w:r>
      <w:r>
        <w:rPr>
          <w:spacing w:val="-3"/>
        </w:rPr>
        <w:t> </w:t>
      </w:r>
      <w:r>
        <w:rPr/>
        <w:t>that</w:t>
      </w:r>
      <w:r>
        <w:rPr>
          <w:spacing w:val="-3"/>
        </w:rPr>
        <w:t> </w:t>
      </w:r>
      <w:r>
        <w:rPr/>
        <w:t>households</w:t>
      </w:r>
      <w:r>
        <w:rPr>
          <w:spacing w:val="-3"/>
        </w:rPr>
        <w:t> </w:t>
      </w:r>
      <w:r>
        <w:rPr/>
        <w:t>make</w:t>
      </w:r>
      <w:r>
        <w:rPr>
          <w:spacing w:val="-3"/>
        </w:rPr>
        <w:t> </w:t>
      </w:r>
      <w:r>
        <w:rPr/>
        <w:t>an average</w:t>
      </w:r>
      <w:r>
        <w:rPr>
          <w:spacing w:val="-4"/>
        </w:rPr>
        <w:t> </w:t>
      </w:r>
      <w:r>
        <w:rPr/>
        <w:t>of</w:t>
      </w:r>
      <w:r>
        <w:rPr>
          <w:spacing w:val="-3"/>
        </w:rPr>
        <w:t> </w:t>
      </w:r>
      <w:r>
        <w:rPr/>
        <w:t>6</w:t>
      </w:r>
      <w:r>
        <w:rPr>
          <w:spacing w:val="-3"/>
        </w:rPr>
        <w:t> </w:t>
      </w:r>
      <w:r>
        <w:rPr/>
        <w:t>trips (Std.Dev = 7.03, median = 5trips) daily for an average one-way water collection trip of approximately 8 mins (Std.Dev = 9.97, median = 5 mins) in the study area. The average queuing /waiting time before water fetching could take place was estimated as 10 mins (Std.Dev = 14.80, median =5 mins). This result shows that households in the study area are time burdened in the search for water, as they make multiple trips of at least 6 trips per day to</w:t>
      </w:r>
      <w:r>
        <w:rPr>
          <w:spacing w:val="-4"/>
        </w:rPr>
        <w:t> </w:t>
      </w:r>
      <w:r>
        <w:rPr/>
        <w:t>water</w:t>
      </w:r>
      <w:r>
        <w:rPr>
          <w:spacing w:val="-4"/>
        </w:rPr>
        <w:t> </w:t>
      </w:r>
      <w:r>
        <w:rPr/>
        <w:t>collection</w:t>
      </w:r>
      <w:r>
        <w:rPr>
          <w:spacing w:val="-3"/>
        </w:rPr>
        <w:t> </w:t>
      </w:r>
      <w:r>
        <w:rPr/>
        <w:t>point</w:t>
      </w:r>
      <w:r>
        <w:rPr>
          <w:spacing w:val="-2"/>
        </w:rPr>
        <w:t> </w:t>
      </w:r>
      <w:r>
        <w:rPr/>
        <w:t>and</w:t>
      </w:r>
      <w:r>
        <w:rPr>
          <w:spacing w:val="-5"/>
        </w:rPr>
        <w:t> </w:t>
      </w:r>
      <w:r>
        <w:rPr/>
        <w:t>spent</w:t>
      </w:r>
      <w:r>
        <w:rPr>
          <w:spacing w:val="-2"/>
        </w:rPr>
        <w:t> </w:t>
      </w:r>
      <w:r>
        <w:rPr/>
        <w:t>an</w:t>
      </w:r>
      <w:r>
        <w:rPr>
          <w:spacing w:val="-2"/>
        </w:rPr>
        <w:t> </w:t>
      </w:r>
      <w:r>
        <w:rPr/>
        <w:t>average</w:t>
      </w:r>
      <w:r>
        <w:rPr>
          <w:spacing w:val="-6"/>
        </w:rPr>
        <w:t> </w:t>
      </w:r>
      <w:r>
        <w:rPr/>
        <w:t>time</w:t>
      </w:r>
      <w:r>
        <w:rPr>
          <w:spacing w:val="-6"/>
        </w:rPr>
        <w:t> </w:t>
      </w:r>
      <w:r>
        <w:rPr/>
        <w:t>of</w:t>
      </w:r>
      <w:r>
        <w:rPr>
          <w:spacing w:val="-3"/>
        </w:rPr>
        <w:t> </w:t>
      </w:r>
      <w:r>
        <w:rPr/>
        <w:t>26</w:t>
      </w:r>
      <w:r>
        <w:rPr>
          <w:spacing w:val="-5"/>
        </w:rPr>
        <w:t> </w:t>
      </w:r>
      <w:r>
        <w:rPr/>
        <w:t>min</w:t>
      </w:r>
      <w:r>
        <w:rPr>
          <w:spacing w:val="-5"/>
        </w:rPr>
        <w:t> </w:t>
      </w:r>
      <w:r>
        <w:rPr/>
        <w:t>per</w:t>
      </w:r>
      <w:r>
        <w:rPr>
          <w:spacing w:val="-6"/>
        </w:rPr>
        <w:t> </w:t>
      </w:r>
      <w:r>
        <w:rPr/>
        <w:t>round</w:t>
      </w:r>
      <w:r>
        <w:rPr>
          <w:spacing w:val="-3"/>
        </w:rPr>
        <w:t> </w:t>
      </w:r>
      <w:r>
        <w:rPr/>
        <w:t>trip</w:t>
      </w:r>
      <w:r>
        <w:rPr>
          <w:spacing w:val="-5"/>
        </w:rPr>
        <w:t> </w:t>
      </w:r>
      <w:r>
        <w:rPr/>
        <w:t>water</w:t>
      </w:r>
      <w:r>
        <w:rPr>
          <w:spacing w:val="-6"/>
        </w:rPr>
        <w:t> </w:t>
      </w:r>
      <w:r>
        <w:rPr/>
        <w:t>collection (waiting time plus two-way trip collection time).</w:t>
      </w:r>
    </w:p>
    <w:p>
      <w:pPr>
        <w:pStyle w:val="BodyText"/>
        <w:spacing w:before="1"/>
      </w:pPr>
    </w:p>
    <w:p>
      <w:pPr>
        <w:pStyle w:val="BodyText"/>
        <w:spacing w:line="480" w:lineRule="auto"/>
        <w:ind w:left="267" w:right="725"/>
        <w:jc w:val="both"/>
      </w:pPr>
      <w:r>
        <w:rPr/>
        <w:t>The average water collection time spent by households from their premises to water source is not more than 30 min as specified by WHO-UNICEF/JMP (2017) for a round trip water collection.</w:t>
      </w:r>
      <w:r>
        <w:rPr>
          <w:spacing w:val="-10"/>
        </w:rPr>
        <w:t> </w:t>
      </w:r>
      <w:r>
        <w:rPr/>
        <w:t>However,</w:t>
      </w:r>
      <w:r>
        <w:rPr>
          <w:spacing w:val="-8"/>
        </w:rPr>
        <w:t> </w:t>
      </w:r>
      <w:r>
        <w:rPr/>
        <w:t>when</w:t>
      </w:r>
      <w:r>
        <w:rPr>
          <w:spacing w:val="-10"/>
        </w:rPr>
        <w:t> </w:t>
      </w:r>
      <w:r>
        <w:rPr/>
        <w:t>this</w:t>
      </w:r>
      <w:r>
        <w:rPr>
          <w:spacing w:val="-9"/>
        </w:rPr>
        <w:t> </w:t>
      </w:r>
      <w:r>
        <w:rPr/>
        <w:t>26</w:t>
      </w:r>
      <w:r>
        <w:rPr>
          <w:spacing w:val="-10"/>
        </w:rPr>
        <w:t> </w:t>
      </w:r>
      <w:r>
        <w:rPr/>
        <w:t>min</w:t>
      </w:r>
      <w:r>
        <w:rPr>
          <w:spacing w:val="-10"/>
        </w:rPr>
        <w:t> </w:t>
      </w:r>
      <w:r>
        <w:rPr/>
        <w:t>water</w:t>
      </w:r>
      <w:r>
        <w:rPr>
          <w:spacing w:val="-10"/>
        </w:rPr>
        <w:t> </w:t>
      </w:r>
      <w:r>
        <w:rPr/>
        <w:t>collection</w:t>
      </w:r>
      <w:r>
        <w:rPr>
          <w:spacing w:val="-10"/>
        </w:rPr>
        <w:t> </w:t>
      </w:r>
      <w:r>
        <w:rPr/>
        <w:t>time</w:t>
      </w:r>
      <w:r>
        <w:rPr>
          <w:spacing w:val="-10"/>
        </w:rPr>
        <w:t> </w:t>
      </w:r>
      <w:r>
        <w:rPr/>
        <w:t>is</w:t>
      </w:r>
      <w:r>
        <w:rPr>
          <w:spacing w:val="-9"/>
        </w:rPr>
        <w:t> </w:t>
      </w:r>
      <w:r>
        <w:rPr/>
        <w:t>considered</w:t>
      </w:r>
      <w:r>
        <w:rPr>
          <w:spacing w:val="-8"/>
        </w:rPr>
        <w:t> </w:t>
      </w:r>
      <w:r>
        <w:rPr/>
        <w:t>within</w:t>
      </w:r>
      <w:r>
        <w:rPr>
          <w:spacing w:val="-10"/>
        </w:rPr>
        <w:t> </w:t>
      </w:r>
      <w:r>
        <w:rPr/>
        <w:t>the</w:t>
      </w:r>
      <w:r>
        <w:rPr>
          <w:spacing w:val="-10"/>
        </w:rPr>
        <w:t> </w:t>
      </w:r>
      <w:r>
        <w:rPr/>
        <w:t>context of the multiple trips taken by households to water source, it implicitly implied a water shortage</w:t>
      </w:r>
      <w:r>
        <w:rPr>
          <w:spacing w:val="-8"/>
        </w:rPr>
        <w:t> </w:t>
      </w:r>
      <w:r>
        <w:rPr/>
        <w:t>scenario</w:t>
      </w:r>
      <w:r>
        <w:rPr>
          <w:spacing w:val="-7"/>
        </w:rPr>
        <w:t> </w:t>
      </w:r>
      <w:r>
        <w:rPr/>
        <w:t>–</w:t>
      </w:r>
      <w:r>
        <w:rPr>
          <w:spacing w:val="-7"/>
        </w:rPr>
        <w:t> </w:t>
      </w:r>
      <w:r>
        <w:rPr/>
        <w:t>less</w:t>
      </w:r>
      <w:r>
        <w:rPr>
          <w:spacing w:val="-6"/>
        </w:rPr>
        <w:t> </w:t>
      </w:r>
      <w:r>
        <w:rPr/>
        <w:t>water</w:t>
      </w:r>
      <w:r>
        <w:rPr>
          <w:spacing w:val="-7"/>
        </w:rPr>
        <w:t> </w:t>
      </w:r>
      <w:r>
        <w:rPr/>
        <w:t>collection</w:t>
      </w:r>
      <w:r>
        <w:rPr>
          <w:spacing w:val="-7"/>
        </w:rPr>
        <w:t> </w:t>
      </w:r>
      <w:r>
        <w:rPr/>
        <w:t>to</w:t>
      </w:r>
      <w:r>
        <w:rPr>
          <w:spacing w:val="-7"/>
        </w:rPr>
        <w:t> </w:t>
      </w:r>
      <w:r>
        <w:rPr/>
        <w:t>meet</w:t>
      </w:r>
      <w:r>
        <w:rPr>
          <w:spacing w:val="-7"/>
        </w:rPr>
        <w:t> </w:t>
      </w:r>
      <w:r>
        <w:rPr/>
        <w:t>the</w:t>
      </w:r>
      <w:r>
        <w:rPr>
          <w:spacing w:val="-8"/>
        </w:rPr>
        <w:t> </w:t>
      </w:r>
      <w:r>
        <w:rPr/>
        <w:t>basic</w:t>
      </w:r>
      <w:r>
        <w:rPr>
          <w:spacing w:val="-8"/>
        </w:rPr>
        <w:t> </w:t>
      </w:r>
      <w:r>
        <w:rPr/>
        <w:t>needs</w:t>
      </w:r>
      <w:r>
        <w:rPr>
          <w:spacing w:val="-7"/>
        </w:rPr>
        <w:t> </w:t>
      </w:r>
      <w:r>
        <w:rPr/>
        <w:t>of</w:t>
      </w:r>
      <w:r>
        <w:rPr>
          <w:spacing w:val="-8"/>
        </w:rPr>
        <w:t> </w:t>
      </w:r>
      <w:r>
        <w:rPr/>
        <w:t>households</w:t>
      </w:r>
      <w:r>
        <w:rPr>
          <w:spacing w:val="-4"/>
        </w:rPr>
        <w:t> </w:t>
      </w:r>
      <w:r>
        <w:rPr/>
        <w:t>–</w:t>
      </w:r>
      <w:r>
        <w:rPr>
          <w:spacing w:val="-7"/>
        </w:rPr>
        <w:t> </w:t>
      </w:r>
      <w:r>
        <w:rPr/>
        <w:t>in</w:t>
      </w:r>
      <w:r>
        <w:rPr>
          <w:spacing w:val="-7"/>
        </w:rPr>
        <w:t> </w:t>
      </w:r>
      <w:r>
        <w:rPr/>
        <w:t>the</w:t>
      </w:r>
      <w:r>
        <w:rPr>
          <w:spacing w:val="-8"/>
        </w:rPr>
        <w:t> </w:t>
      </w:r>
      <w:r>
        <w:rPr/>
        <w:t>study area. This excessive water collection time and laborious multiple trips to household water sources sets limitation on the quantity/volume of water fetched by households for consumption and domestic uses in the study area. This current finding corroborates the empirical findings that the quantity/volume of water hauled/available to households decreases sharply</w:t>
      </w:r>
      <w:r>
        <w:rPr>
          <w:spacing w:val="-3"/>
        </w:rPr>
        <w:t> </w:t>
      </w:r>
      <w:r>
        <w:rPr/>
        <w:t>with increased number of trips and time per collection trip (Sanusi, 2010; Pickering and Davies, 2012).</w:t>
      </w:r>
    </w:p>
    <w:p>
      <w:pPr>
        <w:pStyle w:val="BodyText"/>
        <w:spacing w:before="9"/>
      </w:pPr>
    </w:p>
    <w:p>
      <w:pPr>
        <w:pStyle w:val="Heading1"/>
      </w:pPr>
      <w:r>
        <w:rPr/>
        <w:t>4.</w:t>
      </w:r>
      <w:r>
        <w:rPr>
          <w:spacing w:val="-2"/>
        </w:rPr>
        <w:t> </w:t>
      </w:r>
      <w:r>
        <w:rPr/>
        <w:t>3.1.4</w:t>
      </w:r>
      <w:r>
        <w:rPr>
          <w:spacing w:val="-1"/>
        </w:rPr>
        <w:t> </w:t>
      </w:r>
      <w:r>
        <w:rPr/>
        <w:t>Household water</w:t>
      </w:r>
      <w:r>
        <w:rPr>
          <w:spacing w:val="-2"/>
        </w:rPr>
        <w:t> </w:t>
      </w:r>
      <w:r>
        <w:rPr/>
        <w:t>quantity</w:t>
      </w:r>
      <w:r>
        <w:rPr>
          <w:spacing w:val="-1"/>
        </w:rPr>
        <w:t> </w:t>
      </w:r>
      <w:r>
        <w:rPr/>
        <w:t>sufficiency </w:t>
      </w:r>
      <w:r>
        <w:rPr>
          <w:spacing w:val="-2"/>
        </w:rPr>
        <w:t>status</w:t>
      </w:r>
    </w:p>
    <w:p>
      <w:pPr>
        <w:pStyle w:val="BodyText"/>
        <w:spacing w:before="14"/>
        <w:rPr>
          <w:b/>
        </w:rPr>
      </w:pPr>
    </w:p>
    <w:p>
      <w:pPr>
        <w:pStyle w:val="BodyText"/>
        <w:spacing w:line="480" w:lineRule="auto"/>
        <w:ind w:left="267" w:right="730"/>
        <w:jc w:val="both"/>
      </w:pPr>
      <w:r>
        <w:rPr/>
        <w:t>The responses of the respondents on the sufficiency of the quantity of water available to households in the study area are presented in Figure 4.3.</w:t>
      </w:r>
    </w:p>
    <w:p>
      <w:pPr>
        <w:spacing w:after="0" w:line="480" w:lineRule="auto"/>
        <w:jc w:val="both"/>
        <w:sectPr>
          <w:pgSz w:w="12240" w:h="15840"/>
          <w:pgMar w:header="0" w:footer="1068" w:top="1340" w:bottom="1260" w:left="1720" w:right="680"/>
        </w:sectPr>
      </w:pPr>
    </w:p>
    <w:p>
      <w:pPr>
        <w:pStyle w:val="BodyText"/>
        <w:ind w:left="267"/>
        <w:rPr>
          <w:sz w:val="20"/>
        </w:rPr>
      </w:pPr>
      <w:r>
        <w:rPr>
          <w:sz w:val="20"/>
        </w:rPr>
        <w:drawing>
          <wp:inline distT="0" distB="0" distL="0" distR="0">
            <wp:extent cx="5574782" cy="2286000"/>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29" cstate="print"/>
                    <a:stretch>
                      <a:fillRect/>
                    </a:stretch>
                  </pic:blipFill>
                  <pic:spPr>
                    <a:xfrm>
                      <a:off x="0" y="0"/>
                      <a:ext cx="5574782" cy="2286000"/>
                    </a:xfrm>
                    <a:prstGeom prst="rect">
                      <a:avLst/>
                    </a:prstGeom>
                  </pic:spPr>
                </pic:pic>
              </a:graphicData>
            </a:graphic>
          </wp:inline>
        </w:drawing>
      </w:r>
      <w:r>
        <w:rPr>
          <w:sz w:val="20"/>
        </w:rPr>
      </w:r>
    </w:p>
    <w:p>
      <w:pPr>
        <w:pStyle w:val="Heading1"/>
        <w:spacing w:before="17"/>
        <w:ind w:left="423"/>
      </w:pPr>
      <w:r>
        <w:rPr/>
        <w:t>Figure</w:t>
      </w:r>
      <w:r>
        <w:rPr>
          <w:spacing w:val="-5"/>
        </w:rPr>
        <w:t> </w:t>
      </w:r>
      <w:r>
        <w:rPr/>
        <w:t>4.3:</w:t>
      </w:r>
      <w:r>
        <w:rPr>
          <w:spacing w:val="-1"/>
        </w:rPr>
        <w:t> </w:t>
      </w:r>
      <w:r>
        <w:rPr/>
        <w:t>Frequency</w:t>
      </w:r>
      <w:r>
        <w:rPr>
          <w:spacing w:val="-2"/>
        </w:rPr>
        <w:t> </w:t>
      </w:r>
      <w:r>
        <w:rPr/>
        <w:t>and</w:t>
      </w:r>
      <w:r>
        <w:rPr>
          <w:spacing w:val="-2"/>
        </w:rPr>
        <w:t> </w:t>
      </w:r>
      <w:r>
        <w:rPr/>
        <w:t>Percentage</w:t>
      </w:r>
      <w:r>
        <w:rPr>
          <w:spacing w:val="-3"/>
        </w:rPr>
        <w:t> </w:t>
      </w:r>
      <w:r>
        <w:rPr/>
        <w:t>of</w:t>
      </w:r>
      <w:r>
        <w:rPr>
          <w:spacing w:val="-1"/>
        </w:rPr>
        <w:t> </w:t>
      </w:r>
      <w:r>
        <w:rPr/>
        <w:t>Water</w:t>
      </w:r>
      <w:r>
        <w:rPr>
          <w:spacing w:val="-1"/>
        </w:rPr>
        <w:t> </w:t>
      </w:r>
      <w:r>
        <w:rPr/>
        <w:t>Quantity</w:t>
      </w:r>
      <w:r>
        <w:rPr>
          <w:spacing w:val="-2"/>
        </w:rPr>
        <w:t> </w:t>
      </w:r>
      <w:r>
        <w:rPr/>
        <w:t>Sufficiency</w:t>
      </w:r>
      <w:r>
        <w:rPr>
          <w:spacing w:val="-2"/>
        </w:rPr>
        <w:t> </w:t>
      </w:r>
      <w:r>
        <w:rPr/>
        <w:t>by</w:t>
      </w:r>
      <w:r>
        <w:rPr>
          <w:spacing w:val="-1"/>
        </w:rPr>
        <w:t> </w:t>
      </w:r>
      <w:r>
        <w:rPr>
          <w:spacing w:val="-2"/>
        </w:rPr>
        <w:t>Household</w:t>
      </w:r>
    </w:p>
    <w:p>
      <w:pPr>
        <w:pStyle w:val="BodyText"/>
        <w:spacing w:before="271"/>
        <w:rPr>
          <w:b/>
        </w:rPr>
      </w:pPr>
    </w:p>
    <w:p>
      <w:pPr>
        <w:pStyle w:val="BodyText"/>
        <w:spacing w:line="480" w:lineRule="auto" w:before="1"/>
        <w:ind w:left="267" w:right="726"/>
        <w:jc w:val="both"/>
      </w:pPr>
      <w:r>
        <w:rPr>
          <w:color w:val="0D0F1A"/>
        </w:rPr>
        <w:t>In terms of water quantity sufficiency, the result indicates that about 117(32.60%) of the respondents felt that water was sufficient, while a further 95(26.50%) of the respondents reported</w:t>
      </w:r>
      <w:r>
        <w:rPr>
          <w:color w:val="0D0F1A"/>
          <w:spacing w:val="-2"/>
        </w:rPr>
        <w:t> </w:t>
      </w:r>
      <w:r>
        <w:rPr>
          <w:color w:val="0D0F1A"/>
        </w:rPr>
        <w:t>that</w:t>
      </w:r>
      <w:r>
        <w:rPr>
          <w:color w:val="0D0F1A"/>
          <w:spacing w:val="-2"/>
        </w:rPr>
        <w:t> </w:t>
      </w:r>
      <w:r>
        <w:rPr>
          <w:color w:val="0D0F1A"/>
        </w:rPr>
        <w:t>it</w:t>
      </w:r>
      <w:r>
        <w:rPr>
          <w:color w:val="0D0F1A"/>
          <w:spacing w:val="-2"/>
        </w:rPr>
        <w:t> </w:t>
      </w:r>
      <w:r>
        <w:rPr>
          <w:color w:val="0D0F1A"/>
        </w:rPr>
        <w:t>was</w:t>
      </w:r>
      <w:r>
        <w:rPr>
          <w:color w:val="0D0F1A"/>
          <w:spacing w:val="-2"/>
        </w:rPr>
        <w:t> </w:t>
      </w:r>
      <w:r>
        <w:rPr>
          <w:color w:val="0D0F1A"/>
        </w:rPr>
        <w:t>sufficiency</w:t>
      </w:r>
      <w:r>
        <w:rPr>
          <w:color w:val="0D0F1A"/>
          <w:spacing w:val="-7"/>
        </w:rPr>
        <w:t> </w:t>
      </w:r>
      <w:r>
        <w:rPr>
          <w:color w:val="0D0F1A"/>
        </w:rPr>
        <w:t>for</w:t>
      </w:r>
      <w:r>
        <w:rPr>
          <w:color w:val="0D0F1A"/>
          <w:spacing w:val="-4"/>
        </w:rPr>
        <w:t> </w:t>
      </w:r>
      <w:r>
        <w:rPr>
          <w:color w:val="0D0F1A"/>
        </w:rPr>
        <w:t>both</w:t>
      </w:r>
      <w:r>
        <w:rPr>
          <w:color w:val="0D0F1A"/>
          <w:spacing w:val="-2"/>
        </w:rPr>
        <w:t> </w:t>
      </w:r>
      <w:r>
        <w:rPr>
          <w:color w:val="0D0F1A"/>
        </w:rPr>
        <w:t>human</w:t>
      </w:r>
      <w:r>
        <w:rPr>
          <w:color w:val="0D0F1A"/>
          <w:spacing w:val="-2"/>
        </w:rPr>
        <w:t> </w:t>
      </w:r>
      <w:r>
        <w:rPr>
          <w:color w:val="0D0F1A"/>
        </w:rPr>
        <w:t>and</w:t>
      </w:r>
      <w:r>
        <w:rPr>
          <w:color w:val="0D0F1A"/>
          <w:spacing w:val="-2"/>
        </w:rPr>
        <w:t> </w:t>
      </w:r>
      <w:r>
        <w:rPr>
          <w:color w:val="0D0F1A"/>
        </w:rPr>
        <w:t>livestock.</w:t>
      </w:r>
      <w:r>
        <w:rPr>
          <w:color w:val="0D0F1A"/>
          <w:spacing w:val="-2"/>
        </w:rPr>
        <w:t> </w:t>
      </w:r>
      <w:r>
        <w:rPr>
          <w:color w:val="0D0F1A"/>
        </w:rPr>
        <w:t>However,</w:t>
      </w:r>
      <w:r>
        <w:rPr>
          <w:color w:val="0D0F1A"/>
          <w:spacing w:val="-2"/>
        </w:rPr>
        <w:t> </w:t>
      </w:r>
      <w:r>
        <w:rPr>
          <w:color w:val="0D0F1A"/>
        </w:rPr>
        <w:t>125(34.80%)</w:t>
      </w:r>
      <w:r>
        <w:rPr>
          <w:color w:val="0D0F1A"/>
          <w:spacing w:val="-2"/>
        </w:rPr>
        <w:t> </w:t>
      </w:r>
      <w:r>
        <w:rPr>
          <w:color w:val="0D0F1A"/>
        </w:rPr>
        <w:t>of</w:t>
      </w:r>
      <w:r>
        <w:rPr>
          <w:color w:val="0D0F1A"/>
          <w:spacing w:val="-2"/>
        </w:rPr>
        <w:t> </w:t>
      </w:r>
      <w:r>
        <w:rPr>
          <w:color w:val="0D0F1A"/>
        </w:rPr>
        <w:t>the respondents</w:t>
      </w:r>
      <w:r>
        <w:rPr>
          <w:color w:val="0D0F1A"/>
          <w:spacing w:val="-15"/>
        </w:rPr>
        <w:t> </w:t>
      </w:r>
      <w:r>
        <w:rPr>
          <w:color w:val="0D0F1A"/>
        </w:rPr>
        <w:t>stated</w:t>
      </w:r>
      <w:r>
        <w:rPr>
          <w:color w:val="0D0F1A"/>
          <w:spacing w:val="-15"/>
        </w:rPr>
        <w:t> </w:t>
      </w:r>
      <w:r>
        <w:rPr>
          <w:color w:val="0D0F1A"/>
        </w:rPr>
        <w:t>that</w:t>
      </w:r>
      <w:r>
        <w:rPr>
          <w:color w:val="0D0F1A"/>
          <w:spacing w:val="-15"/>
        </w:rPr>
        <w:t> </w:t>
      </w:r>
      <w:r>
        <w:rPr>
          <w:color w:val="0D0F1A"/>
        </w:rPr>
        <w:t>the</w:t>
      </w:r>
      <w:r>
        <w:rPr>
          <w:color w:val="0D0F1A"/>
          <w:spacing w:val="-15"/>
        </w:rPr>
        <w:t> </w:t>
      </w:r>
      <w:r>
        <w:rPr>
          <w:color w:val="0D0F1A"/>
        </w:rPr>
        <w:t>available</w:t>
      </w:r>
      <w:r>
        <w:rPr>
          <w:color w:val="0D0F1A"/>
          <w:spacing w:val="-15"/>
        </w:rPr>
        <w:t> </w:t>
      </w:r>
      <w:r>
        <w:rPr>
          <w:color w:val="0D0F1A"/>
        </w:rPr>
        <w:t>quantity</w:t>
      </w:r>
      <w:r>
        <w:rPr>
          <w:color w:val="0D0F1A"/>
          <w:spacing w:val="-15"/>
        </w:rPr>
        <w:t> </w:t>
      </w:r>
      <w:r>
        <w:rPr>
          <w:color w:val="0D0F1A"/>
        </w:rPr>
        <w:t>of</w:t>
      </w:r>
      <w:r>
        <w:rPr>
          <w:color w:val="0D0F1A"/>
          <w:spacing w:val="-15"/>
        </w:rPr>
        <w:t> </w:t>
      </w:r>
      <w:r>
        <w:rPr>
          <w:color w:val="0D0F1A"/>
        </w:rPr>
        <w:t>water</w:t>
      </w:r>
      <w:r>
        <w:rPr>
          <w:color w:val="0D0F1A"/>
          <w:spacing w:val="-15"/>
        </w:rPr>
        <w:t> </w:t>
      </w:r>
      <w:r>
        <w:rPr>
          <w:color w:val="0D0F1A"/>
        </w:rPr>
        <w:t>was</w:t>
      </w:r>
      <w:r>
        <w:rPr>
          <w:color w:val="0D0F1A"/>
          <w:spacing w:val="-15"/>
        </w:rPr>
        <w:t> </w:t>
      </w:r>
      <w:r>
        <w:rPr>
          <w:color w:val="0D0F1A"/>
        </w:rPr>
        <w:t>just</w:t>
      </w:r>
      <w:r>
        <w:rPr>
          <w:color w:val="0D0F1A"/>
          <w:spacing w:val="-14"/>
        </w:rPr>
        <w:t> </w:t>
      </w:r>
      <w:r>
        <w:rPr>
          <w:color w:val="0D0F1A"/>
        </w:rPr>
        <w:t>sufficient</w:t>
      </w:r>
      <w:r>
        <w:rPr>
          <w:color w:val="0D0F1A"/>
          <w:spacing w:val="-15"/>
        </w:rPr>
        <w:t> </w:t>
      </w:r>
      <w:r>
        <w:rPr>
          <w:color w:val="0D0F1A"/>
        </w:rPr>
        <w:t>to</w:t>
      </w:r>
      <w:r>
        <w:rPr>
          <w:color w:val="0D0F1A"/>
          <w:spacing w:val="-12"/>
        </w:rPr>
        <w:t> </w:t>
      </w:r>
      <w:r>
        <w:rPr>
          <w:color w:val="0D0F1A"/>
        </w:rPr>
        <w:t>meet</w:t>
      </w:r>
      <w:r>
        <w:rPr>
          <w:color w:val="0D0F1A"/>
          <w:spacing w:val="-15"/>
        </w:rPr>
        <w:t> </w:t>
      </w:r>
      <w:r>
        <w:rPr>
          <w:color w:val="0D0F1A"/>
        </w:rPr>
        <w:t>basic</w:t>
      </w:r>
      <w:r>
        <w:rPr>
          <w:color w:val="0D0F1A"/>
          <w:spacing w:val="-15"/>
        </w:rPr>
        <w:t> </w:t>
      </w:r>
      <w:r>
        <w:rPr>
          <w:color w:val="0D0F1A"/>
        </w:rPr>
        <w:t>human needs. Very few respondents, of about 22(6.10%) considered that water was not sufficient for</w:t>
      </w:r>
      <w:r>
        <w:rPr>
          <w:color w:val="0D0F1A"/>
          <w:spacing w:val="-11"/>
        </w:rPr>
        <w:t> </w:t>
      </w:r>
      <w:r>
        <w:rPr>
          <w:color w:val="0D0F1A"/>
        </w:rPr>
        <w:t>human/</w:t>
      </w:r>
      <w:r>
        <w:rPr>
          <w:color w:val="0D0F1A"/>
          <w:spacing w:val="-10"/>
        </w:rPr>
        <w:t> </w:t>
      </w:r>
      <w:r>
        <w:rPr>
          <w:color w:val="0D0F1A"/>
        </w:rPr>
        <w:t>household</w:t>
      </w:r>
      <w:r>
        <w:rPr>
          <w:color w:val="0D0F1A"/>
          <w:spacing w:val="-9"/>
        </w:rPr>
        <w:t> </w:t>
      </w:r>
      <w:r>
        <w:rPr>
          <w:color w:val="0D0F1A"/>
        </w:rPr>
        <w:t>needs</w:t>
      </w:r>
      <w:r>
        <w:rPr>
          <w:color w:val="0D0F1A"/>
          <w:spacing w:val="-9"/>
        </w:rPr>
        <w:t> </w:t>
      </w:r>
      <w:r>
        <w:rPr>
          <w:color w:val="0D0F1A"/>
        </w:rPr>
        <w:t>in</w:t>
      </w:r>
      <w:r>
        <w:rPr>
          <w:color w:val="0D0F1A"/>
          <w:spacing w:val="-9"/>
        </w:rPr>
        <w:t> </w:t>
      </w:r>
      <w:r>
        <w:rPr>
          <w:color w:val="0D0F1A"/>
        </w:rPr>
        <w:t>the</w:t>
      </w:r>
      <w:r>
        <w:rPr>
          <w:color w:val="0D0F1A"/>
          <w:spacing w:val="-10"/>
        </w:rPr>
        <w:t> </w:t>
      </w:r>
      <w:r>
        <w:rPr>
          <w:color w:val="0D0F1A"/>
        </w:rPr>
        <w:t>study</w:t>
      </w:r>
      <w:r>
        <w:rPr>
          <w:color w:val="0D0F1A"/>
          <w:spacing w:val="-14"/>
        </w:rPr>
        <w:t> </w:t>
      </w:r>
      <w:r>
        <w:rPr>
          <w:color w:val="0D0F1A"/>
        </w:rPr>
        <w:t>area.</w:t>
      </w:r>
      <w:r>
        <w:rPr>
          <w:color w:val="0D0F1A"/>
          <w:spacing w:val="-8"/>
        </w:rPr>
        <w:t> </w:t>
      </w:r>
      <w:r>
        <w:rPr>
          <w:color w:val="0D0F1A"/>
        </w:rPr>
        <w:t>As</w:t>
      </w:r>
      <w:r>
        <w:rPr>
          <w:color w:val="0D0F1A"/>
          <w:spacing w:val="-9"/>
        </w:rPr>
        <w:t> </w:t>
      </w:r>
      <w:r>
        <w:rPr>
          <w:color w:val="0D0F1A"/>
        </w:rPr>
        <w:t>such,</w:t>
      </w:r>
      <w:r>
        <w:rPr>
          <w:color w:val="0D0F1A"/>
          <w:spacing w:val="-10"/>
        </w:rPr>
        <w:t> </w:t>
      </w:r>
      <w:r>
        <w:rPr>
          <w:color w:val="0D0F1A"/>
        </w:rPr>
        <w:t>it</w:t>
      </w:r>
      <w:r>
        <w:rPr>
          <w:color w:val="0D0F1A"/>
          <w:spacing w:val="-9"/>
        </w:rPr>
        <w:t> </w:t>
      </w:r>
      <w:r>
        <w:rPr>
          <w:color w:val="0D0F1A"/>
        </w:rPr>
        <w:t>can</w:t>
      </w:r>
      <w:r>
        <w:rPr>
          <w:color w:val="0D0F1A"/>
          <w:spacing w:val="-10"/>
        </w:rPr>
        <w:t> </w:t>
      </w:r>
      <w:r>
        <w:rPr>
          <w:color w:val="0D0F1A"/>
        </w:rPr>
        <w:t>be</w:t>
      </w:r>
      <w:r>
        <w:rPr>
          <w:color w:val="0D0F1A"/>
          <w:spacing w:val="-11"/>
        </w:rPr>
        <w:t> </w:t>
      </w:r>
      <w:r>
        <w:rPr>
          <w:color w:val="0D0F1A"/>
        </w:rPr>
        <w:t>reasonable</w:t>
      </w:r>
      <w:r>
        <w:rPr>
          <w:color w:val="0D0F1A"/>
          <w:spacing w:val="-9"/>
        </w:rPr>
        <w:t> </w:t>
      </w:r>
      <w:r>
        <w:rPr>
          <w:color w:val="0D0F1A"/>
        </w:rPr>
        <w:t>inferred</w:t>
      </w:r>
      <w:r>
        <w:rPr>
          <w:color w:val="0D0F1A"/>
          <w:spacing w:val="-8"/>
        </w:rPr>
        <w:t> </w:t>
      </w:r>
      <w:r>
        <w:rPr>
          <w:color w:val="0D0F1A"/>
        </w:rPr>
        <w:t>from</w:t>
      </w:r>
      <w:r>
        <w:rPr>
          <w:color w:val="0D0F1A"/>
          <w:spacing w:val="-9"/>
        </w:rPr>
        <w:t> </w:t>
      </w:r>
      <w:r>
        <w:rPr>
          <w:color w:val="0D0F1A"/>
        </w:rPr>
        <w:t>the above responses that this condition of insufficient water of satisfactory quantity to meet human</w:t>
      </w:r>
      <w:r>
        <w:rPr>
          <w:color w:val="0D0F1A"/>
          <w:spacing w:val="-2"/>
        </w:rPr>
        <w:t> </w:t>
      </w:r>
      <w:r>
        <w:rPr>
          <w:color w:val="0D0F1A"/>
        </w:rPr>
        <w:t>and</w:t>
      </w:r>
      <w:r>
        <w:rPr>
          <w:color w:val="0D0F1A"/>
          <w:spacing w:val="-1"/>
        </w:rPr>
        <w:t> </w:t>
      </w:r>
      <w:r>
        <w:rPr>
          <w:color w:val="0D0F1A"/>
        </w:rPr>
        <w:t>environmental</w:t>
      </w:r>
      <w:r>
        <w:rPr>
          <w:color w:val="0D0F1A"/>
          <w:spacing w:val="-1"/>
        </w:rPr>
        <w:t> </w:t>
      </w:r>
      <w:r>
        <w:rPr>
          <w:color w:val="0D0F1A"/>
        </w:rPr>
        <w:t>needs</w:t>
      </w:r>
      <w:r>
        <w:rPr>
          <w:color w:val="0D0F1A"/>
          <w:spacing w:val="-1"/>
        </w:rPr>
        <w:t> </w:t>
      </w:r>
      <w:r>
        <w:rPr>
          <w:color w:val="0D0F1A"/>
        </w:rPr>
        <w:t>suggests</w:t>
      </w:r>
      <w:r>
        <w:rPr>
          <w:color w:val="0D0F1A"/>
          <w:spacing w:val="-1"/>
        </w:rPr>
        <w:t> </w:t>
      </w:r>
      <w:r>
        <w:rPr>
          <w:color w:val="0D0F1A"/>
        </w:rPr>
        <w:t>that</w:t>
      </w:r>
      <w:r>
        <w:rPr>
          <w:color w:val="0D0F1A"/>
          <w:spacing w:val="-1"/>
        </w:rPr>
        <w:t> </w:t>
      </w:r>
      <w:r>
        <w:rPr>
          <w:color w:val="0D0F1A"/>
        </w:rPr>
        <w:t>a</w:t>
      </w:r>
      <w:r>
        <w:rPr>
          <w:color w:val="0D0F1A"/>
          <w:spacing w:val="-2"/>
        </w:rPr>
        <w:t> </w:t>
      </w:r>
      <w:r>
        <w:rPr>
          <w:color w:val="0D0F1A"/>
        </w:rPr>
        <w:t>segment</w:t>
      </w:r>
      <w:r>
        <w:rPr>
          <w:color w:val="0D0F1A"/>
          <w:spacing w:val="-1"/>
        </w:rPr>
        <w:t> </w:t>
      </w:r>
      <w:r>
        <w:rPr>
          <w:color w:val="0D0F1A"/>
        </w:rPr>
        <w:t>of</w:t>
      </w:r>
      <w:r>
        <w:rPr>
          <w:color w:val="0D0F1A"/>
          <w:spacing w:val="-2"/>
        </w:rPr>
        <w:t> </w:t>
      </w:r>
      <w:r>
        <w:rPr>
          <w:color w:val="0D0F1A"/>
        </w:rPr>
        <w:t>the</w:t>
      </w:r>
      <w:r>
        <w:rPr>
          <w:color w:val="0D0F1A"/>
          <w:spacing w:val="-2"/>
        </w:rPr>
        <w:t> </w:t>
      </w:r>
      <w:r>
        <w:rPr>
          <w:color w:val="0D0F1A"/>
        </w:rPr>
        <w:t>households</w:t>
      </w:r>
      <w:r>
        <w:rPr>
          <w:color w:val="0D0F1A"/>
          <w:spacing w:val="-1"/>
        </w:rPr>
        <w:t> </w:t>
      </w:r>
      <w:r>
        <w:rPr>
          <w:color w:val="0D0F1A"/>
        </w:rPr>
        <w:t>in</w:t>
      </w:r>
      <w:r>
        <w:rPr>
          <w:color w:val="0D0F1A"/>
          <w:spacing w:val="-1"/>
        </w:rPr>
        <w:t> </w:t>
      </w:r>
      <w:r>
        <w:rPr>
          <w:color w:val="0D0F1A"/>
        </w:rPr>
        <w:t>the</w:t>
      </w:r>
      <w:r>
        <w:rPr>
          <w:color w:val="0D0F1A"/>
          <w:spacing w:val="-2"/>
        </w:rPr>
        <w:t> </w:t>
      </w:r>
      <w:r>
        <w:rPr>
          <w:color w:val="0D0F1A"/>
        </w:rPr>
        <w:t>study</w:t>
      </w:r>
      <w:r>
        <w:rPr>
          <w:color w:val="0D0F1A"/>
          <w:spacing w:val="-9"/>
        </w:rPr>
        <w:t> </w:t>
      </w:r>
      <w:r>
        <w:rPr>
          <w:color w:val="0D0F1A"/>
        </w:rPr>
        <w:t>area is water stressed.</w:t>
      </w:r>
    </w:p>
    <w:p>
      <w:pPr>
        <w:pStyle w:val="BodyText"/>
        <w:spacing w:before="8"/>
      </w:pPr>
    </w:p>
    <w:p>
      <w:pPr>
        <w:pStyle w:val="Heading1"/>
        <w:tabs>
          <w:tab w:pos="1707" w:val="left" w:leader="none"/>
        </w:tabs>
      </w:pPr>
      <w:r>
        <w:rPr/>
        <w:t>4.</w:t>
      </w:r>
      <w:r>
        <w:rPr>
          <w:spacing w:val="-1"/>
        </w:rPr>
        <w:t> </w:t>
      </w:r>
      <w:r>
        <w:rPr>
          <w:spacing w:val="-4"/>
        </w:rPr>
        <w:t>3.1.5</w:t>
      </w:r>
      <w:r>
        <w:rPr/>
        <w:tab/>
        <w:t>Household</w:t>
      </w:r>
      <w:r>
        <w:rPr>
          <w:spacing w:val="-3"/>
        </w:rPr>
        <w:t> </w:t>
      </w:r>
      <w:r>
        <w:rPr/>
        <w:t>perceived</w:t>
      </w:r>
      <w:r>
        <w:rPr>
          <w:spacing w:val="-2"/>
        </w:rPr>
        <w:t> </w:t>
      </w:r>
      <w:r>
        <w:rPr/>
        <w:t>annual</w:t>
      </w:r>
      <w:r>
        <w:rPr>
          <w:spacing w:val="-1"/>
        </w:rPr>
        <w:t> </w:t>
      </w:r>
      <w:r>
        <w:rPr/>
        <w:t>rainfall</w:t>
      </w:r>
      <w:r>
        <w:rPr>
          <w:spacing w:val="-2"/>
        </w:rPr>
        <w:t> pattern</w:t>
      </w:r>
    </w:p>
    <w:p>
      <w:pPr>
        <w:pStyle w:val="BodyText"/>
        <w:spacing w:before="15"/>
        <w:rPr>
          <w:b/>
        </w:rPr>
      </w:pPr>
    </w:p>
    <w:p>
      <w:pPr>
        <w:pStyle w:val="BodyText"/>
        <w:spacing w:line="480" w:lineRule="auto"/>
        <w:ind w:left="267" w:right="732"/>
        <w:jc w:val="both"/>
      </w:pPr>
      <w:r>
        <w:rPr>
          <w:color w:val="0D0F1A"/>
        </w:rPr>
        <w:t>Figure 4.4 presents the respondents perceived pattern of annual rainfall in the study area. Analysis of responses in Figure 4.4 indicated that a majority of the respondents totaling 258(71.90%) responded that rainfall pattern was fair/moderate throughout the year in the study area,</w:t>
      </w:r>
      <w:r>
        <w:rPr>
          <w:color w:val="0D0F1A"/>
          <w:spacing w:val="5"/>
        </w:rPr>
        <w:t> </w:t>
      </w:r>
      <w:r>
        <w:rPr>
          <w:color w:val="0D0F1A"/>
        </w:rPr>
        <w:t>65(18.10%)</w:t>
      </w:r>
      <w:r>
        <w:rPr>
          <w:color w:val="0D0F1A"/>
          <w:spacing w:val="5"/>
        </w:rPr>
        <w:t> </w:t>
      </w:r>
      <w:r>
        <w:rPr>
          <w:color w:val="0D0F1A"/>
        </w:rPr>
        <w:t>rated</w:t>
      </w:r>
      <w:r>
        <w:rPr>
          <w:color w:val="0D0F1A"/>
          <w:spacing w:val="5"/>
        </w:rPr>
        <w:t> </w:t>
      </w:r>
      <w:r>
        <w:rPr>
          <w:color w:val="0D0F1A"/>
        </w:rPr>
        <w:t>the</w:t>
      </w:r>
      <w:r>
        <w:rPr>
          <w:color w:val="0D0F1A"/>
          <w:spacing w:val="10"/>
        </w:rPr>
        <w:t> </w:t>
      </w:r>
      <w:r>
        <w:rPr>
          <w:color w:val="0D0F1A"/>
        </w:rPr>
        <w:t>yearly</w:t>
      </w:r>
      <w:r>
        <w:rPr>
          <w:color w:val="0D0F1A"/>
          <w:spacing w:val="3"/>
        </w:rPr>
        <w:t> </w:t>
      </w:r>
      <w:r>
        <w:rPr>
          <w:color w:val="0D0F1A"/>
        </w:rPr>
        <w:t>rainfall</w:t>
      </w:r>
      <w:r>
        <w:rPr>
          <w:color w:val="0D0F1A"/>
          <w:spacing w:val="10"/>
        </w:rPr>
        <w:t> </w:t>
      </w:r>
      <w:r>
        <w:rPr>
          <w:color w:val="0D0F1A"/>
        </w:rPr>
        <w:t>pattern</w:t>
      </w:r>
      <w:r>
        <w:rPr>
          <w:color w:val="0D0F1A"/>
          <w:spacing w:val="5"/>
        </w:rPr>
        <w:t> </w:t>
      </w:r>
      <w:r>
        <w:rPr>
          <w:color w:val="0D0F1A"/>
        </w:rPr>
        <w:t>as</w:t>
      </w:r>
      <w:r>
        <w:rPr>
          <w:color w:val="0D0F1A"/>
          <w:spacing w:val="8"/>
        </w:rPr>
        <w:t> </w:t>
      </w:r>
      <w:r>
        <w:rPr>
          <w:color w:val="0D0F1A"/>
        </w:rPr>
        <w:t>good,</w:t>
      </w:r>
      <w:r>
        <w:rPr>
          <w:color w:val="0D0F1A"/>
          <w:spacing w:val="5"/>
        </w:rPr>
        <w:t> </w:t>
      </w:r>
      <w:r>
        <w:rPr>
          <w:color w:val="0D0F1A"/>
        </w:rPr>
        <w:t>29(8.10%)</w:t>
      </w:r>
      <w:r>
        <w:rPr>
          <w:color w:val="0D0F1A"/>
          <w:spacing w:val="5"/>
        </w:rPr>
        <w:t> </w:t>
      </w:r>
      <w:r>
        <w:rPr>
          <w:color w:val="0D0F1A"/>
        </w:rPr>
        <w:t>observed</w:t>
      </w:r>
      <w:r>
        <w:rPr>
          <w:color w:val="0D0F1A"/>
          <w:spacing w:val="5"/>
        </w:rPr>
        <w:t> </w:t>
      </w:r>
      <w:r>
        <w:rPr>
          <w:color w:val="0D0F1A"/>
        </w:rPr>
        <w:t>that</w:t>
      </w:r>
      <w:r>
        <w:rPr>
          <w:color w:val="0D0F1A"/>
          <w:spacing w:val="5"/>
        </w:rPr>
        <w:t> </w:t>
      </w:r>
      <w:r>
        <w:rPr>
          <w:color w:val="0D0F1A"/>
          <w:spacing w:val="-5"/>
        </w:rPr>
        <w:t>it</w:t>
      </w:r>
    </w:p>
    <w:p>
      <w:pPr>
        <w:spacing w:after="0" w:line="480" w:lineRule="auto"/>
        <w:jc w:val="both"/>
        <w:sectPr>
          <w:pgSz w:w="12240" w:h="15840"/>
          <w:pgMar w:header="0" w:footer="1068" w:top="1420" w:bottom="1260" w:left="1720" w:right="680"/>
        </w:sectPr>
      </w:pPr>
    </w:p>
    <w:p>
      <w:pPr>
        <w:pStyle w:val="BodyText"/>
        <w:spacing w:line="480" w:lineRule="auto" w:before="63"/>
        <w:ind w:left="267" w:right="736"/>
        <w:jc w:val="both"/>
      </w:pPr>
      <w:r>
        <w:rPr/>
        <w:drawing>
          <wp:anchor distT="0" distB="0" distL="0" distR="0" allowOverlap="1" layoutInCell="1" locked="0" behindDoc="1" simplePos="0" relativeHeight="487607808">
            <wp:simplePos x="0" y="0"/>
            <wp:positionH relativeFrom="page">
              <wp:posOffset>1293875</wp:posOffset>
            </wp:positionH>
            <wp:positionV relativeFrom="paragraph">
              <wp:posOffset>746251</wp:posOffset>
            </wp:positionV>
            <wp:extent cx="5531553" cy="2614612"/>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30" cstate="print"/>
                    <a:stretch>
                      <a:fillRect/>
                    </a:stretch>
                  </pic:blipFill>
                  <pic:spPr>
                    <a:xfrm>
                      <a:off x="0" y="0"/>
                      <a:ext cx="5531553" cy="2614612"/>
                    </a:xfrm>
                    <a:prstGeom prst="rect">
                      <a:avLst/>
                    </a:prstGeom>
                  </pic:spPr>
                </pic:pic>
              </a:graphicData>
            </a:graphic>
          </wp:anchor>
        </w:drawing>
      </w:r>
      <w:r>
        <w:rPr>
          <w:color w:val="0D0F1A"/>
        </w:rPr>
        <w:t>was very good, while the remaining 7(1.90%) respondents opined that the annual rainfall pattern was poor.</w:t>
      </w:r>
    </w:p>
    <w:p>
      <w:pPr>
        <w:pStyle w:val="Heading1"/>
        <w:spacing w:before="20"/>
        <w:ind w:left="610"/>
      </w:pPr>
      <w:r>
        <w:rPr/>
        <w:t>Figure</w:t>
      </w:r>
      <w:r>
        <w:rPr>
          <w:spacing w:val="-3"/>
        </w:rPr>
        <w:t> </w:t>
      </w:r>
      <w:r>
        <w:rPr/>
        <w:t>4.4:</w:t>
      </w:r>
      <w:r>
        <w:rPr>
          <w:spacing w:val="-1"/>
        </w:rPr>
        <w:t> </w:t>
      </w:r>
      <w:r>
        <w:rPr/>
        <w:t>Frequency</w:t>
      </w:r>
      <w:r>
        <w:rPr>
          <w:spacing w:val="-1"/>
        </w:rPr>
        <w:t> </w:t>
      </w:r>
      <w:r>
        <w:rPr/>
        <w:t>and</w:t>
      </w:r>
      <w:r>
        <w:rPr>
          <w:spacing w:val="-2"/>
        </w:rPr>
        <w:t> </w:t>
      </w:r>
      <w:r>
        <w:rPr/>
        <w:t>Percentage</w:t>
      </w:r>
      <w:r>
        <w:rPr>
          <w:spacing w:val="-3"/>
        </w:rPr>
        <w:t> </w:t>
      </w:r>
      <w:r>
        <w:rPr/>
        <w:t>of</w:t>
      </w:r>
      <w:r>
        <w:rPr>
          <w:spacing w:val="-1"/>
        </w:rPr>
        <w:t> </w:t>
      </w:r>
      <w:r>
        <w:rPr/>
        <w:t>Respondents</w:t>
      </w:r>
      <w:r>
        <w:rPr>
          <w:spacing w:val="-2"/>
        </w:rPr>
        <w:t> </w:t>
      </w:r>
      <w:r>
        <w:rPr/>
        <w:t>Rating</w:t>
      </w:r>
      <w:r>
        <w:rPr>
          <w:spacing w:val="-1"/>
        </w:rPr>
        <w:t> </w:t>
      </w:r>
      <w:r>
        <w:rPr/>
        <w:t>on</w:t>
      </w:r>
      <w:r>
        <w:rPr>
          <w:spacing w:val="-2"/>
        </w:rPr>
        <w:t> </w:t>
      </w:r>
      <w:r>
        <w:rPr/>
        <w:t>Water</w:t>
      </w:r>
      <w:r>
        <w:rPr>
          <w:spacing w:val="-2"/>
        </w:rPr>
        <w:t> Quality</w:t>
      </w:r>
    </w:p>
    <w:p>
      <w:pPr>
        <w:pStyle w:val="BodyText"/>
        <w:spacing w:before="271"/>
        <w:rPr>
          <w:b/>
        </w:rPr>
      </w:pPr>
    </w:p>
    <w:p>
      <w:pPr>
        <w:pStyle w:val="BodyText"/>
        <w:spacing w:line="480" w:lineRule="auto"/>
        <w:ind w:left="267" w:right="730"/>
        <w:jc w:val="both"/>
      </w:pPr>
      <w:r>
        <w:rPr>
          <w:color w:val="0D0F1A"/>
        </w:rPr>
        <w:t>While</w:t>
      </w:r>
      <w:r>
        <w:rPr>
          <w:color w:val="0D0F1A"/>
          <w:spacing w:val="-6"/>
        </w:rPr>
        <w:t> </w:t>
      </w:r>
      <w:r>
        <w:rPr>
          <w:color w:val="0D0F1A"/>
        </w:rPr>
        <w:t>the</w:t>
      </w:r>
      <w:r>
        <w:rPr>
          <w:color w:val="0D0F1A"/>
          <w:spacing w:val="-5"/>
        </w:rPr>
        <w:t> </w:t>
      </w:r>
      <w:r>
        <w:rPr>
          <w:color w:val="0D0F1A"/>
        </w:rPr>
        <w:t>consensus</w:t>
      </w:r>
      <w:r>
        <w:rPr>
          <w:color w:val="0D0F1A"/>
          <w:spacing w:val="-4"/>
        </w:rPr>
        <w:t> </w:t>
      </w:r>
      <w:r>
        <w:rPr>
          <w:color w:val="0D0F1A"/>
        </w:rPr>
        <w:t>of</w:t>
      </w:r>
      <w:r>
        <w:rPr>
          <w:color w:val="0D0F1A"/>
          <w:spacing w:val="-6"/>
        </w:rPr>
        <w:t> </w:t>
      </w:r>
      <w:r>
        <w:rPr>
          <w:color w:val="0D0F1A"/>
        </w:rPr>
        <w:t>respondents’</w:t>
      </w:r>
      <w:r>
        <w:rPr>
          <w:color w:val="0D0F1A"/>
          <w:spacing w:val="-5"/>
        </w:rPr>
        <w:t> </w:t>
      </w:r>
      <w:r>
        <w:rPr>
          <w:color w:val="0D0F1A"/>
        </w:rPr>
        <w:t>perceived</w:t>
      </w:r>
      <w:r>
        <w:rPr>
          <w:color w:val="0D0F1A"/>
          <w:spacing w:val="-2"/>
        </w:rPr>
        <w:t> </w:t>
      </w:r>
      <w:r>
        <w:rPr>
          <w:color w:val="0D0F1A"/>
        </w:rPr>
        <w:t>rating</w:t>
      </w:r>
      <w:r>
        <w:rPr>
          <w:color w:val="0D0F1A"/>
          <w:spacing w:val="-7"/>
        </w:rPr>
        <w:t> </w:t>
      </w:r>
      <w:r>
        <w:rPr>
          <w:color w:val="0D0F1A"/>
        </w:rPr>
        <w:t>of</w:t>
      </w:r>
      <w:r>
        <w:rPr>
          <w:color w:val="0D0F1A"/>
          <w:spacing w:val="-6"/>
        </w:rPr>
        <w:t> </w:t>
      </w:r>
      <w:r>
        <w:rPr>
          <w:color w:val="0D0F1A"/>
        </w:rPr>
        <w:t>rainfall</w:t>
      </w:r>
      <w:r>
        <w:rPr>
          <w:color w:val="0D0F1A"/>
          <w:spacing w:val="-4"/>
        </w:rPr>
        <w:t> </w:t>
      </w:r>
      <w:r>
        <w:rPr>
          <w:color w:val="0D0F1A"/>
        </w:rPr>
        <w:t>pattern/variability</w:t>
      </w:r>
      <w:r>
        <w:rPr>
          <w:color w:val="0D0F1A"/>
          <w:spacing w:val="-10"/>
        </w:rPr>
        <w:t> </w:t>
      </w:r>
      <w:r>
        <w:rPr>
          <w:color w:val="0D0F1A"/>
        </w:rPr>
        <w:t>is</w:t>
      </w:r>
      <w:r>
        <w:rPr>
          <w:color w:val="0D0F1A"/>
          <w:spacing w:val="-4"/>
        </w:rPr>
        <w:t> </w:t>
      </w:r>
      <w:r>
        <w:rPr>
          <w:color w:val="0D0F1A"/>
        </w:rPr>
        <w:t>ranked between ‘’fair” and “good” rating, it can be concluded that there is evidence of observed variability/change in rainfall pattern in the study area. In line with this finding, previous research</w:t>
      </w:r>
      <w:r>
        <w:rPr>
          <w:color w:val="0D0F1A"/>
          <w:spacing w:val="-3"/>
        </w:rPr>
        <w:t> </w:t>
      </w:r>
      <w:r>
        <w:rPr>
          <w:color w:val="0D0F1A"/>
        </w:rPr>
        <w:t>(Manandhar</w:t>
      </w:r>
      <w:r>
        <w:rPr>
          <w:color w:val="0D0F1A"/>
          <w:spacing w:val="-3"/>
        </w:rPr>
        <w:t> </w:t>
      </w:r>
      <w:r>
        <w:rPr>
          <w:i/>
          <w:color w:val="0D0F1A"/>
        </w:rPr>
        <w:t>et</w:t>
      </w:r>
      <w:r>
        <w:rPr>
          <w:i/>
          <w:color w:val="0D0F1A"/>
          <w:spacing w:val="-5"/>
        </w:rPr>
        <w:t> </w:t>
      </w:r>
      <w:r>
        <w:rPr>
          <w:i/>
          <w:color w:val="0D0F1A"/>
        </w:rPr>
        <w:t>al.</w:t>
      </w:r>
      <w:r>
        <w:rPr>
          <w:color w:val="0D0F1A"/>
        </w:rPr>
        <w:t>,</w:t>
      </w:r>
      <w:r>
        <w:rPr>
          <w:color w:val="0D0F1A"/>
          <w:spacing w:val="-6"/>
        </w:rPr>
        <w:t> </w:t>
      </w:r>
      <w:r>
        <w:rPr>
          <w:color w:val="0D0F1A"/>
        </w:rPr>
        <w:t>2011;</w:t>
      </w:r>
      <w:r>
        <w:rPr>
          <w:color w:val="0D0F1A"/>
          <w:spacing w:val="-5"/>
        </w:rPr>
        <w:t> </w:t>
      </w:r>
      <w:r>
        <w:rPr>
          <w:color w:val="0D0F1A"/>
        </w:rPr>
        <w:t>Jemmali</w:t>
      </w:r>
      <w:r>
        <w:rPr>
          <w:color w:val="0D0F1A"/>
          <w:spacing w:val="-5"/>
        </w:rPr>
        <w:t> </w:t>
      </w:r>
      <w:r>
        <w:rPr>
          <w:color w:val="0D0F1A"/>
        </w:rPr>
        <w:t>and</w:t>
      </w:r>
      <w:r>
        <w:rPr>
          <w:color w:val="0D0F1A"/>
          <w:spacing w:val="-6"/>
        </w:rPr>
        <w:t> </w:t>
      </w:r>
      <w:r>
        <w:rPr>
          <w:color w:val="0D0F1A"/>
        </w:rPr>
        <w:t>Matoussi,</w:t>
      </w:r>
      <w:r>
        <w:rPr>
          <w:color w:val="0D0F1A"/>
          <w:spacing w:val="-5"/>
        </w:rPr>
        <w:t> </w:t>
      </w:r>
      <w:r>
        <w:rPr>
          <w:color w:val="0D0F1A"/>
        </w:rPr>
        <w:t>2013)</w:t>
      </w:r>
      <w:r>
        <w:rPr>
          <w:color w:val="0D0F1A"/>
          <w:spacing w:val="-7"/>
        </w:rPr>
        <w:t> </w:t>
      </w:r>
      <w:r>
        <w:rPr>
          <w:color w:val="0D0F1A"/>
        </w:rPr>
        <w:t>has</w:t>
      </w:r>
      <w:r>
        <w:rPr>
          <w:color w:val="0D0F1A"/>
          <w:spacing w:val="-6"/>
        </w:rPr>
        <w:t> </w:t>
      </w:r>
      <w:r>
        <w:rPr>
          <w:color w:val="0D0F1A"/>
        </w:rPr>
        <w:t>however</w:t>
      </w:r>
      <w:r>
        <w:rPr>
          <w:color w:val="0D0F1A"/>
          <w:spacing w:val="-7"/>
        </w:rPr>
        <w:t> </w:t>
      </w:r>
      <w:r>
        <w:rPr>
          <w:color w:val="0D0F1A"/>
        </w:rPr>
        <w:t>shown</w:t>
      </w:r>
      <w:r>
        <w:rPr>
          <w:color w:val="0D0F1A"/>
          <w:spacing w:val="-6"/>
        </w:rPr>
        <w:t> </w:t>
      </w:r>
      <w:r>
        <w:rPr>
          <w:color w:val="0D0F1A"/>
        </w:rPr>
        <w:t>that</w:t>
      </w:r>
      <w:r>
        <w:rPr>
          <w:color w:val="0D0F1A"/>
          <w:spacing w:val="-6"/>
        </w:rPr>
        <w:t> </w:t>
      </w:r>
      <w:r>
        <w:rPr>
          <w:color w:val="0D0F1A"/>
        </w:rPr>
        <w:t>the higher the</w:t>
      </w:r>
      <w:r>
        <w:rPr>
          <w:color w:val="0D0F1A"/>
          <w:spacing w:val="-1"/>
        </w:rPr>
        <w:t> </w:t>
      </w:r>
      <w:r>
        <w:rPr>
          <w:color w:val="0D0F1A"/>
        </w:rPr>
        <w:t>variability</w:t>
      </w:r>
      <w:r>
        <w:rPr>
          <w:color w:val="0D0F1A"/>
          <w:spacing w:val="-3"/>
        </w:rPr>
        <w:t> </w:t>
      </w:r>
      <w:r>
        <w:rPr>
          <w:color w:val="0D0F1A"/>
        </w:rPr>
        <w:t>of rainfall, the</w:t>
      </w:r>
      <w:r>
        <w:rPr>
          <w:color w:val="0D0F1A"/>
          <w:spacing w:val="-1"/>
        </w:rPr>
        <w:t> </w:t>
      </w:r>
      <w:r>
        <w:rPr>
          <w:color w:val="0D0F1A"/>
        </w:rPr>
        <w:t>higher</w:t>
      </w:r>
      <w:r>
        <w:rPr>
          <w:color w:val="0D0F1A"/>
          <w:spacing w:val="-1"/>
        </w:rPr>
        <w:t> </w:t>
      </w:r>
      <w:r>
        <w:rPr>
          <w:color w:val="0D0F1A"/>
        </w:rPr>
        <w:t>the climate</w:t>
      </w:r>
      <w:r>
        <w:rPr>
          <w:color w:val="0D0F1A"/>
          <w:spacing w:val="-1"/>
        </w:rPr>
        <w:t> </w:t>
      </w:r>
      <w:r>
        <w:rPr>
          <w:color w:val="0D0F1A"/>
        </w:rPr>
        <w:t>induced risks of water</w:t>
      </w:r>
      <w:r>
        <w:rPr>
          <w:color w:val="0D0F1A"/>
          <w:spacing w:val="-2"/>
        </w:rPr>
        <w:t> </w:t>
      </w:r>
      <w:r>
        <w:rPr>
          <w:color w:val="0D0F1A"/>
        </w:rPr>
        <w:t>resources. On this basis, this observed rainfall variability by the respondents’ impact significantly on the volumetric availability of water to households in the study area.</w:t>
      </w:r>
    </w:p>
    <w:p>
      <w:pPr>
        <w:pStyle w:val="BodyText"/>
        <w:spacing w:before="9"/>
      </w:pPr>
    </w:p>
    <w:p>
      <w:pPr>
        <w:pStyle w:val="Heading1"/>
        <w:tabs>
          <w:tab w:pos="1707" w:val="left" w:leader="none"/>
        </w:tabs>
      </w:pPr>
      <w:r>
        <w:rPr>
          <w:spacing w:val="-2"/>
        </w:rPr>
        <w:t>4.3.1.6</w:t>
      </w:r>
      <w:r>
        <w:rPr/>
        <w:tab/>
        <w:t>Seasonal</w:t>
      </w:r>
      <w:r>
        <w:rPr>
          <w:spacing w:val="-1"/>
        </w:rPr>
        <w:t> </w:t>
      </w:r>
      <w:r>
        <w:rPr/>
        <w:t>variability</w:t>
      </w:r>
      <w:r>
        <w:rPr>
          <w:spacing w:val="-1"/>
        </w:rPr>
        <w:t> </w:t>
      </w:r>
      <w:r>
        <w:rPr/>
        <w:t>in</w:t>
      </w:r>
      <w:r>
        <w:rPr>
          <w:spacing w:val="-4"/>
        </w:rPr>
        <w:t> </w:t>
      </w:r>
      <w:r>
        <w:rPr/>
        <w:t>public</w:t>
      </w:r>
      <w:r>
        <w:rPr>
          <w:spacing w:val="-1"/>
        </w:rPr>
        <w:t> </w:t>
      </w:r>
      <w:r>
        <w:rPr/>
        <w:t>water</w:t>
      </w:r>
      <w:r>
        <w:rPr>
          <w:spacing w:val="-2"/>
        </w:rPr>
        <w:t> supply</w:t>
      </w:r>
    </w:p>
    <w:p>
      <w:pPr>
        <w:pStyle w:val="BodyText"/>
        <w:spacing w:before="14"/>
        <w:rPr>
          <w:b/>
        </w:rPr>
      </w:pPr>
    </w:p>
    <w:p>
      <w:pPr>
        <w:pStyle w:val="BodyText"/>
        <w:spacing w:line="480" w:lineRule="auto"/>
        <w:ind w:left="267" w:right="736"/>
        <w:jc w:val="both"/>
      </w:pPr>
      <w:r>
        <w:rPr>
          <w:color w:val="0D0F1A"/>
        </w:rPr>
        <w:t>Figure 4.5 depicts the responses on seasonal variability in public (pipe) water supply as perceived by the respondents in study area.</w:t>
      </w:r>
    </w:p>
    <w:p>
      <w:pPr>
        <w:spacing w:after="0" w:line="480" w:lineRule="auto"/>
        <w:jc w:val="both"/>
        <w:sectPr>
          <w:pgSz w:w="12240" w:h="15840"/>
          <w:pgMar w:header="0" w:footer="1068" w:top="1340" w:bottom="1260" w:left="1720" w:right="680"/>
        </w:sectPr>
      </w:pPr>
    </w:p>
    <w:p>
      <w:pPr>
        <w:pStyle w:val="BodyText"/>
        <w:ind w:left="267"/>
        <w:rPr>
          <w:sz w:val="20"/>
        </w:rPr>
      </w:pPr>
      <w:r>
        <w:rPr>
          <w:sz w:val="20"/>
        </w:rPr>
        <w:drawing>
          <wp:inline distT="0" distB="0" distL="0" distR="0">
            <wp:extent cx="5588679" cy="265747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1" cstate="print"/>
                    <a:stretch>
                      <a:fillRect/>
                    </a:stretch>
                  </pic:blipFill>
                  <pic:spPr>
                    <a:xfrm>
                      <a:off x="0" y="0"/>
                      <a:ext cx="5588679" cy="2657475"/>
                    </a:xfrm>
                    <a:prstGeom prst="rect">
                      <a:avLst/>
                    </a:prstGeom>
                  </pic:spPr>
                </pic:pic>
              </a:graphicData>
            </a:graphic>
          </wp:inline>
        </w:drawing>
      </w:r>
      <w:r>
        <w:rPr>
          <w:sz w:val="20"/>
        </w:rPr>
      </w:r>
    </w:p>
    <w:p>
      <w:pPr>
        <w:pStyle w:val="Heading1"/>
        <w:ind w:left="610"/>
        <w:jc w:val="both"/>
      </w:pPr>
      <w:r>
        <w:rPr/>
        <w:t>Figure</w:t>
      </w:r>
      <w:r>
        <w:rPr>
          <w:spacing w:val="-3"/>
        </w:rPr>
        <w:t> </w:t>
      </w:r>
      <w:r>
        <w:rPr/>
        <w:t>4.5:</w:t>
      </w:r>
      <w:r>
        <w:rPr>
          <w:spacing w:val="-1"/>
        </w:rPr>
        <w:t> </w:t>
      </w:r>
      <w:r>
        <w:rPr/>
        <w:t>Frequency</w:t>
      </w:r>
      <w:r>
        <w:rPr>
          <w:spacing w:val="-1"/>
        </w:rPr>
        <w:t> </w:t>
      </w:r>
      <w:r>
        <w:rPr/>
        <w:t>and</w:t>
      </w:r>
      <w:r>
        <w:rPr>
          <w:spacing w:val="-2"/>
        </w:rPr>
        <w:t> </w:t>
      </w:r>
      <w:r>
        <w:rPr/>
        <w:t>Percentage</w:t>
      </w:r>
      <w:r>
        <w:rPr>
          <w:spacing w:val="-3"/>
        </w:rPr>
        <w:t> </w:t>
      </w:r>
      <w:r>
        <w:rPr/>
        <w:t>of</w:t>
      </w:r>
      <w:r>
        <w:rPr>
          <w:spacing w:val="-1"/>
        </w:rPr>
        <w:t> </w:t>
      </w:r>
      <w:r>
        <w:rPr/>
        <w:t>Respondents</w:t>
      </w:r>
      <w:r>
        <w:rPr>
          <w:spacing w:val="-2"/>
        </w:rPr>
        <w:t> </w:t>
      </w:r>
      <w:r>
        <w:rPr/>
        <w:t>Rating</w:t>
      </w:r>
      <w:r>
        <w:rPr>
          <w:spacing w:val="-1"/>
        </w:rPr>
        <w:t> </w:t>
      </w:r>
      <w:r>
        <w:rPr/>
        <w:t>on</w:t>
      </w:r>
      <w:r>
        <w:rPr>
          <w:spacing w:val="-2"/>
        </w:rPr>
        <w:t> </w:t>
      </w:r>
      <w:r>
        <w:rPr/>
        <w:t>Water</w:t>
      </w:r>
      <w:r>
        <w:rPr>
          <w:spacing w:val="-2"/>
        </w:rPr>
        <w:t> Quality</w:t>
      </w:r>
    </w:p>
    <w:p>
      <w:pPr>
        <w:pStyle w:val="BodyText"/>
        <w:spacing w:line="480" w:lineRule="auto" w:before="208"/>
        <w:ind w:left="267" w:right="727"/>
        <w:jc w:val="both"/>
      </w:pPr>
      <w:r>
        <w:rPr/>
        <w:t>It can be seen that, while 10(2.80%) of the surveyed respondents perceived the seasonal variability in public water supply as being much, in contrast about 86(24.00%) of the respondents</w:t>
      </w:r>
      <w:r>
        <w:rPr>
          <w:spacing w:val="-7"/>
        </w:rPr>
        <w:t> </w:t>
      </w:r>
      <w:r>
        <w:rPr/>
        <w:t>observed</w:t>
      </w:r>
      <w:r>
        <w:rPr>
          <w:spacing w:val="-7"/>
        </w:rPr>
        <w:t> </w:t>
      </w:r>
      <w:r>
        <w:rPr/>
        <w:t>that</w:t>
      </w:r>
      <w:r>
        <w:rPr>
          <w:spacing w:val="-7"/>
        </w:rPr>
        <w:t> </w:t>
      </w:r>
      <w:r>
        <w:rPr/>
        <w:t>the</w:t>
      </w:r>
      <w:r>
        <w:rPr>
          <w:spacing w:val="-8"/>
        </w:rPr>
        <w:t> </w:t>
      </w:r>
      <w:r>
        <w:rPr/>
        <w:t>seasonal</w:t>
      </w:r>
      <w:r>
        <w:rPr>
          <w:spacing w:val="-7"/>
        </w:rPr>
        <w:t> </w:t>
      </w:r>
      <w:r>
        <w:rPr/>
        <w:t>variability</w:t>
      </w:r>
      <w:r>
        <w:rPr>
          <w:spacing w:val="-12"/>
        </w:rPr>
        <w:t> </w:t>
      </w:r>
      <w:r>
        <w:rPr/>
        <w:t>in</w:t>
      </w:r>
      <w:r>
        <w:rPr>
          <w:spacing w:val="-7"/>
        </w:rPr>
        <w:t> </w:t>
      </w:r>
      <w:r>
        <w:rPr/>
        <w:t>public</w:t>
      </w:r>
      <w:r>
        <w:rPr>
          <w:spacing w:val="-8"/>
        </w:rPr>
        <w:t> </w:t>
      </w:r>
      <w:r>
        <w:rPr/>
        <w:t>water</w:t>
      </w:r>
      <w:r>
        <w:rPr>
          <w:spacing w:val="-8"/>
        </w:rPr>
        <w:t> </w:t>
      </w:r>
      <w:r>
        <w:rPr/>
        <w:t>supply</w:t>
      </w:r>
      <w:r>
        <w:rPr>
          <w:spacing w:val="-10"/>
        </w:rPr>
        <w:t> </w:t>
      </w:r>
      <w:r>
        <w:rPr/>
        <w:t>was</w:t>
      </w:r>
      <w:r>
        <w:rPr>
          <w:spacing w:val="-7"/>
        </w:rPr>
        <w:t> </w:t>
      </w:r>
      <w:r>
        <w:rPr/>
        <w:t>just</w:t>
      </w:r>
      <w:r>
        <w:rPr>
          <w:spacing w:val="-6"/>
        </w:rPr>
        <w:t> </w:t>
      </w:r>
      <w:r>
        <w:rPr/>
        <w:t>little</w:t>
      </w:r>
      <w:r>
        <w:rPr>
          <w:spacing w:val="-8"/>
        </w:rPr>
        <w:t> </w:t>
      </w:r>
      <w:r>
        <w:rPr/>
        <w:t>in</w:t>
      </w:r>
      <w:r>
        <w:rPr>
          <w:spacing w:val="-7"/>
        </w:rPr>
        <w:t> </w:t>
      </w:r>
      <w:r>
        <w:rPr/>
        <w:t>the study area. In addition, 148(41.20%) of the surveyed respondents reported a little but not enough variability in public water supply between rainy and dry season in the study area, whereas 114(31.80%) respondents perceived this variability as being enough to affect the quantity and service reliability of public water supply. Only 1(0.30%) respondent however reported no seasonal variability in the study area. Generally, the perceived assessment of seasonal variability in public water supply varied from “very little”, “little but not enough” to</w:t>
      </w:r>
      <w:r>
        <w:rPr>
          <w:spacing w:val="-8"/>
        </w:rPr>
        <w:t> </w:t>
      </w:r>
      <w:r>
        <w:rPr/>
        <w:t>“enough”</w:t>
      </w:r>
      <w:r>
        <w:rPr>
          <w:spacing w:val="-9"/>
        </w:rPr>
        <w:t> </w:t>
      </w:r>
      <w:r>
        <w:rPr/>
        <w:t>based</w:t>
      </w:r>
      <w:r>
        <w:rPr>
          <w:spacing w:val="-8"/>
        </w:rPr>
        <w:t> </w:t>
      </w:r>
      <w:r>
        <w:rPr/>
        <w:t>on</w:t>
      </w:r>
      <w:r>
        <w:rPr>
          <w:spacing w:val="-8"/>
        </w:rPr>
        <w:t> </w:t>
      </w:r>
      <w:r>
        <w:rPr/>
        <w:t>the</w:t>
      </w:r>
      <w:r>
        <w:rPr>
          <w:spacing w:val="-7"/>
        </w:rPr>
        <w:t> </w:t>
      </w:r>
      <w:r>
        <w:rPr/>
        <w:t>respondents</w:t>
      </w:r>
      <w:r>
        <w:rPr>
          <w:spacing w:val="-8"/>
        </w:rPr>
        <w:t> </w:t>
      </w:r>
      <w:r>
        <w:rPr/>
        <w:t>perceptual</w:t>
      </w:r>
      <w:r>
        <w:rPr>
          <w:spacing w:val="-6"/>
        </w:rPr>
        <w:t> </w:t>
      </w:r>
      <w:r>
        <w:rPr/>
        <w:t>rating.</w:t>
      </w:r>
      <w:r>
        <w:rPr>
          <w:spacing w:val="-8"/>
        </w:rPr>
        <w:t> </w:t>
      </w:r>
      <w:r>
        <w:rPr/>
        <w:t>This</w:t>
      </w:r>
      <w:r>
        <w:rPr>
          <w:spacing w:val="-8"/>
        </w:rPr>
        <w:t> </w:t>
      </w:r>
      <w:r>
        <w:rPr/>
        <w:t>perceived</w:t>
      </w:r>
      <w:r>
        <w:rPr>
          <w:spacing w:val="-9"/>
        </w:rPr>
        <w:t> </w:t>
      </w:r>
      <w:r>
        <w:rPr/>
        <w:t>level</w:t>
      </w:r>
      <w:r>
        <w:rPr>
          <w:spacing w:val="-8"/>
        </w:rPr>
        <w:t> </w:t>
      </w:r>
      <w:r>
        <w:rPr/>
        <w:t>of</w:t>
      </w:r>
      <w:r>
        <w:rPr>
          <w:spacing w:val="-9"/>
        </w:rPr>
        <w:t> </w:t>
      </w:r>
      <w:r>
        <w:rPr/>
        <w:t>variability</w:t>
      </w:r>
      <w:r>
        <w:rPr>
          <w:spacing w:val="-12"/>
        </w:rPr>
        <w:t> </w:t>
      </w:r>
      <w:r>
        <w:rPr/>
        <w:t>is an indicator of insufficient water supply, low quality as well as irregular water supply pressure to households in the study area.</w:t>
      </w:r>
    </w:p>
    <w:p>
      <w:pPr>
        <w:spacing w:after="0" w:line="480" w:lineRule="auto"/>
        <w:jc w:val="both"/>
        <w:sectPr>
          <w:pgSz w:w="12240" w:h="15840"/>
          <w:pgMar w:header="0" w:footer="1068" w:top="1420" w:bottom="1260" w:left="1720" w:right="680"/>
        </w:sectPr>
      </w:pPr>
    </w:p>
    <w:p>
      <w:pPr>
        <w:pStyle w:val="Heading1"/>
        <w:spacing w:before="70"/>
        <w:jc w:val="both"/>
      </w:pPr>
      <w:r>
        <w:rPr/>
        <w:t>4.</w:t>
      </w:r>
      <w:r>
        <w:rPr>
          <w:spacing w:val="-2"/>
        </w:rPr>
        <w:t> </w:t>
      </w:r>
      <w:r>
        <w:rPr/>
        <w:t>3.1.7 Quality of</w:t>
      </w:r>
      <w:r>
        <w:rPr>
          <w:spacing w:val="-1"/>
        </w:rPr>
        <w:t> </w:t>
      </w:r>
      <w:r>
        <w:rPr/>
        <w:t>drinking water</w:t>
      </w:r>
      <w:r>
        <w:rPr>
          <w:spacing w:val="-1"/>
        </w:rPr>
        <w:t> </w:t>
      </w:r>
      <w:r>
        <w:rPr/>
        <w:t>and </w:t>
      </w:r>
      <w:r>
        <w:rPr>
          <w:spacing w:val="-5"/>
        </w:rPr>
        <w:t>use</w:t>
      </w:r>
    </w:p>
    <w:p>
      <w:pPr>
        <w:pStyle w:val="BodyText"/>
        <w:spacing w:before="96"/>
        <w:rPr>
          <w:b/>
        </w:rPr>
      </w:pPr>
    </w:p>
    <w:p>
      <w:pPr>
        <w:pStyle w:val="BodyText"/>
        <w:spacing w:line="480" w:lineRule="auto" w:after="6"/>
        <w:ind w:left="267" w:right="727"/>
        <w:jc w:val="both"/>
      </w:pPr>
      <w:r>
        <w:rPr/>
        <w:t>Figure 4.6 shows the respondents’ responses on the quality of drinking water as well as domestic water use by households. In the study area, 45(12.50%) of the respondents identified</w:t>
      </w:r>
      <w:r>
        <w:rPr>
          <w:spacing w:val="-7"/>
        </w:rPr>
        <w:t> </w:t>
      </w:r>
      <w:r>
        <w:rPr/>
        <w:t>the</w:t>
      </w:r>
      <w:r>
        <w:rPr>
          <w:spacing w:val="-8"/>
        </w:rPr>
        <w:t> </w:t>
      </w:r>
      <w:r>
        <w:rPr/>
        <w:t>water</w:t>
      </w:r>
      <w:r>
        <w:rPr>
          <w:spacing w:val="-6"/>
        </w:rPr>
        <w:t> </w:t>
      </w:r>
      <w:r>
        <w:rPr/>
        <w:t>quality</w:t>
      </w:r>
      <w:r>
        <w:rPr>
          <w:spacing w:val="-10"/>
        </w:rPr>
        <w:t> </w:t>
      </w:r>
      <w:r>
        <w:rPr/>
        <w:t>as</w:t>
      </w:r>
      <w:r>
        <w:rPr>
          <w:spacing w:val="-7"/>
        </w:rPr>
        <w:t> </w:t>
      </w:r>
      <w:r>
        <w:rPr/>
        <w:t>excellent,</w:t>
      </w:r>
      <w:r>
        <w:rPr>
          <w:spacing w:val="-7"/>
        </w:rPr>
        <w:t> </w:t>
      </w:r>
      <w:r>
        <w:rPr/>
        <w:t>another</w:t>
      </w:r>
      <w:r>
        <w:rPr>
          <w:spacing w:val="-8"/>
        </w:rPr>
        <w:t> </w:t>
      </w:r>
      <w:r>
        <w:rPr/>
        <w:t>192(53.50%)</w:t>
      </w:r>
      <w:r>
        <w:rPr>
          <w:spacing w:val="-6"/>
        </w:rPr>
        <w:t> </w:t>
      </w:r>
      <w:r>
        <w:rPr/>
        <w:t>reported</w:t>
      </w:r>
      <w:r>
        <w:rPr>
          <w:spacing w:val="-6"/>
        </w:rPr>
        <w:t> </w:t>
      </w:r>
      <w:r>
        <w:rPr/>
        <w:t>that</w:t>
      </w:r>
      <w:r>
        <w:rPr>
          <w:spacing w:val="-6"/>
        </w:rPr>
        <w:t> </w:t>
      </w:r>
      <w:r>
        <w:rPr/>
        <w:t>the</w:t>
      </w:r>
      <w:r>
        <w:rPr>
          <w:spacing w:val="-8"/>
        </w:rPr>
        <w:t> </w:t>
      </w:r>
      <w:r>
        <w:rPr/>
        <w:t>water</w:t>
      </w:r>
      <w:r>
        <w:rPr>
          <w:spacing w:val="-8"/>
        </w:rPr>
        <w:t> </w:t>
      </w:r>
      <w:r>
        <w:rPr/>
        <w:t>quality was good, while 106(29.50%) rated it as adequate. Few of the respondents, 15(4.20%) and 1(0.30%) respectively observed that the water quality was either poor or terrible. Though, detailed</w:t>
      </w:r>
      <w:r>
        <w:rPr>
          <w:spacing w:val="-11"/>
        </w:rPr>
        <w:t> </w:t>
      </w:r>
      <w:r>
        <w:rPr/>
        <w:t>quantitative</w:t>
      </w:r>
      <w:r>
        <w:rPr>
          <w:spacing w:val="-11"/>
        </w:rPr>
        <w:t> </w:t>
      </w:r>
      <w:r>
        <w:rPr/>
        <w:t>water</w:t>
      </w:r>
      <w:r>
        <w:rPr>
          <w:spacing w:val="-11"/>
        </w:rPr>
        <w:t> </w:t>
      </w:r>
      <w:r>
        <w:rPr/>
        <w:t>analysis</w:t>
      </w:r>
      <w:r>
        <w:rPr>
          <w:spacing w:val="-10"/>
        </w:rPr>
        <w:t> </w:t>
      </w:r>
      <w:r>
        <w:rPr/>
        <w:t>was</w:t>
      </w:r>
      <w:r>
        <w:rPr>
          <w:spacing w:val="-8"/>
        </w:rPr>
        <w:t> </w:t>
      </w:r>
      <w:r>
        <w:rPr/>
        <w:t>not</w:t>
      </w:r>
      <w:r>
        <w:rPr>
          <w:spacing w:val="-10"/>
        </w:rPr>
        <w:t> </w:t>
      </w:r>
      <w:r>
        <w:rPr/>
        <w:t>undertaken,</w:t>
      </w:r>
      <w:r>
        <w:rPr>
          <w:spacing w:val="-11"/>
        </w:rPr>
        <w:t> </w:t>
      </w:r>
      <w:r>
        <w:rPr/>
        <w:t>this</w:t>
      </w:r>
      <w:r>
        <w:rPr>
          <w:spacing w:val="-10"/>
        </w:rPr>
        <w:t> </w:t>
      </w:r>
      <w:r>
        <w:rPr/>
        <w:t>observational</w:t>
      </w:r>
      <w:r>
        <w:rPr>
          <w:spacing w:val="-10"/>
        </w:rPr>
        <w:t> </w:t>
      </w:r>
      <w:r>
        <w:rPr/>
        <w:t>evidence</w:t>
      </w:r>
      <w:r>
        <w:rPr>
          <w:spacing w:val="-12"/>
        </w:rPr>
        <w:t> </w:t>
      </w:r>
      <w:r>
        <w:rPr/>
        <w:t>from</w:t>
      </w:r>
      <w:r>
        <w:rPr>
          <w:spacing w:val="-11"/>
        </w:rPr>
        <w:t> </w:t>
      </w:r>
      <w:r>
        <w:rPr/>
        <w:t>the respondents suggests that households in the study area have a better water quality.</w:t>
      </w:r>
    </w:p>
    <w:p>
      <w:pPr>
        <w:pStyle w:val="BodyText"/>
        <w:ind w:left="267"/>
        <w:rPr>
          <w:sz w:val="20"/>
        </w:rPr>
      </w:pPr>
      <w:r>
        <w:rPr>
          <w:sz w:val="20"/>
        </w:rPr>
        <w:drawing>
          <wp:inline distT="0" distB="0" distL="0" distR="0">
            <wp:extent cx="5538410" cy="2583179"/>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2" cstate="print"/>
                    <a:stretch>
                      <a:fillRect/>
                    </a:stretch>
                  </pic:blipFill>
                  <pic:spPr>
                    <a:xfrm>
                      <a:off x="0" y="0"/>
                      <a:ext cx="5538410" cy="2583179"/>
                    </a:xfrm>
                    <a:prstGeom prst="rect">
                      <a:avLst/>
                    </a:prstGeom>
                  </pic:spPr>
                </pic:pic>
              </a:graphicData>
            </a:graphic>
          </wp:inline>
        </w:drawing>
      </w:r>
      <w:r>
        <w:rPr>
          <w:sz w:val="20"/>
        </w:rPr>
      </w:r>
    </w:p>
    <w:p>
      <w:pPr>
        <w:pStyle w:val="Heading1"/>
        <w:spacing w:before="41"/>
        <w:ind w:left="610"/>
      </w:pPr>
      <w:r>
        <w:rPr/>
        <w:t>Figure</w:t>
      </w:r>
      <w:r>
        <w:rPr>
          <w:spacing w:val="-3"/>
        </w:rPr>
        <w:t> </w:t>
      </w:r>
      <w:r>
        <w:rPr/>
        <w:t>4.6:</w:t>
      </w:r>
      <w:r>
        <w:rPr>
          <w:spacing w:val="-1"/>
        </w:rPr>
        <w:t> </w:t>
      </w:r>
      <w:r>
        <w:rPr/>
        <w:t>Frequency</w:t>
      </w:r>
      <w:r>
        <w:rPr>
          <w:spacing w:val="-1"/>
        </w:rPr>
        <w:t> </w:t>
      </w:r>
      <w:r>
        <w:rPr/>
        <w:t>and</w:t>
      </w:r>
      <w:r>
        <w:rPr>
          <w:spacing w:val="-2"/>
        </w:rPr>
        <w:t> </w:t>
      </w:r>
      <w:r>
        <w:rPr/>
        <w:t>Percentage</w:t>
      </w:r>
      <w:r>
        <w:rPr>
          <w:spacing w:val="-3"/>
        </w:rPr>
        <w:t> </w:t>
      </w:r>
      <w:r>
        <w:rPr/>
        <w:t>of</w:t>
      </w:r>
      <w:r>
        <w:rPr>
          <w:spacing w:val="-1"/>
        </w:rPr>
        <w:t> </w:t>
      </w:r>
      <w:r>
        <w:rPr/>
        <w:t>Respondents</w:t>
      </w:r>
      <w:r>
        <w:rPr>
          <w:spacing w:val="-2"/>
        </w:rPr>
        <w:t> </w:t>
      </w:r>
      <w:r>
        <w:rPr/>
        <w:t>Rating</w:t>
      </w:r>
      <w:r>
        <w:rPr>
          <w:spacing w:val="-1"/>
        </w:rPr>
        <w:t> </w:t>
      </w:r>
      <w:r>
        <w:rPr/>
        <w:t>on</w:t>
      </w:r>
      <w:r>
        <w:rPr>
          <w:spacing w:val="-2"/>
        </w:rPr>
        <w:t> </w:t>
      </w:r>
      <w:r>
        <w:rPr/>
        <w:t>Water</w:t>
      </w:r>
      <w:r>
        <w:rPr>
          <w:spacing w:val="-2"/>
        </w:rPr>
        <w:t> Quality</w:t>
      </w:r>
    </w:p>
    <w:p>
      <w:pPr>
        <w:pStyle w:val="BodyText"/>
        <w:spacing w:before="139"/>
        <w:rPr>
          <w:b/>
        </w:rPr>
      </w:pPr>
    </w:p>
    <w:p>
      <w:pPr>
        <w:spacing w:before="0"/>
        <w:ind w:left="267" w:right="0" w:firstLine="0"/>
        <w:jc w:val="both"/>
        <w:rPr>
          <w:b/>
          <w:sz w:val="24"/>
        </w:rPr>
      </w:pPr>
      <w:r>
        <w:rPr>
          <w:b/>
          <w:sz w:val="24"/>
        </w:rPr>
        <w:t>4.</w:t>
      </w:r>
      <w:r>
        <w:rPr>
          <w:b/>
          <w:spacing w:val="-2"/>
          <w:sz w:val="24"/>
        </w:rPr>
        <w:t> </w:t>
      </w:r>
      <w:r>
        <w:rPr>
          <w:b/>
          <w:sz w:val="24"/>
        </w:rPr>
        <w:t>3.1.8</w:t>
      </w:r>
      <w:r>
        <w:rPr>
          <w:b/>
          <w:spacing w:val="-1"/>
          <w:sz w:val="24"/>
        </w:rPr>
        <w:t> </w:t>
      </w:r>
      <w:r>
        <w:rPr>
          <w:b/>
          <w:sz w:val="24"/>
        </w:rPr>
        <w:t>Water</w:t>
      </w:r>
      <w:r>
        <w:rPr>
          <w:b/>
          <w:spacing w:val="-1"/>
          <w:sz w:val="24"/>
        </w:rPr>
        <w:t> </w:t>
      </w:r>
      <w:r>
        <w:rPr>
          <w:b/>
          <w:spacing w:val="-2"/>
          <w:sz w:val="24"/>
        </w:rPr>
        <w:t>treatment</w:t>
      </w:r>
    </w:p>
    <w:p>
      <w:pPr>
        <w:pStyle w:val="BodyText"/>
        <w:spacing w:line="480" w:lineRule="auto" w:before="132"/>
        <w:ind w:left="267" w:right="731"/>
        <w:jc w:val="both"/>
      </w:pPr>
      <w:r>
        <w:rPr/>
        <w:t>Table 4.12 shows the respondents responses on water treatment in the study area. It is important to state that in line with the observational evidence in Figure 4.6 which suggests better water quality in the study area, most of the respondents did not engage any water treatment</w:t>
      </w:r>
      <w:r>
        <w:rPr>
          <w:spacing w:val="-1"/>
        </w:rPr>
        <w:t> </w:t>
      </w:r>
      <w:r>
        <w:rPr/>
        <w:t>methods. As</w:t>
      </w:r>
      <w:r>
        <w:rPr>
          <w:spacing w:val="-2"/>
        </w:rPr>
        <w:t> </w:t>
      </w:r>
      <w:r>
        <w:rPr/>
        <w:t>seen</w:t>
      </w:r>
      <w:r>
        <w:rPr>
          <w:spacing w:val="-1"/>
        </w:rPr>
        <w:t> </w:t>
      </w:r>
      <w:r>
        <w:rPr/>
        <w:t>in</w:t>
      </w:r>
      <w:r>
        <w:rPr>
          <w:spacing w:val="-1"/>
        </w:rPr>
        <w:t> </w:t>
      </w:r>
      <w:r>
        <w:rPr/>
        <w:t>Table</w:t>
      </w:r>
      <w:r>
        <w:rPr>
          <w:spacing w:val="-2"/>
        </w:rPr>
        <w:t> </w:t>
      </w:r>
      <w:r>
        <w:rPr/>
        <w:t>4.12,</w:t>
      </w:r>
      <w:r>
        <w:rPr>
          <w:spacing w:val="-1"/>
        </w:rPr>
        <w:t> </w:t>
      </w:r>
      <w:r>
        <w:rPr/>
        <w:t>a</w:t>
      </w:r>
      <w:r>
        <w:rPr>
          <w:spacing w:val="-2"/>
        </w:rPr>
        <w:t> </w:t>
      </w:r>
      <w:r>
        <w:rPr/>
        <w:t>majority,</w:t>
      </w:r>
      <w:r>
        <w:rPr>
          <w:spacing w:val="-1"/>
        </w:rPr>
        <w:t> </w:t>
      </w:r>
      <w:r>
        <w:rPr/>
        <w:t>representing</w:t>
      </w:r>
      <w:r>
        <w:rPr>
          <w:spacing w:val="-3"/>
        </w:rPr>
        <w:t> </w:t>
      </w:r>
      <w:r>
        <w:rPr/>
        <w:t>309(86.10%)</w:t>
      </w:r>
      <w:r>
        <w:rPr>
          <w:spacing w:val="-2"/>
        </w:rPr>
        <w:t> </w:t>
      </w:r>
      <w:r>
        <w:rPr/>
        <w:t>of</w:t>
      </w:r>
      <w:r>
        <w:rPr>
          <w:spacing w:val="-2"/>
        </w:rPr>
        <w:t> </w:t>
      </w:r>
      <w:r>
        <w:rPr/>
        <w:t>the</w:t>
      </w:r>
      <w:r>
        <w:rPr>
          <w:spacing w:val="-2"/>
        </w:rPr>
        <w:t> </w:t>
      </w:r>
      <w:r>
        <w:rPr/>
        <w:t>total respondents did not employ any treatment of water in the study area.</w:t>
      </w:r>
    </w:p>
    <w:p>
      <w:pPr>
        <w:pStyle w:val="Heading1"/>
        <w:spacing w:before="6"/>
        <w:jc w:val="both"/>
      </w:pPr>
      <w:r>
        <w:rPr/>
        <w:t>Table</w:t>
      </w:r>
      <w:r>
        <w:rPr>
          <w:spacing w:val="-2"/>
        </w:rPr>
        <w:t> </w:t>
      </w:r>
      <w:r>
        <w:rPr/>
        <w:t>4.12</w:t>
      </w:r>
      <w:r>
        <w:rPr>
          <w:spacing w:val="-1"/>
        </w:rPr>
        <w:t> </w:t>
      </w:r>
      <w:r>
        <w:rPr/>
        <w:t>Responses</w:t>
      </w:r>
      <w:r>
        <w:rPr>
          <w:spacing w:val="-2"/>
        </w:rPr>
        <w:t> </w:t>
      </w:r>
      <w:r>
        <w:rPr/>
        <w:t>on</w:t>
      </w:r>
      <w:r>
        <w:rPr>
          <w:spacing w:val="-1"/>
        </w:rPr>
        <w:t> </w:t>
      </w:r>
      <w:r>
        <w:rPr/>
        <w:t>Water</w:t>
      </w:r>
      <w:r>
        <w:rPr>
          <w:spacing w:val="-3"/>
        </w:rPr>
        <w:t> </w:t>
      </w:r>
      <w:r>
        <w:rPr/>
        <w:t>Treatment</w:t>
      </w:r>
      <w:r>
        <w:rPr>
          <w:spacing w:val="-1"/>
        </w:rPr>
        <w:t> </w:t>
      </w:r>
      <w:r>
        <w:rPr/>
        <w:t>among</w:t>
      </w:r>
      <w:r>
        <w:rPr>
          <w:spacing w:val="-1"/>
        </w:rPr>
        <w:t> </w:t>
      </w:r>
      <w:r>
        <w:rPr>
          <w:spacing w:val="-2"/>
        </w:rPr>
        <w:t>Respondents</w:t>
      </w:r>
    </w:p>
    <w:p>
      <w:pPr>
        <w:spacing w:after="0"/>
        <w:jc w:val="both"/>
        <w:sectPr>
          <w:pgSz w:w="12240" w:h="15840"/>
          <w:pgMar w:header="0" w:footer="1068" w:top="1340" w:bottom="1260" w:left="1720" w:right="680"/>
        </w:sect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1"/>
        <w:gridCol w:w="3066"/>
        <w:gridCol w:w="2692"/>
      </w:tblGrid>
      <w:tr>
        <w:trPr>
          <w:trHeight w:val="551" w:hRule="atLeast"/>
        </w:trPr>
        <w:tc>
          <w:tcPr>
            <w:tcW w:w="3091" w:type="dxa"/>
            <w:tcBorders>
              <w:top w:val="single" w:sz="8" w:space="0" w:color="000000"/>
              <w:bottom w:val="single" w:sz="8" w:space="0" w:color="000000"/>
            </w:tcBorders>
          </w:tcPr>
          <w:p>
            <w:pPr>
              <w:pStyle w:val="TableParagraph"/>
              <w:spacing w:line="272" w:lineRule="exact"/>
              <w:ind w:left="115"/>
              <w:rPr>
                <w:b/>
                <w:sz w:val="24"/>
              </w:rPr>
            </w:pPr>
            <w:r>
              <w:rPr>
                <w:b/>
                <w:sz w:val="24"/>
              </w:rPr>
              <w:t>Water</w:t>
            </w:r>
            <w:r>
              <w:rPr>
                <w:b/>
                <w:spacing w:val="-3"/>
                <w:sz w:val="24"/>
              </w:rPr>
              <w:t> </w:t>
            </w:r>
            <w:r>
              <w:rPr>
                <w:b/>
                <w:spacing w:val="-2"/>
                <w:sz w:val="24"/>
              </w:rPr>
              <w:t>Treatment</w:t>
            </w:r>
          </w:p>
        </w:tc>
        <w:tc>
          <w:tcPr>
            <w:tcW w:w="3066" w:type="dxa"/>
            <w:tcBorders>
              <w:top w:val="single" w:sz="8" w:space="0" w:color="000000"/>
              <w:bottom w:val="single" w:sz="8" w:space="0" w:color="000000"/>
            </w:tcBorders>
          </w:tcPr>
          <w:p>
            <w:pPr>
              <w:pStyle w:val="TableParagraph"/>
              <w:spacing w:line="272" w:lineRule="exact"/>
              <w:ind w:left="631" w:right="3"/>
              <w:jc w:val="center"/>
              <w:rPr>
                <w:b/>
                <w:sz w:val="24"/>
              </w:rPr>
            </w:pPr>
            <w:r>
              <w:rPr>
                <w:b/>
                <w:sz w:val="24"/>
              </w:rPr>
              <w:t>Frequency</w:t>
            </w:r>
            <w:r>
              <w:rPr>
                <w:b/>
                <w:spacing w:val="-5"/>
                <w:sz w:val="24"/>
              </w:rPr>
              <w:t> of</w:t>
            </w:r>
          </w:p>
          <w:p>
            <w:pPr>
              <w:pStyle w:val="TableParagraph"/>
              <w:spacing w:line="259" w:lineRule="exact"/>
              <w:ind w:left="631"/>
              <w:jc w:val="center"/>
              <w:rPr>
                <w:b/>
                <w:sz w:val="24"/>
              </w:rPr>
            </w:pPr>
            <w:r>
              <w:rPr>
                <w:b/>
                <w:spacing w:val="-2"/>
                <w:sz w:val="24"/>
              </w:rPr>
              <w:t>response</w:t>
            </w:r>
          </w:p>
        </w:tc>
        <w:tc>
          <w:tcPr>
            <w:tcW w:w="2692" w:type="dxa"/>
            <w:tcBorders>
              <w:top w:val="single" w:sz="8" w:space="0" w:color="000000"/>
              <w:bottom w:val="single" w:sz="8" w:space="0" w:color="000000"/>
            </w:tcBorders>
          </w:tcPr>
          <w:p>
            <w:pPr>
              <w:pStyle w:val="TableParagraph"/>
              <w:spacing w:line="272" w:lineRule="exact"/>
              <w:ind w:left="650"/>
              <w:rPr>
                <w:b/>
                <w:sz w:val="24"/>
              </w:rPr>
            </w:pPr>
            <w:r>
              <w:rPr>
                <w:b/>
                <w:sz w:val="24"/>
              </w:rPr>
              <w:t>Percentage</w:t>
            </w:r>
            <w:r>
              <w:rPr>
                <w:b/>
                <w:spacing w:val="-5"/>
                <w:sz w:val="24"/>
              </w:rPr>
              <w:t> of</w:t>
            </w:r>
          </w:p>
          <w:p>
            <w:pPr>
              <w:pStyle w:val="TableParagraph"/>
              <w:spacing w:line="259" w:lineRule="exact"/>
              <w:ind w:left="544"/>
              <w:rPr>
                <w:b/>
                <w:sz w:val="24"/>
              </w:rPr>
            </w:pPr>
            <w:r>
              <w:rPr>
                <w:b/>
                <w:sz w:val="24"/>
              </w:rPr>
              <w:t>respondent</w:t>
            </w:r>
            <w:r>
              <w:rPr>
                <w:b/>
                <w:spacing w:val="-3"/>
                <w:sz w:val="24"/>
              </w:rPr>
              <w:t> </w:t>
            </w:r>
            <w:r>
              <w:rPr>
                <w:b/>
                <w:spacing w:val="-5"/>
                <w:sz w:val="24"/>
              </w:rPr>
              <w:t>(%)</w:t>
            </w:r>
          </w:p>
        </w:tc>
      </w:tr>
      <w:tr>
        <w:trPr>
          <w:trHeight w:val="311" w:hRule="atLeast"/>
        </w:trPr>
        <w:tc>
          <w:tcPr>
            <w:tcW w:w="3091" w:type="dxa"/>
            <w:tcBorders>
              <w:top w:val="single" w:sz="8" w:space="0" w:color="000000"/>
            </w:tcBorders>
          </w:tcPr>
          <w:p>
            <w:pPr>
              <w:pStyle w:val="TableParagraph"/>
              <w:spacing w:line="275" w:lineRule="exact"/>
              <w:ind w:left="115"/>
              <w:rPr>
                <w:b/>
                <w:sz w:val="24"/>
              </w:rPr>
            </w:pPr>
            <w:r>
              <w:rPr>
                <w:b/>
                <w:spacing w:val="-5"/>
                <w:sz w:val="24"/>
              </w:rPr>
              <w:t>Yes</w:t>
            </w:r>
          </w:p>
        </w:tc>
        <w:tc>
          <w:tcPr>
            <w:tcW w:w="3066" w:type="dxa"/>
            <w:tcBorders>
              <w:top w:val="single" w:sz="8" w:space="0" w:color="000000"/>
            </w:tcBorders>
          </w:tcPr>
          <w:p>
            <w:pPr>
              <w:pStyle w:val="TableParagraph"/>
              <w:spacing w:line="270" w:lineRule="exact"/>
              <w:ind w:right="1094"/>
              <w:jc w:val="right"/>
              <w:rPr>
                <w:sz w:val="24"/>
              </w:rPr>
            </w:pPr>
            <w:r>
              <w:rPr>
                <w:spacing w:val="-5"/>
                <w:sz w:val="24"/>
              </w:rPr>
              <w:t>50</w:t>
            </w:r>
          </w:p>
        </w:tc>
        <w:tc>
          <w:tcPr>
            <w:tcW w:w="2692" w:type="dxa"/>
            <w:tcBorders>
              <w:top w:val="single" w:sz="8" w:space="0" w:color="000000"/>
            </w:tcBorders>
          </w:tcPr>
          <w:p>
            <w:pPr>
              <w:pStyle w:val="TableParagraph"/>
              <w:spacing w:line="270" w:lineRule="exact"/>
              <w:ind w:left="4"/>
              <w:jc w:val="center"/>
              <w:rPr>
                <w:sz w:val="24"/>
              </w:rPr>
            </w:pPr>
            <w:r>
              <w:rPr>
                <w:spacing w:val="-2"/>
                <w:sz w:val="24"/>
              </w:rPr>
              <w:t>13.90</w:t>
            </w:r>
          </w:p>
        </w:tc>
      </w:tr>
      <w:tr>
        <w:trPr>
          <w:trHeight w:val="383" w:hRule="atLeast"/>
        </w:trPr>
        <w:tc>
          <w:tcPr>
            <w:tcW w:w="3091" w:type="dxa"/>
          </w:tcPr>
          <w:p>
            <w:pPr>
              <w:pStyle w:val="TableParagraph"/>
              <w:spacing w:before="31"/>
              <w:ind w:left="115"/>
              <w:rPr>
                <w:b/>
                <w:sz w:val="24"/>
              </w:rPr>
            </w:pPr>
            <w:r>
              <w:rPr>
                <w:b/>
                <w:spacing w:val="-5"/>
                <w:sz w:val="24"/>
              </w:rPr>
              <w:t>No</w:t>
            </w:r>
          </w:p>
        </w:tc>
        <w:tc>
          <w:tcPr>
            <w:tcW w:w="3066" w:type="dxa"/>
          </w:tcPr>
          <w:p>
            <w:pPr>
              <w:pStyle w:val="TableParagraph"/>
              <w:spacing w:before="26"/>
              <w:ind w:right="1034"/>
              <w:jc w:val="right"/>
              <w:rPr>
                <w:sz w:val="24"/>
              </w:rPr>
            </w:pPr>
            <w:r>
              <w:rPr>
                <w:spacing w:val="-5"/>
                <w:sz w:val="24"/>
              </w:rPr>
              <w:t>309</w:t>
            </w:r>
          </w:p>
        </w:tc>
        <w:tc>
          <w:tcPr>
            <w:tcW w:w="2692" w:type="dxa"/>
          </w:tcPr>
          <w:p>
            <w:pPr>
              <w:pStyle w:val="TableParagraph"/>
              <w:spacing w:before="26"/>
              <w:ind w:left="4"/>
              <w:jc w:val="center"/>
              <w:rPr>
                <w:sz w:val="24"/>
              </w:rPr>
            </w:pPr>
            <w:r>
              <w:rPr>
                <w:spacing w:val="-2"/>
                <w:sz w:val="24"/>
              </w:rPr>
              <w:t>86.10</w:t>
            </w:r>
          </w:p>
        </w:tc>
      </w:tr>
      <w:tr>
        <w:trPr>
          <w:trHeight w:val="494" w:hRule="atLeast"/>
        </w:trPr>
        <w:tc>
          <w:tcPr>
            <w:tcW w:w="3091" w:type="dxa"/>
            <w:tcBorders>
              <w:bottom w:val="single" w:sz="8" w:space="0" w:color="000000"/>
            </w:tcBorders>
          </w:tcPr>
          <w:p>
            <w:pPr>
              <w:pStyle w:val="TableParagraph"/>
              <w:spacing w:before="71"/>
              <w:ind w:left="115"/>
              <w:rPr>
                <w:b/>
                <w:sz w:val="24"/>
              </w:rPr>
            </w:pPr>
            <w:r>
              <w:rPr>
                <w:b/>
                <w:spacing w:val="-2"/>
                <w:sz w:val="24"/>
              </w:rPr>
              <w:t>Total</w:t>
            </w:r>
          </w:p>
        </w:tc>
        <w:tc>
          <w:tcPr>
            <w:tcW w:w="3066" w:type="dxa"/>
            <w:tcBorders>
              <w:bottom w:val="single" w:sz="8" w:space="0" w:color="000000"/>
            </w:tcBorders>
          </w:tcPr>
          <w:p>
            <w:pPr>
              <w:pStyle w:val="TableParagraph"/>
              <w:spacing w:before="67"/>
              <w:ind w:right="1034"/>
              <w:jc w:val="right"/>
              <w:rPr>
                <w:sz w:val="24"/>
              </w:rPr>
            </w:pPr>
            <w:r>
              <w:rPr>
                <w:spacing w:val="-5"/>
                <w:sz w:val="24"/>
              </w:rPr>
              <w:t>359</w:t>
            </w:r>
          </w:p>
        </w:tc>
        <w:tc>
          <w:tcPr>
            <w:tcW w:w="2692" w:type="dxa"/>
            <w:tcBorders>
              <w:bottom w:val="single" w:sz="8" w:space="0" w:color="000000"/>
            </w:tcBorders>
          </w:tcPr>
          <w:p>
            <w:pPr>
              <w:pStyle w:val="TableParagraph"/>
              <w:spacing w:before="67"/>
              <w:ind w:left="4" w:right="3"/>
              <w:jc w:val="center"/>
              <w:rPr>
                <w:sz w:val="24"/>
              </w:rPr>
            </w:pPr>
            <w:r>
              <w:rPr>
                <w:spacing w:val="-5"/>
                <w:sz w:val="24"/>
              </w:rPr>
              <w:t>100</w:t>
            </w:r>
          </w:p>
        </w:tc>
      </w:tr>
    </w:tbl>
    <w:p>
      <w:pPr>
        <w:pStyle w:val="BodyText"/>
        <w:spacing w:before="244"/>
        <w:rPr>
          <w:b/>
        </w:rPr>
      </w:pPr>
    </w:p>
    <w:p>
      <w:pPr>
        <w:pStyle w:val="BodyText"/>
        <w:spacing w:line="480" w:lineRule="auto"/>
        <w:ind w:left="267" w:right="727"/>
        <w:jc w:val="both"/>
      </w:pPr>
      <w:r>
        <w:rPr/>
        <w:t>However,</w:t>
      </w:r>
      <w:r>
        <w:rPr>
          <w:spacing w:val="-6"/>
        </w:rPr>
        <w:t> </w:t>
      </w:r>
      <w:r>
        <w:rPr/>
        <w:t>only</w:t>
      </w:r>
      <w:r>
        <w:rPr>
          <w:spacing w:val="-10"/>
        </w:rPr>
        <w:t> </w:t>
      </w:r>
      <w:r>
        <w:rPr/>
        <w:t>50(13.90%)</w:t>
      </w:r>
      <w:r>
        <w:rPr>
          <w:spacing w:val="-6"/>
        </w:rPr>
        <w:t> </w:t>
      </w:r>
      <w:r>
        <w:rPr/>
        <w:t>respondents</w:t>
      </w:r>
      <w:r>
        <w:rPr>
          <w:spacing w:val="-4"/>
        </w:rPr>
        <w:t> </w:t>
      </w:r>
      <w:r>
        <w:rPr/>
        <w:t>affirmed</w:t>
      </w:r>
      <w:r>
        <w:rPr>
          <w:spacing w:val="-2"/>
        </w:rPr>
        <w:t> </w:t>
      </w:r>
      <w:r>
        <w:rPr/>
        <w:t>that</w:t>
      </w:r>
      <w:r>
        <w:rPr>
          <w:spacing w:val="-5"/>
        </w:rPr>
        <w:t> </w:t>
      </w:r>
      <w:r>
        <w:rPr/>
        <w:t>they</w:t>
      </w:r>
      <w:r>
        <w:rPr>
          <w:spacing w:val="-7"/>
        </w:rPr>
        <w:t> </w:t>
      </w:r>
      <w:r>
        <w:rPr/>
        <w:t>engaged</w:t>
      </w:r>
      <w:r>
        <w:rPr>
          <w:spacing w:val="-3"/>
        </w:rPr>
        <w:t> </w:t>
      </w:r>
      <w:r>
        <w:rPr/>
        <w:t>in</w:t>
      </w:r>
      <w:r>
        <w:rPr>
          <w:spacing w:val="-4"/>
        </w:rPr>
        <w:t> </w:t>
      </w:r>
      <w:r>
        <w:rPr/>
        <w:t>water</w:t>
      </w:r>
      <w:r>
        <w:rPr>
          <w:spacing w:val="-6"/>
        </w:rPr>
        <w:t> </w:t>
      </w:r>
      <w:r>
        <w:rPr/>
        <w:t>treatment</w:t>
      </w:r>
      <w:r>
        <w:rPr>
          <w:spacing w:val="-2"/>
        </w:rPr>
        <w:t> </w:t>
      </w:r>
      <w:r>
        <w:rPr/>
        <w:t>at</w:t>
      </w:r>
      <w:r>
        <w:rPr>
          <w:spacing w:val="-5"/>
        </w:rPr>
        <w:t> </w:t>
      </w:r>
      <w:r>
        <w:rPr/>
        <w:t>the household level. To a somewhat extent, this result implied some self-recognition of unsatisfactory condition of the quality of water for drinking and domestic uses among the households in the study</w:t>
      </w:r>
      <w:r>
        <w:rPr>
          <w:spacing w:val="-2"/>
        </w:rPr>
        <w:t> </w:t>
      </w:r>
      <w:r>
        <w:rPr/>
        <w:t>area.</w:t>
      </w:r>
      <w:r>
        <w:rPr>
          <w:spacing w:val="40"/>
        </w:rPr>
        <w:t> </w:t>
      </w:r>
      <w:r>
        <w:rPr/>
        <w:t>The water treatment methods by</w:t>
      </w:r>
      <w:r>
        <w:rPr>
          <w:spacing w:val="-2"/>
        </w:rPr>
        <w:t> </w:t>
      </w:r>
      <w:r>
        <w:rPr/>
        <w:t>this category of respondents who engaged in water treatment is presented in Figure 4.7.</w:t>
      </w:r>
    </w:p>
    <w:p>
      <w:pPr>
        <w:pStyle w:val="BodyText"/>
        <w:spacing w:before="8"/>
      </w:pPr>
    </w:p>
    <w:p>
      <w:pPr>
        <w:pStyle w:val="Heading1"/>
      </w:pPr>
      <w:r>
        <w:rPr/>
        <w:t>4.</w:t>
      </w:r>
      <w:r>
        <w:rPr>
          <w:spacing w:val="-2"/>
        </w:rPr>
        <w:t> </w:t>
      </w:r>
      <w:r>
        <w:rPr/>
        <w:t>3.1.8.1Water</w:t>
      </w:r>
      <w:r>
        <w:rPr>
          <w:spacing w:val="-2"/>
        </w:rPr>
        <w:t> </w:t>
      </w:r>
      <w:r>
        <w:rPr/>
        <w:t>treatment</w:t>
      </w:r>
      <w:r>
        <w:rPr>
          <w:spacing w:val="-1"/>
        </w:rPr>
        <w:t> </w:t>
      </w:r>
      <w:r>
        <w:rPr>
          <w:spacing w:val="-2"/>
        </w:rPr>
        <w:t>method</w:t>
      </w:r>
    </w:p>
    <w:p>
      <w:pPr>
        <w:pStyle w:val="BodyText"/>
        <w:spacing w:before="96"/>
        <w:rPr>
          <w:b/>
        </w:rPr>
      </w:pPr>
    </w:p>
    <w:p>
      <w:pPr>
        <w:pStyle w:val="BodyText"/>
        <w:spacing w:line="480" w:lineRule="auto"/>
        <w:ind w:left="267" w:right="727"/>
        <w:jc w:val="both"/>
      </w:pPr>
      <w:r>
        <w:rPr/>
        <w:t>As</w:t>
      </w:r>
      <w:r>
        <w:rPr>
          <w:spacing w:val="-1"/>
        </w:rPr>
        <w:t> </w:t>
      </w:r>
      <w:r>
        <w:rPr/>
        <w:t>shown</w:t>
      </w:r>
      <w:r>
        <w:rPr>
          <w:spacing w:val="-1"/>
        </w:rPr>
        <w:t> </w:t>
      </w:r>
      <w:r>
        <w:rPr/>
        <w:t>in figure</w:t>
      </w:r>
      <w:r>
        <w:rPr>
          <w:spacing w:val="-2"/>
        </w:rPr>
        <w:t> </w:t>
      </w:r>
      <w:r>
        <w:rPr/>
        <w:t>4.7, water</w:t>
      </w:r>
      <w:r>
        <w:rPr>
          <w:spacing w:val="-2"/>
        </w:rPr>
        <w:t> </w:t>
      </w:r>
      <w:r>
        <w:rPr/>
        <w:t>chlorination is the</w:t>
      </w:r>
      <w:r>
        <w:rPr>
          <w:spacing w:val="-2"/>
        </w:rPr>
        <w:t> </w:t>
      </w:r>
      <w:r>
        <w:rPr/>
        <w:t>most commonly</w:t>
      </w:r>
      <w:r>
        <w:rPr>
          <w:spacing w:val="-8"/>
        </w:rPr>
        <w:t> </w:t>
      </w:r>
      <w:r>
        <w:rPr/>
        <w:t>employed water</w:t>
      </w:r>
      <w:r>
        <w:rPr>
          <w:spacing w:val="-2"/>
        </w:rPr>
        <w:t> </w:t>
      </w:r>
      <w:r>
        <w:rPr/>
        <w:t>treatment method in the study area as reported by 19(38.00%) of the respondents. Furthermore, 17(34.00%) of the respondents used water boiling to remove fecal/bacterial contamination, while, 13(26.00%) of the respondents used filtration when the water is muddy by sieving using</w:t>
      </w:r>
      <w:r>
        <w:rPr>
          <w:spacing w:val="-1"/>
        </w:rPr>
        <w:t> </w:t>
      </w:r>
      <w:r>
        <w:rPr/>
        <w:t>muslin cloth. Only</w:t>
      </w:r>
      <w:r>
        <w:rPr>
          <w:spacing w:val="-1"/>
        </w:rPr>
        <w:t> </w:t>
      </w:r>
      <w:r>
        <w:rPr/>
        <w:t>1(2.00%) of the respondents employed other conventional method of water treatment such as let it settle down.</w:t>
      </w:r>
    </w:p>
    <w:p>
      <w:pPr>
        <w:spacing w:after="0" w:line="480" w:lineRule="auto"/>
        <w:jc w:val="both"/>
        <w:sectPr>
          <w:pgSz w:w="12240" w:h="15840"/>
          <w:pgMar w:header="0" w:footer="1068" w:top="1400" w:bottom="1260" w:left="1720" w:right="680"/>
        </w:sectPr>
      </w:pPr>
    </w:p>
    <w:p>
      <w:pPr>
        <w:pStyle w:val="BodyText"/>
        <w:ind w:left="339"/>
        <w:rPr>
          <w:sz w:val="20"/>
        </w:rPr>
      </w:pPr>
      <w:r>
        <w:rPr>
          <w:sz w:val="20"/>
        </w:rPr>
        <w:drawing>
          <wp:inline distT="0" distB="0" distL="0" distR="0">
            <wp:extent cx="5535887" cy="2626232"/>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3" cstate="print"/>
                    <a:stretch>
                      <a:fillRect/>
                    </a:stretch>
                  </pic:blipFill>
                  <pic:spPr>
                    <a:xfrm>
                      <a:off x="0" y="0"/>
                      <a:ext cx="5535887" cy="2626232"/>
                    </a:xfrm>
                    <a:prstGeom prst="rect">
                      <a:avLst/>
                    </a:prstGeom>
                  </pic:spPr>
                </pic:pic>
              </a:graphicData>
            </a:graphic>
          </wp:inline>
        </w:drawing>
      </w:r>
      <w:r>
        <w:rPr>
          <w:sz w:val="20"/>
        </w:rPr>
      </w:r>
    </w:p>
    <w:p>
      <w:pPr>
        <w:pStyle w:val="Heading1"/>
        <w:ind w:left="9" w:right="472"/>
        <w:jc w:val="center"/>
      </w:pPr>
      <w:r>
        <w:rPr/>
        <w:t>Figure</w:t>
      </w:r>
      <w:r>
        <w:rPr>
          <w:spacing w:val="-5"/>
        </w:rPr>
        <w:t> </w:t>
      </w:r>
      <w:r>
        <w:rPr/>
        <w:t>4.7:</w:t>
      </w:r>
      <w:r>
        <w:rPr>
          <w:spacing w:val="-1"/>
        </w:rPr>
        <w:t> </w:t>
      </w:r>
      <w:r>
        <w:rPr/>
        <w:t>Water</w:t>
      </w:r>
      <w:r>
        <w:rPr>
          <w:spacing w:val="-2"/>
        </w:rPr>
        <w:t> </w:t>
      </w:r>
      <w:r>
        <w:rPr/>
        <w:t>Treatment</w:t>
      </w:r>
      <w:r>
        <w:rPr>
          <w:spacing w:val="-1"/>
        </w:rPr>
        <w:t> </w:t>
      </w:r>
      <w:r>
        <w:rPr/>
        <w:t>Methods</w:t>
      </w:r>
      <w:r>
        <w:rPr>
          <w:spacing w:val="-1"/>
        </w:rPr>
        <w:t> </w:t>
      </w:r>
      <w:r>
        <w:rPr/>
        <w:t>by</w:t>
      </w:r>
      <w:r>
        <w:rPr>
          <w:spacing w:val="-1"/>
        </w:rPr>
        <w:t> </w:t>
      </w:r>
      <w:r>
        <w:rPr>
          <w:spacing w:val="-2"/>
        </w:rPr>
        <w:t>Respondents</w:t>
      </w:r>
    </w:p>
    <w:p>
      <w:pPr>
        <w:pStyle w:val="BodyText"/>
        <w:spacing w:before="268"/>
        <w:rPr>
          <w:b/>
        </w:rPr>
      </w:pPr>
    </w:p>
    <w:p>
      <w:pPr>
        <w:pStyle w:val="ListParagraph"/>
        <w:numPr>
          <w:ilvl w:val="3"/>
          <w:numId w:val="11"/>
        </w:numPr>
        <w:tabs>
          <w:tab w:pos="1046" w:val="left" w:leader="none"/>
        </w:tabs>
        <w:spacing w:line="240" w:lineRule="auto" w:before="1" w:after="0"/>
        <w:ind w:left="1046" w:right="0" w:hanging="779"/>
        <w:jc w:val="left"/>
        <w:rPr>
          <w:b/>
          <w:sz w:val="24"/>
        </w:rPr>
      </w:pPr>
      <w:r>
        <w:rPr>
          <w:b/>
          <w:sz w:val="24"/>
        </w:rPr>
        <w:t>Conflicts</w:t>
      </w:r>
      <w:r>
        <w:rPr>
          <w:b/>
          <w:spacing w:val="-3"/>
          <w:sz w:val="24"/>
        </w:rPr>
        <w:t> </w:t>
      </w:r>
      <w:r>
        <w:rPr>
          <w:b/>
          <w:sz w:val="24"/>
        </w:rPr>
        <w:t>over</w:t>
      </w:r>
      <w:r>
        <w:rPr>
          <w:b/>
          <w:spacing w:val="-1"/>
          <w:sz w:val="24"/>
        </w:rPr>
        <w:t> </w:t>
      </w:r>
      <w:r>
        <w:rPr>
          <w:b/>
          <w:spacing w:val="-4"/>
          <w:sz w:val="24"/>
        </w:rPr>
        <w:t>water</w:t>
      </w:r>
    </w:p>
    <w:p>
      <w:pPr>
        <w:pStyle w:val="BodyText"/>
        <w:spacing w:line="480" w:lineRule="auto" w:before="271"/>
        <w:ind w:left="267"/>
      </w:pPr>
      <w:r>
        <w:rPr/>
        <w:t>Table</w:t>
      </w:r>
      <w:r>
        <w:rPr>
          <w:spacing w:val="40"/>
        </w:rPr>
        <w:t> </w:t>
      </w:r>
      <w:r>
        <w:rPr/>
        <w:t>4.13</w:t>
      </w:r>
      <w:r>
        <w:rPr>
          <w:spacing w:val="40"/>
        </w:rPr>
        <w:t> </w:t>
      </w:r>
      <w:r>
        <w:rPr/>
        <w:t>provides</w:t>
      </w:r>
      <w:r>
        <w:rPr>
          <w:spacing w:val="40"/>
        </w:rPr>
        <w:t> </w:t>
      </w:r>
      <w:r>
        <w:rPr/>
        <w:t>the</w:t>
      </w:r>
      <w:r>
        <w:rPr>
          <w:spacing w:val="40"/>
        </w:rPr>
        <w:t> </w:t>
      </w:r>
      <w:r>
        <w:rPr/>
        <w:t>responses</w:t>
      </w:r>
      <w:r>
        <w:rPr>
          <w:spacing w:val="40"/>
        </w:rPr>
        <w:t> </w:t>
      </w:r>
      <w:r>
        <w:rPr/>
        <w:t>of</w:t>
      </w:r>
      <w:r>
        <w:rPr>
          <w:spacing w:val="40"/>
        </w:rPr>
        <w:t> </w:t>
      </w:r>
      <w:r>
        <w:rPr/>
        <w:t>the</w:t>
      </w:r>
      <w:r>
        <w:rPr>
          <w:spacing w:val="40"/>
        </w:rPr>
        <w:t> </w:t>
      </w:r>
      <w:r>
        <w:rPr/>
        <w:t>respondents</w:t>
      </w:r>
      <w:r>
        <w:rPr>
          <w:spacing w:val="40"/>
        </w:rPr>
        <w:t> </w:t>
      </w:r>
      <w:r>
        <w:rPr/>
        <w:t>on</w:t>
      </w:r>
      <w:r>
        <w:rPr>
          <w:spacing w:val="40"/>
        </w:rPr>
        <w:t> </w:t>
      </w:r>
      <w:r>
        <w:rPr/>
        <w:t>water</w:t>
      </w:r>
      <w:r>
        <w:rPr>
          <w:spacing w:val="40"/>
        </w:rPr>
        <w:t> </w:t>
      </w:r>
      <w:r>
        <w:rPr/>
        <w:t>conflict</w:t>
      </w:r>
      <w:r>
        <w:rPr>
          <w:spacing w:val="40"/>
        </w:rPr>
        <w:t> </w:t>
      </w:r>
      <w:r>
        <w:rPr/>
        <w:t>experienced</w:t>
      </w:r>
      <w:r>
        <w:rPr>
          <w:spacing w:val="40"/>
        </w:rPr>
        <w:t> </w:t>
      </w:r>
      <w:r>
        <w:rPr/>
        <w:t>in household premises (inside homes) and water point (outside homes).</w:t>
      </w:r>
    </w:p>
    <w:p>
      <w:pPr>
        <w:pStyle w:val="Heading1"/>
        <w:spacing w:before="5"/>
      </w:pPr>
      <w:r>
        <w:rPr/>
        <w:t>Table</w:t>
      </w:r>
      <w:r>
        <w:rPr>
          <w:spacing w:val="-2"/>
        </w:rPr>
        <w:t> </w:t>
      </w:r>
      <w:r>
        <w:rPr/>
        <w:t>4.13:</w:t>
      </w:r>
      <w:r>
        <w:rPr>
          <w:spacing w:val="-1"/>
        </w:rPr>
        <w:t> </w:t>
      </w:r>
      <w:r>
        <w:rPr/>
        <w:t>Responses</w:t>
      </w:r>
      <w:r>
        <w:rPr>
          <w:spacing w:val="-2"/>
        </w:rPr>
        <w:t> </w:t>
      </w:r>
      <w:r>
        <w:rPr/>
        <w:t>on</w:t>
      </w:r>
      <w:r>
        <w:rPr>
          <w:spacing w:val="-1"/>
        </w:rPr>
        <w:t> </w:t>
      </w:r>
      <w:r>
        <w:rPr/>
        <w:t>Water</w:t>
      </w:r>
      <w:r>
        <w:rPr>
          <w:spacing w:val="-3"/>
        </w:rPr>
        <w:t> </w:t>
      </w:r>
      <w:r>
        <w:rPr/>
        <w:t>Conflict</w:t>
      </w:r>
      <w:r>
        <w:rPr>
          <w:spacing w:val="-1"/>
        </w:rPr>
        <w:t> </w:t>
      </w:r>
      <w:r>
        <w:rPr/>
        <w:t>in</w:t>
      </w:r>
      <w:r>
        <w:rPr>
          <w:spacing w:val="-2"/>
        </w:rPr>
        <w:t> </w:t>
      </w:r>
      <w:r>
        <w:rPr/>
        <w:t>Premises</w:t>
      </w:r>
      <w:r>
        <w:rPr>
          <w:spacing w:val="-1"/>
        </w:rPr>
        <w:t> </w:t>
      </w:r>
      <w:r>
        <w:rPr/>
        <w:t>and</w:t>
      </w:r>
      <w:r>
        <w:rPr>
          <w:spacing w:val="-2"/>
        </w:rPr>
        <w:t> </w:t>
      </w:r>
      <w:r>
        <w:rPr/>
        <w:t>Water Point</w:t>
      </w:r>
      <w:r>
        <w:rPr>
          <w:spacing w:val="-1"/>
        </w:rPr>
        <w:t> </w:t>
      </w:r>
      <w:r>
        <w:rPr>
          <w:spacing w:val="-2"/>
        </w:rPr>
        <w:t>(Outside)</w:t>
      </w:r>
    </w:p>
    <w:p>
      <w:pPr>
        <w:pStyle w:val="BodyText"/>
        <w:spacing w:before="49" w:after="1"/>
        <w:rPr>
          <w:b/>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4"/>
        <w:gridCol w:w="3927"/>
        <w:gridCol w:w="3235"/>
      </w:tblGrid>
      <w:tr>
        <w:trPr>
          <w:trHeight w:val="551" w:hRule="atLeast"/>
        </w:trPr>
        <w:tc>
          <w:tcPr>
            <w:tcW w:w="1594"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Response</w:t>
            </w:r>
          </w:p>
        </w:tc>
        <w:tc>
          <w:tcPr>
            <w:tcW w:w="3927" w:type="dxa"/>
            <w:tcBorders>
              <w:top w:val="single" w:sz="8" w:space="0" w:color="000000"/>
              <w:bottom w:val="single" w:sz="8" w:space="0" w:color="000000"/>
            </w:tcBorders>
          </w:tcPr>
          <w:p>
            <w:pPr>
              <w:pStyle w:val="TableParagraph"/>
              <w:spacing w:line="272" w:lineRule="exact"/>
              <w:ind w:left="518"/>
              <w:rPr>
                <w:b/>
                <w:sz w:val="24"/>
              </w:rPr>
            </w:pPr>
            <w:r>
              <w:rPr>
                <w:b/>
                <w:sz w:val="24"/>
              </w:rPr>
              <w:t>Conflict</w:t>
            </w:r>
            <w:r>
              <w:rPr>
                <w:b/>
                <w:spacing w:val="-1"/>
                <w:sz w:val="24"/>
              </w:rPr>
              <w:t> </w:t>
            </w:r>
            <w:r>
              <w:rPr>
                <w:b/>
                <w:sz w:val="24"/>
              </w:rPr>
              <w:t>at</w:t>
            </w:r>
            <w:r>
              <w:rPr>
                <w:b/>
                <w:spacing w:val="-3"/>
                <w:sz w:val="24"/>
              </w:rPr>
              <w:t> </w:t>
            </w:r>
            <w:r>
              <w:rPr>
                <w:b/>
                <w:sz w:val="24"/>
              </w:rPr>
              <w:t>Household </w:t>
            </w:r>
            <w:r>
              <w:rPr>
                <w:b/>
                <w:spacing w:val="-2"/>
                <w:sz w:val="24"/>
              </w:rPr>
              <w:t>Premises</w:t>
            </w:r>
          </w:p>
        </w:tc>
        <w:tc>
          <w:tcPr>
            <w:tcW w:w="3235" w:type="dxa"/>
            <w:tcBorders>
              <w:top w:val="single" w:sz="8" w:space="0" w:color="000000"/>
              <w:bottom w:val="single" w:sz="8" w:space="0" w:color="000000"/>
            </w:tcBorders>
          </w:tcPr>
          <w:p>
            <w:pPr>
              <w:pStyle w:val="TableParagraph"/>
              <w:spacing w:line="272" w:lineRule="exact"/>
              <w:ind w:left="191"/>
              <w:rPr>
                <w:b/>
                <w:sz w:val="24"/>
              </w:rPr>
            </w:pPr>
            <w:r>
              <w:rPr>
                <w:b/>
                <w:sz w:val="24"/>
              </w:rPr>
              <w:t>Conflict</w:t>
            </w:r>
            <w:r>
              <w:rPr>
                <w:b/>
                <w:spacing w:val="-3"/>
                <w:sz w:val="24"/>
              </w:rPr>
              <w:t> </w:t>
            </w:r>
            <w:r>
              <w:rPr>
                <w:b/>
                <w:sz w:val="24"/>
              </w:rPr>
              <w:t>at</w:t>
            </w:r>
            <w:r>
              <w:rPr>
                <w:b/>
                <w:spacing w:val="-3"/>
                <w:sz w:val="24"/>
              </w:rPr>
              <w:t> </w:t>
            </w:r>
            <w:r>
              <w:rPr>
                <w:b/>
                <w:sz w:val="24"/>
              </w:rPr>
              <w:t>Water</w:t>
            </w:r>
            <w:r>
              <w:rPr>
                <w:b/>
                <w:spacing w:val="1"/>
                <w:sz w:val="24"/>
              </w:rPr>
              <w:t> </w:t>
            </w:r>
            <w:r>
              <w:rPr>
                <w:b/>
                <w:spacing w:val="-4"/>
                <w:sz w:val="24"/>
              </w:rPr>
              <w:t>Point</w:t>
            </w:r>
          </w:p>
        </w:tc>
      </w:tr>
      <w:tr>
        <w:trPr>
          <w:trHeight w:val="413" w:hRule="atLeast"/>
        </w:trPr>
        <w:tc>
          <w:tcPr>
            <w:tcW w:w="1594" w:type="dxa"/>
            <w:tcBorders>
              <w:top w:val="single" w:sz="8" w:space="0" w:color="000000"/>
            </w:tcBorders>
          </w:tcPr>
          <w:p>
            <w:pPr>
              <w:pStyle w:val="TableParagraph"/>
              <w:rPr>
                <w:sz w:val="24"/>
              </w:rPr>
            </w:pPr>
          </w:p>
        </w:tc>
        <w:tc>
          <w:tcPr>
            <w:tcW w:w="3927" w:type="dxa"/>
            <w:tcBorders>
              <w:top w:val="single" w:sz="8" w:space="0" w:color="000000"/>
            </w:tcBorders>
          </w:tcPr>
          <w:p>
            <w:pPr>
              <w:pStyle w:val="TableParagraph"/>
              <w:spacing w:line="272" w:lineRule="exact"/>
              <w:ind w:left="518"/>
              <w:rPr>
                <w:b/>
                <w:sz w:val="24"/>
              </w:rPr>
            </w:pPr>
            <w:r>
              <w:rPr>
                <w:b/>
                <w:sz w:val="24"/>
              </w:rPr>
              <w:t>Frequency</w:t>
            </w:r>
            <w:r>
              <w:rPr>
                <w:b/>
                <w:spacing w:val="-5"/>
                <w:sz w:val="24"/>
              </w:rPr>
              <w:t> </w:t>
            </w:r>
            <w:r>
              <w:rPr>
                <w:b/>
                <w:sz w:val="24"/>
              </w:rPr>
              <w:t>of</w:t>
            </w:r>
            <w:r>
              <w:rPr>
                <w:b/>
                <w:spacing w:val="-1"/>
                <w:sz w:val="24"/>
              </w:rPr>
              <w:t> </w:t>
            </w:r>
            <w:r>
              <w:rPr>
                <w:b/>
                <w:spacing w:val="-2"/>
                <w:sz w:val="24"/>
              </w:rPr>
              <w:t>response</w:t>
            </w:r>
          </w:p>
        </w:tc>
        <w:tc>
          <w:tcPr>
            <w:tcW w:w="3235" w:type="dxa"/>
            <w:tcBorders>
              <w:top w:val="single" w:sz="8" w:space="0" w:color="000000"/>
            </w:tcBorders>
          </w:tcPr>
          <w:p>
            <w:pPr>
              <w:pStyle w:val="TableParagraph"/>
              <w:spacing w:line="272" w:lineRule="exact"/>
              <w:ind w:left="191"/>
              <w:rPr>
                <w:b/>
                <w:sz w:val="24"/>
              </w:rPr>
            </w:pPr>
            <w:r>
              <w:rPr>
                <w:b/>
                <w:sz w:val="24"/>
              </w:rPr>
              <w:t>Frequency</w:t>
            </w:r>
            <w:r>
              <w:rPr>
                <w:b/>
                <w:spacing w:val="-5"/>
                <w:sz w:val="24"/>
              </w:rPr>
              <w:t> </w:t>
            </w:r>
            <w:r>
              <w:rPr>
                <w:b/>
                <w:sz w:val="24"/>
              </w:rPr>
              <w:t>of</w:t>
            </w:r>
            <w:r>
              <w:rPr>
                <w:b/>
                <w:spacing w:val="-1"/>
                <w:sz w:val="24"/>
              </w:rPr>
              <w:t> </w:t>
            </w:r>
            <w:r>
              <w:rPr>
                <w:b/>
                <w:spacing w:val="-2"/>
                <w:sz w:val="24"/>
              </w:rPr>
              <w:t>response</w:t>
            </w:r>
          </w:p>
        </w:tc>
      </w:tr>
      <w:tr>
        <w:trPr>
          <w:trHeight w:val="551" w:hRule="atLeast"/>
        </w:trPr>
        <w:tc>
          <w:tcPr>
            <w:tcW w:w="1594" w:type="dxa"/>
          </w:tcPr>
          <w:p>
            <w:pPr>
              <w:pStyle w:val="TableParagraph"/>
              <w:spacing w:before="135"/>
              <w:ind w:left="115"/>
              <w:rPr>
                <w:b/>
                <w:sz w:val="24"/>
              </w:rPr>
            </w:pPr>
            <w:r>
              <w:rPr>
                <w:b/>
                <w:spacing w:val="-5"/>
                <w:sz w:val="24"/>
              </w:rPr>
              <w:t>Yes</w:t>
            </w:r>
          </w:p>
        </w:tc>
        <w:tc>
          <w:tcPr>
            <w:tcW w:w="3927" w:type="dxa"/>
          </w:tcPr>
          <w:p>
            <w:pPr>
              <w:pStyle w:val="TableParagraph"/>
              <w:spacing w:before="130"/>
              <w:ind w:left="518"/>
              <w:rPr>
                <w:sz w:val="24"/>
              </w:rPr>
            </w:pPr>
            <w:r>
              <w:rPr>
                <w:spacing w:val="-2"/>
                <w:sz w:val="24"/>
              </w:rPr>
              <w:t>58(16.20)</w:t>
            </w:r>
          </w:p>
        </w:tc>
        <w:tc>
          <w:tcPr>
            <w:tcW w:w="3235" w:type="dxa"/>
          </w:tcPr>
          <w:p>
            <w:pPr>
              <w:pStyle w:val="TableParagraph"/>
              <w:spacing w:before="130"/>
              <w:ind w:left="191"/>
              <w:rPr>
                <w:sz w:val="24"/>
              </w:rPr>
            </w:pPr>
            <w:r>
              <w:rPr>
                <w:spacing w:val="-2"/>
                <w:sz w:val="24"/>
              </w:rPr>
              <w:t>97(27.20)</w:t>
            </w:r>
          </w:p>
        </w:tc>
      </w:tr>
      <w:tr>
        <w:trPr>
          <w:trHeight w:val="552" w:hRule="atLeast"/>
        </w:trPr>
        <w:tc>
          <w:tcPr>
            <w:tcW w:w="1594" w:type="dxa"/>
          </w:tcPr>
          <w:p>
            <w:pPr>
              <w:pStyle w:val="TableParagraph"/>
              <w:spacing w:before="135"/>
              <w:ind w:left="115"/>
              <w:rPr>
                <w:b/>
                <w:sz w:val="24"/>
              </w:rPr>
            </w:pPr>
            <w:r>
              <w:rPr>
                <w:b/>
                <w:spacing w:val="-5"/>
                <w:sz w:val="24"/>
              </w:rPr>
              <w:t>No</w:t>
            </w:r>
          </w:p>
        </w:tc>
        <w:tc>
          <w:tcPr>
            <w:tcW w:w="3927" w:type="dxa"/>
          </w:tcPr>
          <w:p>
            <w:pPr>
              <w:pStyle w:val="TableParagraph"/>
              <w:spacing w:before="130"/>
              <w:ind w:left="518"/>
              <w:rPr>
                <w:sz w:val="24"/>
              </w:rPr>
            </w:pPr>
            <w:r>
              <w:rPr>
                <w:spacing w:val="-2"/>
                <w:sz w:val="24"/>
              </w:rPr>
              <w:t>301(83.80)</w:t>
            </w:r>
          </w:p>
        </w:tc>
        <w:tc>
          <w:tcPr>
            <w:tcW w:w="3235" w:type="dxa"/>
          </w:tcPr>
          <w:p>
            <w:pPr>
              <w:pStyle w:val="TableParagraph"/>
              <w:spacing w:before="130"/>
              <w:ind w:left="191"/>
              <w:rPr>
                <w:sz w:val="24"/>
              </w:rPr>
            </w:pPr>
            <w:r>
              <w:rPr>
                <w:spacing w:val="-2"/>
                <w:sz w:val="24"/>
              </w:rPr>
              <w:t>262(72.80)</w:t>
            </w:r>
          </w:p>
        </w:tc>
      </w:tr>
      <w:tr>
        <w:trPr>
          <w:trHeight w:val="692" w:hRule="atLeast"/>
        </w:trPr>
        <w:tc>
          <w:tcPr>
            <w:tcW w:w="1594" w:type="dxa"/>
            <w:tcBorders>
              <w:bottom w:val="single" w:sz="8" w:space="0" w:color="000000"/>
            </w:tcBorders>
          </w:tcPr>
          <w:p>
            <w:pPr>
              <w:pStyle w:val="TableParagraph"/>
              <w:spacing w:before="135"/>
              <w:ind w:left="115"/>
              <w:rPr>
                <w:b/>
                <w:sz w:val="24"/>
              </w:rPr>
            </w:pPr>
            <w:r>
              <w:rPr>
                <w:b/>
                <w:spacing w:val="-2"/>
                <w:sz w:val="24"/>
              </w:rPr>
              <w:t>Total</w:t>
            </w:r>
          </w:p>
        </w:tc>
        <w:tc>
          <w:tcPr>
            <w:tcW w:w="3927" w:type="dxa"/>
            <w:tcBorders>
              <w:bottom w:val="single" w:sz="8" w:space="0" w:color="000000"/>
            </w:tcBorders>
          </w:tcPr>
          <w:p>
            <w:pPr>
              <w:pStyle w:val="TableParagraph"/>
              <w:spacing w:before="130"/>
              <w:ind w:left="518"/>
              <w:rPr>
                <w:sz w:val="24"/>
              </w:rPr>
            </w:pPr>
            <w:r>
              <w:rPr>
                <w:spacing w:val="-5"/>
                <w:sz w:val="24"/>
              </w:rPr>
              <w:t>359</w:t>
            </w:r>
          </w:p>
        </w:tc>
        <w:tc>
          <w:tcPr>
            <w:tcW w:w="3235" w:type="dxa"/>
            <w:tcBorders>
              <w:bottom w:val="single" w:sz="8" w:space="0" w:color="000000"/>
            </w:tcBorders>
          </w:tcPr>
          <w:p>
            <w:pPr>
              <w:pStyle w:val="TableParagraph"/>
              <w:spacing w:before="130"/>
              <w:ind w:left="191"/>
              <w:rPr>
                <w:sz w:val="24"/>
              </w:rPr>
            </w:pPr>
            <w:r>
              <w:rPr>
                <w:spacing w:val="-5"/>
                <w:sz w:val="24"/>
              </w:rPr>
              <w:t>359</w:t>
            </w:r>
          </w:p>
        </w:tc>
      </w:tr>
    </w:tbl>
    <w:p>
      <w:pPr>
        <w:pStyle w:val="BodyText"/>
        <w:spacing w:line="550" w:lineRule="atLeast" w:before="235"/>
        <w:ind w:left="267" w:right="729"/>
        <w:jc w:val="both"/>
      </w:pPr>
      <w:r>
        <w:rPr/>
        <w:t>Based on the responses, 58(16.20%) of the respondents reported that they had experienced water conflict within their house premises while 301(83.80%) of the respondents reported they</w:t>
      </w:r>
      <w:r>
        <w:rPr>
          <w:spacing w:val="-14"/>
        </w:rPr>
        <w:t> </w:t>
      </w:r>
      <w:r>
        <w:rPr/>
        <w:t>did</w:t>
      </w:r>
      <w:r>
        <w:rPr>
          <w:spacing w:val="-9"/>
        </w:rPr>
        <w:t> </w:t>
      </w:r>
      <w:r>
        <w:rPr/>
        <w:t>not</w:t>
      </w:r>
      <w:r>
        <w:rPr>
          <w:spacing w:val="-9"/>
        </w:rPr>
        <w:t> </w:t>
      </w:r>
      <w:r>
        <w:rPr/>
        <w:t>experience</w:t>
      </w:r>
      <w:r>
        <w:rPr>
          <w:spacing w:val="-10"/>
        </w:rPr>
        <w:t> </w:t>
      </w:r>
      <w:r>
        <w:rPr/>
        <w:t>any</w:t>
      </w:r>
      <w:r>
        <w:rPr>
          <w:spacing w:val="-14"/>
        </w:rPr>
        <w:t> </w:t>
      </w:r>
      <w:r>
        <w:rPr/>
        <w:t>in</w:t>
      </w:r>
      <w:r>
        <w:rPr>
          <w:spacing w:val="-9"/>
        </w:rPr>
        <w:t> </w:t>
      </w:r>
      <w:r>
        <w:rPr/>
        <w:t>their</w:t>
      </w:r>
      <w:r>
        <w:rPr>
          <w:spacing w:val="-10"/>
        </w:rPr>
        <w:t> </w:t>
      </w:r>
      <w:r>
        <w:rPr/>
        <w:t>premises.</w:t>
      </w:r>
      <w:r>
        <w:rPr>
          <w:spacing w:val="-9"/>
        </w:rPr>
        <w:t> </w:t>
      </w:r>
      <w:r>
        <w:rPr/>
        <w:t>On</w:t>
      </w:r>
      <w:r>
        <w:rPr>
          <w:spacing w:val="-10"/>
        </w:rPr>
        <w:t> </w:t>
      </w:r>
      <w:r>
        <w:rPr/>
        <w:t>the</w:t>
      </w:r>
      <w:r>
        <w:rPr>
          <w:spacing w:val="-11"/>
        </w:rPr>
        <w:t> </w:t>
      </w:r>
      <w:r>
        <w:rPr/>
        <w:t>other</w:t>
      </w:r>
      <w:r>
        <w:rPr>
          <w:spacing w:val="-11"/>
        </w:rPr>
        <w:t> </w:t>
      </w:r>
      <w:r>
        <w:rPr/>
        <w:t>hand,</w:t>
      </w:r>
      <w:r>
        <w:rPr>
          <w:spacing w:val="-10"/>
        </w:rPr>
        <w:t> </w:t>
      </w:r>
      <w:r>
        <w:rPr/>
        <w:t>97(27.20%)</w:t>
      </w:r>
      <w:r>
        <w:rPr>
          <w:spacing w:val="-10"/>
        </w:rPr>
        <w:t> </w:t>
      </w:r>
      <w:r>
        <w:rPr/>
        <w:t>of</w:t>
      </w:r>
      <w:r>
        <w:rPr>
          <w:spacing w:val="-10"/>
        </w:rPr>
        <w:t> </w:t>
      </w:r>
      <w:r>
        <w:rPr/>
        <w:t>the</w:t>
      </w:r>
      <w:r>
        <w:rPr>
          <w:spacing w:val="-10"/>
        </w:rPr>
        <w:t> </w:t>
      </w:r>
      <w:r>
        <w:rPr/>
        <w:t>surveyed respondents reported water conflict at water points outside house premises, whereas 262(72.80%)</w:t>
      </w:r>
      <w:r>
        <w:rPr>
          <w:spacing w:val="22"/>
        </w:rPr>
        <w:t> </w:t>
      </w:r>
      <w:r>
        <w:rPr/>
        <w:t>of</w:t>
      </w:r>
      <w:r>
        <w:rPr>
          <w:spacing w:val="23"/>
        </w:rPr>
        <w:t> </w:t>
      </w:r>
      <w:r>
        <w:rPr/>
        <w:t>the</w:t>
      </w:r>
      <w:r>
        <w:rPr>
          <w:spacing w:val="22"/>
        </w:rPr>
        <w:t> </w:t>
      </w:r>
      <w:r>
        <w:rPr/>
        <w:t>respondents</w:t>
      </w:r>
      <w:r>
        <w:rPr>
          <w:spacing w:val="24"/>
        </w:rPr>
        <w:t> </w:t>
      </w:r>
      <w:r>
        <w:rPr/>
        <w:t>reported</w:t>
      </w:r>
      <w:r>
        <w:rPr>
          <w:spacing w:val="22"/>
        </w:rPr>
        <w:t> </w:t>
      </w:r>
      <w:r>
        <w:rPr/>
        <w:t>that</w:t>
      </w:r>
      <w:r>
        <w:rPr>
          <w:spacing w:val="23"/>
        </w:rPr>
        <w:t> </w:t>
      </w:r>
      <w:r>
        <w:rPr/>
        <w:t>they</w:t>
      </w:r>
      <w:r>
        <w:rPr>
          <w:spacing w:val="20"/>
        </w:rPr>
        <w:t> </w:t>
      </w:r>
      <w:r>
        <w:rPr/>
        <w:t>experienced</w:t>
      </w:r>
      <w:r>
        <w:rPr>
          <w:spacing w:val="23"/>
        </w:rPr>
        <w:t> </w:t>
      </w:r>
      <w:r>
        <w:rPr/>
        <w:t>no</w:t>
      </w:r>
      <w:r>
        <w:rPr>
          <w:spacing w:val="22"/>
        </w:rPr>
        <w:t> </w:t>
      </w:r>
      <w:r>
        <w:rPr/>
        <w:t>water</w:t>
      </w:r>
      <w:r>
        <w:rPr>
          <w:spacing w:val="25"/>
        </w:rPr>
        <w:t> </w:t>
      </w:r>
      <w:r>
        <w:rPr/>
        <w:t>conflict</w:t>
      </w:r>
      <w:r>
        <w:rPr>
          <w:spacing w:val="23"/>
        </w:rPr>
        <w:t> </w:t>
      </w:r>
      <w:r>
        <w:rPr/>
        <w:t>of</w:t>
      </w:r>
      <w:r>
        <w:rPr>
          <w:spacing w:val="23"/>
        </w:rPr>
        <w:t> </w:t>
      </w:r>
      <w:r>
        <w:rPr>
          <w:spacing w:val="-2"/>
        </w:rPr>
        <w:t>such.</w:t>
      </w:r>
    </w:p>
    <w:p>
      <w:pPr>
        <w:spacing w:after="0" w:line="550" w:lineRule="atLeast"/>
        <w:jc w:val="both"/>
        <w:sectPr>
          <w:pgSz w:w="12240" w:h="15840"/>
          <w:pgMar w:header="0" w:footer="1068" w:top="1420" w:bottom="1260" w:left="1720" w:right="680"/>
        </w:sectPr>
      </w:pPr>
    </w:p>
    <w:p>
      <w:pPr>
        <w:pStyle w:val="BodyText"/>
        <w:spacing w:line="480" w:lineRule="auto" w:before="63"/>
        <w:ind w:left="267" w:right="733"/>
        <w:jc w:val="both"/>
      </w:pPr>
      <w:r>
        <w:rPr/>
        <w:t>Although this result implied the existence of water conflicts among the households, water conflicts were experienced more at water points outside the households’ premises than in their house premises in the study area.</w:t>
      </w:r>
    </w:p>
    <w:p>
      <w:pPr>
        <w:pStyle w:val="BodyText"/>
        <w:spacing w:before="7"/>
      </w:pPr>
    </w:p>
    <w:p>
      <w:pPr>
        <w:pStyle w:val="Heading1"/>
        <w:numPr>
          <w:ilvl w:val="4"/>
          <w:numId w:val="11"/>
        </w:numPr>
        <w:tabs>
          <w:tab w:pos="1166" w:val="left" w:leader="none"/>
        </w:tabs>
        <w:spacing w:line="240" w:lineRule="auto" w:before="1" w:after="0"/>
        <w:ind w:left="1166" w:right="0" w:hanging="899"/>
        <w:jc w:val="left"/>
      </w:pPr>
      <w:r>
        <w:rPr/>
        <w:t>Nature</w:t>
      </w:r>
      <w:r>
        <w:rPr>
          <w:spacing w:val="-2"/>
        </w:rPr>
        <w:t> </w:t>
      </w:r>
      <w:r>
        <w:rPr/>
        <w:t>of water</w:t>
      </w:r>
      <w:r>
        <w:rPr>
          <w:spacing w:val="-1"/>
        </w:rPr>
        <w:t> </w:t>
      </w:r>
      <w:r>
        <w:rPr/>
        <w:t>conflict</w:t>
      </w:r>
      <w:r>
        <w:rPr>
          <w:spacing w:val="-2"/>
        </w:rPr>
        <w:t> </w:t>
      </w:r>
      <w:r>
        <w:rPr/>
        <w:t>at</w:t>
      </w:r>
      <w:r>
        <w:rPr>
          <w:spacing w:val="-2"/>
        </w:rPr>
        <w:t> </w:t>
      </w:r>
      <w:r>
        <w:rPr/>
        <w:t>household </w:t>
      </w:r>
      <w:r>
        <w:rPr>
          <w:spacing w:val="-4"/>
        </w:rPr>
        <w:t>level</w:t>
      </w:r>
    </w:p>
    <w:p>
      <w:pPr>
        <w:pStyle w:val="BodyText"/>
        <w:spacing w:before="14"/>
        <w:rPr>
          <w:b/>
        </w:rPr>
      </w:pPr>
    </w:p>
    <w:p>
      <w:pPr>
        <w:pStyle w:val="BodyText"/>
        <w:spacing w:line="480" w:lineRule="auto"/>
        <w:ind w:left="267" w:right="727"/>
        <w:jc w:val="both"/>
      </w:pPr>
      <w:r>
        <w:rPr/>
        <w:t>The typical nature of water conflict which households experienced within their premises is shown</w:t>
      </w:r>
      <w:r>
        <w:rPr>
          <w:spacing w:val="-6"/>
        </w:rPr>
        <w:t> </w:t>
      </w:r>
      <w:r>
        <w:rPr/>
        <w:t>in</w:t>
      </w:r>
      <w:r>
        <w:rPr>
          <w:spacing w:val="-5"/>
        </w:rPr>
        <w:t> </w:t>
      </w:r>
      <w:r>
        <w:rPr/>
        <w:t>Table</w:t>
      </w:r>
      <w:r>
        <w:rPr>
          <w:spacing w:val="-6"/>
        </w:rPr>
        <w:t> </w:t>
      </w:r>
      <w:r>
        <w:rPr/>
        <w:t>4.14.</w:t>
      </w:r>
      <w:r>
        <w:rPr>
          <w:spacing w:val="-6"/>
        </w:rPr>
        <w:t> </w:t>
      </w:r>
      <w:r>
        <w:rPr/>
        <w:t>The</w:t>
      </w:r>
      <w:r>
        <w:rPr>
          <w:spacing w:val="-7"/>
        </w:rPr>
        <w:t> </w:t>
      </w:r>
      <w:r>
        <w:rPr/>
        <w:t>Table</w:t>
      </w:r>
      <w:r>
        <w:rPr>
          <w:spacing w:val="-6"/>
        </w:rPr>
        <w:t> </w:t>
      </w:r>
      <w:r>
        <w:rPr/>
        <w:t>is</w:t>
      </w:r>
      <w:r>
        <w:rPr>
          <w:spacing w:val="-5"/>
        </w:rPr>
        <w:t> </w:t>
      </w:r>
      <w:r>
        <w:rPr/>
        <w:t>based</w:t>
      </w:r>
      <w:r>
        <w:rPr>
          <w:spacing w:val="-6"/>
        </w:rPr>
        <w:t> </w:t>
      </w:r>
      <w:r>
        <w:rPr/>
        <w:t>on</w:t>
      </w:r>
      <w:r>
        <w:rPr>
          <w:spacing w:val="-6"/>
        </w:rPr>
        <w:t> </w:t>
      </w:r>
      <w:r>
        <w:rPr/>
        <w:t>the</w:t>
      </w:r>
      <w:r>
        <w:rPr>
          <w:spacing w:val="-6"/>
        </w:rPr>
        <w:t> </w:t>
      </w:r>
      <w:r>
        <w:rPr/>
        <w:t>58</w:t>
      </w:r>
      <w:r>
        <w:rPr>
          <w:spacing w:val="-6"/>
        </w:rPr>
        <w:t> </w:t>
      </w:r>
      <w:r>
        <w:rPr/>
        <w:t>respondents</w:t>
      </w:r>
      <w:r>
        <w:rPr>
          <w:spacing w:val="-5"/>
        </w:rPr>
        <w:t> </w:t>
      </w:r>
      <w:r>
        <w:rPr/>
        <w:t>reported</w:t>
      </w:r>
      <w:r>
        <w:rPr>
          <w:spacing w:val="-6"/>
        </w:rPr>
        <w:t> </w:t>
      </w:r>
      <w:r>
        <w:rPr/>
        <w:t>to</w:t>
      </w:r>
      <w:r>
        <w:rPr>
          <w:spacing w:val="-5"/>
        </w:rPr>
        <w:t> </w:t>
      </w:r>
      <w:r>
        <w:rPr/>
        <w:t>have</w:t>
      </w:r>
      <w:r>
        <w:rPr>
          <w:spacing w:val="-7"/>
        </w:rPr>
        <w:t> </w:t>
      </w:r>
      <w:r>
        <w:rPr/>
        <w:t>experienced water conflict in the study</w:t>
      </w:r>
      <w:r>
        <w:rPr>
          <w:spacing w:val="-2"/>
        </w:rPr>
        <w:t> </w:t>
      </w:r>
      <w:r>
        <w:rPr/>
        <w:t>area as shown in Table 4.13. As seen in Table 4.14, the nature of water conflict in the study</w:t>
      </w:r>
      <w:r>
        <w:rPr>
          <w:spacing w:val="-1"/>
        </w:rPr>
        <w:t> </w:t>
      </w:r>
      <w:r>
        <w:rPr/>
        <w:t>area ranged from those associated with water fetching, water use to water conservation. Based on the analysis of responses, 20(34.50%) of the respondents reported water fetching, 16(27.60%)</w:t>
      </w:r>
      <w:r>
        <w:rPr>
          <w:spacing w:val="-2"/>
        </w:rPr>
        <w:t> </w:t>
      </w:r>
      <w:r>
        <w:rPr/>
        <w:t>mentioned</w:t>
      </w:r>
      <w:r>
        <w:rPr>
          <w:spacing w:val="-2"/>
        </w:rPr>
        <w:t> </w:t>
      </w:r>
      <w:r>
        <w:rPr/>
        <w:t>the</w:t>
      </w:r>
      <w:r>
        <w:rPr>
          <w:spacing w:val="-2"/>
        </w:rPr>
        <w:t> </w:t>
      </w:r>
      <w:r>
        <w:rPr/>
        <w:t>use</w:t>
      </w:r>
      <w:r>
        <w:rPr>
          <w:spacing w:val="-2"/>
        </w:rPr>
        <w:t> </w:t>
      </w:r>
      <w:r>
        <w:rPr/>
        <w:t>of water</w:t>
      </w:r>
      <w:r>
        <w:rPr>
          <w:spacing w:val="-2"/>
        </w:rPr>
        <w:t> </w:t>
      </w:r>
      <w:r>
        <w:rPr/>
        <w:t>while</w:t>
      </w:r>
      <w:r>
        <w:rPr>
          <w:spacing w:val="-2"/>
        </w:rPr>
        <w:t> </w:t>
      </w:r>
      <w:r>
        <w:rPr/>
        <w:t>42(72.40%)</w:t>
      </w:r>
      <w:r>
        <w:rPr>
          <w:spacing w:val="-2"/>
        </w:rPr>
        <w:t> </w:t>
      </w:r>
      <w:r>
        <w:rPr/>
        <w:t>reported water conservation as the nature of water conflict experienced inside their household </w:t>
      </w:r>
      <w:r>
        <w:rPr>
          <w:spacing w:val="-2"/>
        </w:rPr>
        <w:t>premises.</w:t>
      </w:r>
    </w:p>
    <w:p>
      <w:pPr>
        <w:pStyle w:val="Heading1"/>
        <w:spacing w:before="6" w:after="4"/>
        <w:jc w:val="both"/>
      </w:pPr>
      <w:r>
        <w:rPr/>
        <w:t>Table</w:t>
      </w:r>
      <w:r>
        <w:rPr>
          <w:spacing w:val="-4"/>
        </w:rPr>
        <w:t> </w:t>
      </w:r>
      <w:r>
        <w:rPr/>
        <w:t>4.14:</w:t>
      </w:r>
      <w:r>
        <w:rPr>
          <w:spacing w:val="-1"/>
        </w:rPr>
        <w:t> </w:t>
      </w:r>
      <w:r>
        <w:rPr/>
        <w:t>Responses</w:t>
      </w:r>
      <w:r>
        <w:rPr>
          <w:spacing w:val="-1"/>
        </w:rPr>
        <w:t> </w:t>
      </w:r>
      <w:r>
        <w:rPr/>
        <w:t>on</w:t>
      </w:r>
      <w:r>
        <w:rPr>
          <w:spacing w:val="-2"/>
        </w:rPr>
        <w:t> </w:t>
      </w:r>
      <w:r>
        <w:rPr/>
        <w:t>Typology</w:t>
      </w:r>
      <w:r>
        <w:rPr>
          <w:spacing w:val="-1"/>
        </w:rPr>
        <w:t> </w:t>
      </w:r>
      <w:r>
        <w:rPr/>
        <w:t>of Water</w:t>
      </w:r>
      <w:r>
        <w:rPr>
          <w:spacing w:val="-3"/>
        </w:rPr>
        <w:t> </w:t>
      </w:r>
      <w:r>
        <w:rPr/>
        <w:t>Conflicts</w:t>
      </w:r>
      <w:r>
        <w:rPr>
          <w:spacing w:val="-1"/>
        </w:rPr>
        <w:t> </w:t>
      </w:r>
      <w:r>
        <w:rPr/>
        <w:t>at</w:t>
      </w:r>
      <w:r>
        <w:rPr>
          <w:spacing w:val="-1"/>
        </w:rPr>
        <w:t> </w:t>
      </w:r>
      <w:r>
        <w:rPr/>
        <w:t>Household</w:t>
      </w:r>
      <w:r>
        <w:rPr>
          <w:spacing w:val="3"/>
        </w:rPr>
        <w:t> </w:t>
      </w:r>
      <w:r>
        <w:rPr>
          <w:spacing w:val="-2"/>
        </w:rPr>
        <w:t>Premises</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8"/>
        <w:gridCol w:w="2480"/>
        <w:gridCol w:w="1690"/>
        <w:gridCol w:w="2819"/>
      </w:tblGrid>
      <w:tr>
        <w:trPr>
          <w:trHeight w:val="551" w:hRule="atLeast"/>
        </w:trPr>
        <w:tc>
          <w:tcPr>
            <w:tcW w:w="8667" w:type="dxa"/>
            <w:gridSpan w:val="4"/>
            <w:tcBorders>
              <w:top w:val="single" w:sz="8" w:space="0" w:color="000000"/>
              <w:bottom w:val="single" w:sz="8" w:space="0" w:color="000000"/>
            </w:tcBorders>
          </w:tcPr>
          <w:p>
            <w:pPr>
              <w:pStyle w:val="TableParagraph"/>
              <w:spacing w:line="272" w:lineRule="exact"/>
              <w:ind w:left="3492"/>
              <w:rPr>
                <w:b/>
                <w:sz w:val="24"/>
              </w:rPr>
            </w:pPr>
            <w:r>
              <w:rPr>
                <w:b/>
                <w:sz w:val="24"/>
              </w:rPr>
              <w:t>Water</w:t>
            </w:r>
            <w:r>
              <w:rPr>
                <w:b/>
                <w:spacing w:val="-2"/>
                <w:sz w:val="24"/>
              </w:rPr>
              <w:t> </w:t>
            </w:r>
            <w:r>
              <w:rPr>
                <w:b/>
                <w:sz w:val="24"/>
              </w:rPr>
              <w:t>Conflict</w:t>
            </w:r>
            <w:r>
              <w:rPr>
                <w:b/>
                <w:spacing w:val="-3"/>
                <w:sz w:val="24"/>
              </w:rPr>
              <w:t> </w:t>
            </w:r>
            <w:r>
              <w:rPr>
                <w:b/>
                <w:sz w:val="24"/>
              </w:rPr>
              <w:t>at </w:t>
            </w:r>
            <w:r>
              <w:rPr>
                <w:b/>
                <w:spacing w:val="-2"/>
                <w:sz w:val="24"/>
              </w:rPr>
              <w:t>Household</w:t>
            </w:r>
          </w:p>
        </w:tc>
      </w:tr>
      <w:tr>
        <w:trPr>
          <w:trHeight w:val="413" w:hRule="atLeast"/>
        </w:trPr>
        <w:tc>
          <w:tcPr>
            <w:tcW w:w="1678" w:type="dxa"/>
            <w:tcBorders>
              <w:top w:val="single" w:sz="8" w:space="0" w:color="000000"/>
            </w:tcBorders>
          </w:tcPr>
          <w:p>
            <w:pPr>
              <w:pStyle w:val="TableParagraph"/>
              <w:spacing w:line="272" w:lineRule="exact"/>
              <w:ind w:left="115"/>
              <w:rPr>
                <w:b/>
                <w:sz w:val="24"/>
              </w:rPr>
            </w:pPr>
            <w:r>
              <w:rPr>
                <w:b/>
                <w:spacing w:val="-2"/>
                <w:sz w:val="24"/>
              </w:rPr>
              <w:t>Response</w:t>
            </w:r>
          </w:p>
        </w:tc>
        <w:tc>
          <w:tcPr>
            <w:tcW w:w="2480" w:type="dxa"/>
            <w:tcBorders>
              <w:top w:val="single" w:sz="8" w:space="0" w:color="000000"/>
            </w:tcBorders>
          </w:tcPr>
          <w:p>
            <w:pPr>
              <w:pStyle w:val="TableParagraph"/>
              <w:spacing w:line="272" w:lineRule="exact"/>
              <w:ind w:left="333" w:right="4"/>
              <w:jc w:val="center"/>
              <w:rPr>
                <w:b/>
                <w:sz w:val="24"/>
              </w:rPr>
            </w:pPr>
            <w:r>
              <w:rPr>
                <w:b/>
                <w:sz w:val="24"/>
              </w:rPr>
              <w:t>Water</w:t>
            </w:r>
            <w:r>
              <w:rPr>
                <w:b/>
                <w:spacing w:val="-1"/>
                <w:sz w:val="24"/>
              </w:rPr>
              <w:t> </w:t>
            </w:r>
            <w:r>
              <w:rPr>
                <w:b/>
                <w:spacing w:val="-2"/>
                <w:sz w:val="24"/>
              </w:rPr>
              <w:t>Fetching</w:t>
            </w:r>
          </w:p>
        </w:tc>
        <w:tc>
          <w:tcPr>
            <w:tcW w:w="1690" w:type="dxa"/>
            <w:tcBorders>
              <w:top w:val="single" w:sz="8" w:space="0" w:color="000000"/>
            </w:tcBorders>
          </w:tcPr>
          <w:p>
            <w:pPr>
              <w:pStyle w:val="TableParagraph"/>
              <w:spacing w:line="272" w:lineRule="exact"/>
              <w:ind w:left="2" w:right="58"/>
              <w:jc w:val="center"/>
              <w:rPr>
                <w:b/>
                <w:sz w:val="24"/>
              </w:rPr>
            </w:pPr>
            <w:r>
              <w:rPr>
                <w:b/>
                <w:sz w:val="24"/>
              </w:rPr>
              <w:t>Water</w:t>
            </w:r>
            <w:r>
              <w:rPr>
                <w:b/>
                <w:spacing w:val="-3"/>
                <w:sz w:val="24"/>
              </w:rPr>
              <w:t> </w:t>
            </w:r>
            <w:r>
              <w:rPr>
                <w:b/>
                <w:spacing w:val="-5"/>
                <w:sz w:val="24"/>
              </w:rPr>
              <w:t>Use</w:t>
            </w:r>
          </w:p>
        </w:tc>
        <w:tc>
          <w:tcPr>
            <w:tcW w:w="2819" w:type="dxa"/>
            <w:tcBorders>
              <w:top w:val="single" w:sz="8" w:space="0" w:color="000000"/>
            </w:tcBorders>
          </w:tcPr>
          <w:p>
            <w:pPr>
              <w:pStyle w:val="TableParagraph"/>
              <w:spacing w:line="272" w:lineRule="exact"/>
              <w:ind w:right="66"/>
              <w:jc w:val="center"/>
              <w:rPr>
                <w:b/>
                <w:sz w:val="24"/>
              </w:rPr>
            </w:pPr>
            <w:r>
              <w:rPr>
                <w:b/>
                <w:sz w:val="24"/>
              </w:rPr>
              <w:t>Water</w:t>
            </w:r>
            <w:r>
              <w:rPr>
                <w:b/>
                <w:spacing w:val="-3"/>
                <w:sz w:val="24"/>
              </w:rPr>
              <w:t> </w:t>
            </w:r>
            <w:r>
              <w:rPr>
                <w:b/>
                <w:spacing w:val="-2"/>
                <w:sz w:val="24"/>
              </w:rPr>
              <w:t>Conservation</w:t>
            </w:r>
          </w:p>
        </w:tc>
      </w:tr>
      <w:tr>
        <w:trPr>
          <w:trHeight w:val="552" w:hRule="atLeast"/>
        </w:trPr>
        <w:tc>
          <w:tcPr>
            <w:tcW w:w="1678" w:type="dxa"/>
          </w:tcPr>
          <w:p>
            <w:pPr>
              <w:pStyle w:val="TableParagraph"/>
              <w:spacing w:before="135"/>
              <w:ind w:left="115"/>
              <w:rPr>
                <w:b/>
                <w:sz w:val="24"/>
              </w:rPr>
            </w:pPr>
            <w:r>
              <w:rPr>
                <w:b/>
                <w:spacing w:val="-5"/>
                <w:sz w:val="24"/>
              </w:rPr>
              <w:t>Yes</w:t>
            </w:r>
          </w:p>
        </w:tc>
        <w:tc>
          <w:tcPr>
            <w:tcW w:w="2480" w:type="dxa"/>
          </w:tcPr>
          <w:p>
            <w:pPr>
              <w:pStyle w:val="TableParagraph"/>
              <w:spacing w:before="130"/>
              <w:ind w:left="333" w:right="2"/>
              <w:jc w:val="center"/>
              <w:rPr>
                <w:sz w:val="24"/>
              </w:rPr>
            </w:pPr>
            <w:r>
              <w:rPr>
                <w:spacing w:val="-2"/>
                <w:sz w:val="24"/>
              </w:rPr>
              <w:t>20(34.5)</w:t>
            </w:r>
          </w:p>
        </w:tc>
        <w:tc>
          <w:tcPr>
            <w:tcW w:w="1690" w:type="dxa"/>
          </w:tcPr>
          <w:p>
            <w:pPr>
              <w:pStyle w:val="TableParagraph"/>
              <w:spacing w:before="130"/>
              <w:ind w:right="58"/>
              <w:jc w:val="center"/>
              <w:rPr>
                <w:sz w:val="24"/>
              </w:rPr>
            </w:pPr>
            <w:r>
              <w:rPr>
                <w:spacing w:val="-2"/>
                <w:sz w:val="24"/>
              </w:rPr>
              <w:t>16(27.6)</w:t>
            </w:r>
          </w:p>
        </w:tc>
        <w:tc>
          <w:tcPr>
            <w:tcW w:w="2819" w:type="dxa"/>
          </w:tcPr>
          <w:p>
            <w:pPr>
              <w:pStyle w:val="TableParagraph"/>
              <w:spacing w:before="130"/>
              <w:ind w:left="2" w:right="66"/>
              <w:jc w:val="center"/>
              <w:rPr>
                <w:sz w:val="24"/>
              </w:rPr>
            </w:pPr>
            <w:r>
              <w:rPr>
                <w:spacing w:val="-2"/>
                <w:sz w:val="24"/>
              </w:rPr>
              <w:t>42(72.4)</w:t>
            </w:r>
          </w:p>
        </w:tc>
      </w:tr>
      <w:tr>
        <w:trPr>
          <w:trHeight w:val="551" w:hRule="atLeast"/>
        </w:trPr>
        <w:tc>
          <w:tcPr>
            <w:tcW w:w="1678" w:type="dxa"/>
          </w:tcPr>
          <w:p>
            <w:pPr>
              <w:pStyle w:val="TableParagraph"/>
              <w:spacing w:before="135"/>
              <w:ind w:left="115"/>
              <w:rPr>
                <w:b/>
                <w:sz w:val="24"/>
              </w:rPr>
            </w:pPr>
            <w:r>
              <w:rPr>
                <w:b/>
                <w:spacing w:val="-5"/>
                <w:sz w:val="24"/>
              </w:rPr>
              <w:t>No</w:t>
            </w:r>
          </w:p>
        </w:tc>
        <w:tc>
          <w:tcPr>
            <w:tcW w:w="2480" w:type="dxa"/>
          </w:tcPr>
          <w:p>
            <w:pPr>
              <w:pStyle w:val="TableParagraph"/>
              <w:spacing w:before="130"/>
              <w:ind w:left="333" w:right="2"/>
              <w:jc w:val="center"/>
              <w:rPr>
                <w:sz w:val="24"/>
              </w:rPr>
            </w:pPr>
            <w:r>
              <w:rPr>
                <w:spacing w:val="-2"/>
                <w:sz w:val="24"/>
              </w:rPr>
              <w:t>38(65.5)</w:t>
            </w:r>
          </w:p>
        </w:tc>
        <w:tc>
          <w:tcPr>
            <w:tcW w:w="1690" w:type="dxa"/>
          </w:tcPr>
          <w:p>
            <w:pPr>
              <w:pStyle w:val="TableParagraph"/>
              <w:spacing w:before="130"/>
              <w:ind w:right="58"/>
              <w:jc w:val="center"/>
              <w:rPr>
                <w:sz w:val="24"/>
              </w:rPr>
            </w:pPr>
            <w:r>
              <w:rPr>
                <w:spacing w:val="-2"/>
                <w:sz w:val="24"/>
              </w:rPr>
              <w:t>42(72.4)</w:t>
            </w:r>
          </w:p>
        </w:tc>
        <w:tc>
          <w:tcPr>
            <w:tcW w:w="2819" w:type="dxa"/>
          </w:tcPr>
          <w:p>
            <w:pPr>
              <w:pStyle w:val="TableParagraph"/>
              <w:spacing w:before="130"/>
              <w:ind w:left="2" w:right="66"/>
              <w:jc w:val="center"/>
              <w:rPr>
                <w:sz w:val="24"/>
              </w:rPr>
            </w:pPr>
            <w:r>
              <w:rPr>
                <w:spacing w:val="-2"/>
                <w:sz w:val="24"/>
              </w:rPr>
              <w:t>16(27.6)</w:t>
            </w:r>
          </w:p>
        </w:tc>
      </w:tr>
      <w:tr>
        <w:trPr>
          <w:trHeight w:val="692" w:hRule="atLeast"/>
        </w:trPr>
        <w:tc>
          <w:tcPr>
            <w:tcW w:w="1678" w:type="dxa"/>
            <w:tcBorders>
              <w:bottom w:val="single" w:sz="8" w:space="0" w:color="000000"/>
            </w:tcBorders>
          </w:tcPr>
          <w:p>
            <w:pPr>
              <w:pStyle w:val="TableParagraph"/>
              <w:spacing w:before="135"/>
              <w:ind w:left="115"/>
              <w:rPr>
                <w:b/>
                <w:sz w:val="24"/>
              </w:rPr>
            </w:pPr>
            <w:r>
              <w:rPr>
                <w:b/>
                <w:spacing w:val="-2"/>
                <w:sz w:val="24"/>
              </w:rPr>
              <w:t>Total</w:t>
            </w:r>
          </w:p>
        </w:tc>
        <w:tc>
          <w:tcPr>
            <w:tcW w:w="2480" w:type="dxa"/>
            <w:tcBorders>
              <w:bottom w:val="single" w:sz="8" w:space="0" w:color="000000"/>
            </w:tcBorders>
          </w:tcPr>
          <w:p>
            <w:pPr>
              <w:pStyle w:val="TableParagraph"/>
              <w:spacing w:before="130"/>
              <w:ind w:left="333"/>
              <w:jc w:val="center"/>
              <w:rPr>
                <w:sz w:val="24"/>
              </w:rPr>
            </w:pPr>
            <w:r>
              <w:rPr>
                <w:spacing w:val="-5"/>
                <w:sz w:val="24"/>
              </w:rPr>
              <w:t>58</w:t>
            </w:r>
          </w:p>
        </w:tc>
        <w:tc>
          <w:tcPr>
            <w:tcW w:w="1690" w:type="dxa"/>
            <w:tcBorders>
              <w:bottom w:val="single" w:sz="8" w:space="0" w:color="000000"/>
            </w:tcBorders>
          </w:tcPr>
          <w:p>
            <w:pPr>
              <w:pStyle w:val="TableParagraph"/>
              <w:spacing w:before="130"/>
              <w:ind w:left="2" w:right="58"/>
              <w:jc w:val="center"/>
              <w:rPr>
                <w:sz w:val="24"/>
              </w:rPr>
            </w:pPr>
            <w:r>
              <w:rPr>
                <w:spacing w:val="-5"/>
                <w:sz w:val="24"/>
              </w:rPr>
              <w:t>58</w:t>
            </w:r>
          </w:p>
        </w:tc>
        <w:tc>
          <w:tcPr>
            <w:tcW w:w="2819" w:type="dxa"/>
            <w:tcBorders>
              <w:bottom w:val="single" w:sz="8" w:space="0" w:color="000000"/>
            </w:tcBorders>
          </w:tcPr>
          <w:p>
            <w:pPr>
              <w:pStyle w:val="TableParagraph"/>
              <w:spacing w:before="130"/>
              <w:ind w:left="5" w:right="66"/>
              <w:jc w:val="center"/>
              <w:rPr>
                <w:sz w:val="24"/>
              </w:rPr>
            </w:pPr>
            <w:r>
              <w:rPr>
                <w:spacing w:val="-5"/>
                <w:sz w:val="24"/>
              </w:rPr>
              <w:t>58</w:t>
            </w:r>
          </w:p>
        </w:tc>
      </w:tr>
    </w:tbl>
    <w:p>
      <w:pPr>
        <w:pStyle w:val="BodyText"/>
        <w:spacing w:before="269"/>
        <w:rPr>
          <w:b/>
        </w:rPr>
      </w:pPr>
    </w:p>
    <w:p>
      <w:pPr>
        <w:pStyle w:val="BodyText"/>
        <w:spacing w:line="480" w:lineRule="auto"/>
        <w:ind w:left="267" w:right="729"/>
        <w:jc w:val="both"/>
      </w:pPr>
      <w:r>
        <w:rPr/>
        <w:t>An</w:t>
      </w:r>
      <w:r>
        <w:rPr>
          <w:spacing w:val="-8"/>
        </w:rPr>
        <w:t> </w:t>
      </w:r>
      <w:r>
        <w:rPr/>
        <w:t>indication</w:t>
      </w:r>
      <w:r>
        <w:rPr>
          <w:spacing w:val="-7"/>
        </w:rPr>
        <w:t> </w:t>
      </w:r>
      <w:r>
        <w:rPr/>
        <w:t>of</w:t>
      </w:r>
      <w:r>
        <w:rPr>
          <w:spacing w:val="-6"/>
        </w:rPr>
        <w:t> </w:t>
      </w:r>
      <w:r>
        <w:rPr/>
        <w:t>household</w:t>
      </w:r>
      <w:r>
        <w:rPr>
          <w:spacing w:val="-7"/>
        </w:rPr>
        <w:t> </w:t>
      </w:r>
      <w:r>
        <w:rPr/>
        <w:t>water</w:t>
      </w:r>
      <w:r>
        <w:rPr>
          <w:spacing w:val="-6"/>
        </w:rPr>
        <w:t> </w:t>
      </w:r>
      <w:r>
        <w:rPr/>
        <w:t>stress</w:t>
      </w:r>
      <w:r>
        <w:rPr>
          <w:spacing w:val="-7"/>
        </w:rPr>
        <w:t> </w:t>
      </w:r>
      <w:r>
        <w:rPr/>
        <w:t>in</w:t>
      </w:r>
      <w:r>
        <w:rPr>
          <w:spacing w:val="-7"/>
        </w:rPr>
        <w:t> </w:t>
      </w:r>
      <w:r>
        <w:rPr/>
        <w:t>the</w:t>
      </w:r>
      <w:r>
        <w:rPr>
          <w:spacing w:val="-8"/>
        </w:rPr>
        <w:t> </w:t>
      </w:r>
      <w:r>
        <w:rPr/>
        <w:t>study</w:t>
      </w:r>
      <w:r>
        <w:rPr>
          <w:spacing w:val="-10"/>
        </w:rPr>
        <w:t> </w:t>
      </w:r>
      <w:r>
        <w:rPr/>
        <w:t>area</w:t>
      </w:r>
      <w:r>
        <w:rPr>
          <w:spacing w:val="-8"/>
        </w:rPr>
        <w:t> </w:t>
      </w:r>
      <w:r>
        <w:rPr/>
        <w:t>is</w:t>
      </w:r>
      <w:r>
        <w:rPr>
          <w:spacing w:val="-7"/>
        </w:rPr>
        <w:t> </w:t>
      </w:r>
      <w:r>
        <w:rPr/>
        <w:t>that</w:t>
      </w:r>
      <w:r>
        <w:rPr>
          <w:spacing w:val="-5"/>
        </w:rPr>
        <w:t> </w:t>
      </w:r>
      <w:r>
        <w:rPr/>
        <w:t>most</w:t>
      </w:r>
      <w:r>
        <w:rPr>
          <w:spacing w:val="-6"/>
        </w:rPr>
        <w:t> </w:t>
      </w:r>
      <w:r>
        <w:rPr/>
        <w:t>of</w:t>
      </w:r>
      <w:r>
        <w:rPr>
          <w:spacing w:val="-8"/>
        </w:rPr>
        <w:t> </w:t>
      </w:r>
      <w:r>
        <w:rPr/>
        <w:t>these</w:t>
      </w:r>
      <w:r>
        <w:rPr>
          <w:spacing w:val="-8"/>
        </w:rPr>
        <w:t> </w:t>
      </w:r>
      <w:r>
        <w:rPr/>
        <w:t>water</w:t>
      </w:r>
      <w:r>
        <w:rPr>
          <w:spacing w:val="-6"/>
        </w:rPr>
        <w:t> </w:t>
      </w:r>
      <w:r>
        <w:rPr/>
        <w:t>conflicts were</w:t>
      </w:r>
      <w:r>
        <w:rPr>
          <w:spacing w:val="-5"/>
        </w:rPr>
        <w:t> </w:t>
      </w:r>
      <w:r>
        <w:rPr/>
        <w:t>centered</w:t>
      </w:r>
      <w:r>
        <w:rPr>
          <w:spacing w:val="-6"/>
        </w:rPr>
        <w:t> </w:t>
      </w:r>
      <w:r>
        <w:rPr/>
        <w:t>around</w:t>
      </w:r>
      <w:r>
        <w:rPr>
          <w:spacing w:val="-5"/>
        </w:rPr>
        <w:t> </w:t>
      </w:r>
      <w:r>
        <w:rPr/>
        <w:t>water</w:t>
      </w:r>
      <w:r>
        <w:rPr>
          <w:spacing w:val="-7"/>
        </w:rPr>
        <w:t> </w:t>
      </w:r>
      <w:r>
        <w:rPr/>
        <w:t>conservation.</w:t>
      </w:r>
      <w:r>
        <w:rPr>
          <w:spacing w:val="-6"/>
        </w:rPr>
        <w:t> </w:t>
      </w:r>
      <w:r>
        <w:rPr/>
        <w:t>The</w:t>
      </w:r>
      <w:r>
        <w:rPr>
          <w:spacing w:val="-7"/>
        </w:rPr>
        <w:t> </w:t>
      </w:r>
      <w:r>
        <w:rPr/>
        <w:t>high</w:t>
      </w:r>
      <w:r>
        <w:rPr>
          <w:spacing w:val="-5"/>
        </w:rPr>
        <w:t> </w:t>
      </w:r>
      <w:r>
        <w:rPr/>
        <w:t>proportion</w:t>
      </w:r>
      <w:r>
        <w:rPr>
          <w:spacing w:val="-6"/>
        </w:rPr>
        <w:t> </w:t>
      </w:r>
      <w:r>
        <w:rPr/>
        <w:t>of</w:t>
      </w:r>
      <w:r>
        <w:rPr>
          <w:spacing w:val="-7"/>
        </w:rPr>
        <w:t> </w:t>
      </w:r>
      <w:r>
        <w:rPr/>
        <w:t>water</w:t>
      </w:r>
      <w:r>
        <w:rPr>
          <w:spacing w:val="-5"/>
        </w:rPr>
        <w:t> </w:t>
      </w:r>
      <w:r>
        <w:rPr/>
        <w:t>conflict</w:t>
      </w:r>
      <w:r>
        <w:rPr>
          <w:spacing w:val="-6"/>
        </w:rPr>
        <w:t> </w:t>
      </w:r>
      <w:r>
        <w:rPr/>
        <w:t>in</w:t>
      </w:r>
      <w:r>
        <w:rPr>
          <w:spacing w:val="-5"/>
        </w:rPr>
        <w:t> </w:t>
      </w:r>
      <w:r>
        <w:rPr/>
        <w:t>respect</w:t>
      </w:r>
      <w:r>
        <w:rPr>
          <w:spacing w:val="-6"/>
        </w:rPr>
        <w:t> </w:t>
      </w:r>
      <w:r>
        <w:rPr/>
        <w:t>to conserving</w:t>
      </w:r>
      <w:r>
        <w:rPr>
          <w:spacing w:val="-15"/>
        </w:rPr>
        <w:t> </w:t>
      </w:r>
      <w:r>
        <w:rPr/>
        <w:t>water</w:t>
      </w:r>
      <w:r>
        <w:rPr>
          <w:spacing w:val="-15"/>
        </w:rPr>
        <w:t> </w:t>
      </w:r>
      <w:r>
        <w:rPr/>
        <w:t>also</w:t>
      </w:r>
      <w:r>
        <w:rPr>
          <w:spacing w:val="-15"/>
        </w:rPr>
        <w:t> </w:t>
      </w:r>
      <w:r>
        <w:rPr/>
        <w:t>draws</w:t>
      </w:r>
      <w:r>
        <w:rPr>
          <w:spacing w:val="-15"/>
        </w:rPr>
        <w:t> </w:t>
      </w:r>
      <w:r>
        <w:rPr/>
        <w:t>a</w:t>
      </w:r>
      <w:r>
        <w:rPr>
          <w:spacing w:val="-15"/>
        </w:rPr>
        <w:t> </w:t>
      </w:r>
      <w:r>
        <w:rPr/>
        <w:t>big</w:t>
      </w:r>
      <w:r>
        <w:rPr>
          <w:spacing w:val="-15"/>
        </w:rPr>
        <w:t> </w:t>
      </w:r>
      <w:r>
        <w:rPr/>
        <w:t>question</w:t>
      </w:r>
      <w:r>
        <w:rPr>
          <w:spacing w:val="-15"/>
        </w:rPr>
        <w:t> </w:t>
      </w:r>
      <w:r>
        <w:rPr/>
        <w:t>on</w:t>
      </w:r>
      <w:r>
        <w:rPr>
          <w:spacing w:val="-15"/>
        </w:rPr>
        <w:t> </w:t>
      </w:r>
      <w:r>
        <w:rPr/>
        <w:t>the</w:t>
      </w:r>
      <w:r>
        <w:rPr>
          <w:spacing w:val="-15"/>
        </w:rPr>
        <w:t> </w:t>
      </w:r>
      <w:r>
        <w:rPr/>
        <w:t>adaptive</w:t>
      </w:r>
      <w:r>
        <w:rPr>
          <w:spacing w:val="-15"/>
        </w:rPr>
        <w:t> </w:t>
      </w:r>
      <w:r>
        <w:rPr/>
        <w:t>capacity</w:t>
      </w:r>
      <w:r>
        <w:rPr>
          <w:spacing w:val="-15"/>
        </w:rPr>
        <w:t> </w:t>
      </w:r>
      <w:r>
        <w:rPr/>
        <w:t>of</w:t>
      </w:r>
      <w:r>
        <w:rPr>
          <w:spacing w:val="-15"/>
        </w:rPr>
        <w:t> </w:t>
      </w:r>
      <w:r>
        <w:rPr/>
        <w:t>the</w:t>
      </w:r>
      <w:r>
        <w:rPr>
          <w:spacing w:val="-14"/>
        </w:rPr>
        <w:t> </w:t>
      </w:r>
      <w:r>
        <w:rPr/>
        <w:t>households</w:t>
      </w:r>
      <w:r>
        <w:rPr>
          <w:spacing w:val="-14"/>
        </w:rPr>
        <w:t> </w:t>
      </w:r>
      <w:r>
        <w:rPr/>
        <w:t>against water scarcity in the study area.</w:t>
      </w:r>
    </w:p>
    <w:p>
      <w:pPr>
        <w:spacing w:after="0" w:line="480" w:lineRule="auto"/>
        <w:jc w:val="both"/>
        <w:sectPr>
          <w:pgSz w:w="12240" w:h="15840"/>
          <w:pgMar w:header="0" w:footer="1068" w:top="1340" w:bottom="1260" w:left="1720" w:right="680"/>
        </w:sectPr>
      </w:pPr>
    </w:p>
    <w:p>
      <w:pPr>
        <w:pStyle w:val="Heading1"/>
        <w:numPr>
          <w:ilvl w:val="5"/>
          <w:numId w:val="11"/>
        </w:numPr>
        <w:tabs>
          <w:tab w:pos="1706" w:val="left" w:leader="none"/>
        </w:tabs>
        <w:spacing w:line="240" w:lineRule="auto" w:before="68" w:after="0"/>
        <w:ind w:left="1706" w:right="0" w:hanging="1439"/>
        <w:jc w:val="both"/>
      </w:pPr>
      <w:r>
        <w:rPr/>
        <w:t>Occurrence</w:t>
      </w:r>
      <w:r>
        <w:rPr>
          <w:spacing w:val="-2"/>
        </w:rPr>
        <w:t> </w:t>
      </w:r>
      <w:r>
        <w:rPr/>
        <w:t>of</w:t>
      </w:r>
      <w:r>
        <w:rPr>
          <w:spacing w:val="1"/>
        </w:rPr>
        <w:t> </w:t>
      </w:r>
      <w:r>
        <w:rPr/>
        <w:t>water</w:t>
      </w:r>
      <w:r>
        <w:rPr>
          <w:spacing w:val="-2"/>
        </w:rPr>
        <w:t> </w:t>
      </w:r>
      <w:r>
        <w:rPr/>
        <w:t>conflict</w:t>
      </w:r>
      <w:r>
        <w:rPr>
          <w:spacing w:val="-2"/>
        </w:rPr>
        <w:t> </w:t>
      </w:r>
      <w:r>
        <w:rPr/>
        <w:t>at</w:t>
      </w:r>
      <w:r>
        <w:rPr>
          <w:spacing w:val="-1"/>
        </w:rPr>
        <w:t> </w:t>
      </w:r>
      <w:r>
        <w:rPr/>
        <w:t>household </w:t>
      </w:r>
      <w:r>
        <w:rPr>
          <w:spacing w:val="-4"/>
        </w:rPr>
        <w:t>level</w:t>
      </w:r>
    </w:p>
    <w:p>
      <w:pPr>
        <w:pStyle w:val="BodyText"/>
        <w:spacing w:line="480" w:lineRule="auto" w:before="271"/>
        <w:ind w:left="267" w:right="731"/>
        <w:jc w:val="both"/>
      </w:pPr>
      <w:r>
        <w:rPr/>
        <w:drawing>
          <wp:anchor distT="0" distB="0" distL="0" distR="0" allowOverlap="1" layoutInCell="1" locked="0" behindDoc="1" simplePos="0" relativeHeight="487608320">
            <wp:simplePos x="0" y="0"/>
            <wp:positionH relativeFrom="page">
              <wp:posOffset>1303019</wp:posOffset>
            </wp:positionH>
            <wp:positionV relativeFrom="paragraph">
              <wp:posOffset>1579386</wp:posOffset>
            </wp:positionV>
            <wp:extent cx="5527784" cy="2428875"/>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34" cstate="print"/>
                    <a:stretch>
                      <a:fillRect/>
                    </a:stretch>
                  </pic:blipFill>
                  <pic:spPr>
                    <a:xfrm>
                      <a:off x="0" y="0"/>
                      <a:ext cx="5527784" cy="2428875"/>
                    </a:xfrm>
                    <a:prstGeom prst="rect">
                      <a:avLst/>
                    </a:prstGeom>
                  </pic:spPr>
                </pic:pic>
              </a:graphicData>
            </a:graphic>
          </wp:anchor>
        </w:drawing>
      </w:r>
      <w:r>
        <w:rPr/>
        <w:t>Figure 4.8 presents the occurrence of water conflict within the household premises in the study area. As shown in figure 4.8, over one-half of the respondents responded that water conflicts occurred either often (41.40%) or on daily basis (10.30%) while 48.30% of the respondents reported that water conflicts occurred occasionally at household premises.</w:t>
      </w:r>
    </w:p>
    <w:p>
      <w:pPr>
        <w:pStyle w:val="Heading1"/>
        <w:spacing w:before="12"/>
        <w:ind w:left="9" w:right="479"/>
        <w:jc w:val="center"/>
      </w:pPr>
      <w:r>
        <w:rPr/>
        <w:t>Figure</w:t>
      </w:r>
      <w:r>
        <w:rPr>
          <w:spacing w:val="-5"/>
        </w:rPr>
        <w:t> </w:t>
      </w:r>
      <w:r>
        <w:rPr/>
        <w:t>4.8:</w:t>
      </w:r>
      <w:r>
        <w:rPr>
          <w:spacing w:val="-2"/>
        </w:rPr>
        <w:t> </w:t>
      </w:r>
      <w:r>
        <w:rPr/>
        <w:t>Occurrence of</w:t>
      </w:r>
      <w:r>
        <w:rPr>
          <w:spacing w:val="-1"/>
        </w:rPr>
        <w:t> </w:t>
      </w:r>
      <w:r>
        <w:rPr/>
        <w:t>Water</w:t>
      </w:r>
      <w:r>
        <w:rPr>
          <w:spacing w:val="-3"/>
        </w:rPr>
        <w:t> </w:t>
      </w:r>
      <w:r>
        <w:rPr/>
        <w:t>Conflict</w:t>
      </w:r>
      <w:r>
        <w:rPr>
          <w:spacing w:val="-1"/>
        </w:rPr>
        <w:t> </w:t>
      </w:r>
      <w:r>
        <w:rPr/>
        <w:t>within</w:t>
      </w:r>
      <w:r>
        <w:rPr>
          <w:spacing w:val="-2"/>
        </w:rPr>
        <w:t> </w:t>
      </w:r>
      <w:r>
        <w:rPr/>
        <w:t>Household</w:t>
      </w:r>
      <w:r>
        <w:rPr>
          <w:spacing w:val="-1"/>
        </w:rPr>
        <w:t> </w:t>
      </w:r>
      <w:r>
        <w:rPr>
          <w:spacing w:val="-2"/>
        </w:rPr>
        <w:t>Premises</w:t>
      </w:r>
    </w:p>
    <w:p>
      <w:pPr>
        <w:pStyle w:val="BodyText"/>
        <w:rPr>
          <w:b/>
        </w:rPr>
      </w:pPr>
    </w:p>
    <w:p>
      <w:pPr>
        <w:pStyle w:val="BodyText"/>
        <w:spacing w:before="3"/>
        <w:rPr>
          <w:b/>
        </w:rPr>
      </w:pPr>
    </w:p>
    <w:p>
      <w:pPr>
        <w:pStyle w:val="ListParagraph"/>
        <w:numPr>
          <w:ilvl w:val="4"/>
          <w:numId w:val="11"/>
        </w:numPr>
        <w:tabs>
          <w:tab w:pos="1767" w:val="left" w:leader="none"/>
        </w:tabs>
        <w:spacing w:line="240" w:lineRule="auto" w:before="0" w:after="0"/>
        <w:ind w:left="1767" w:right="0" w:hanging="1500"/>
        <w:jc w:val="left"/>
        <w:rPr>
          <w:b/>
          <w:sz w:val="24"/>
        </w:rPr>
      </w:pPr>
      <w:r>
        <w:rPr>
          <w:b/>
          <w:sz w:val="24"/>
        </w:rPr>
        <w:t>Nature</w:t>
      </w:r>
      <w:r>
        <w:rPr>
          <w:b/>
          <w:spacing w:val="-3"/>
          <w:sz w:val="24"/>
        </w:rPr>
        <w:t> </w:t>
      </w:r>
      <w:r>
        <w:rPr>
          <w:b/>
          <w:sz w:val="24"/>
        </w:rPr>
        <w:t>of</w:t>
      </w:r>
      <w:r>
        <w:rPr>
          <w:b/>
          <w:spacing w:val="1"/>
          <w:sz w:val="24"/>
        </w:rPr>
        <w:t> </w:t>
      </w:r>
      <w:r>
        <w:rPr>
          <w:b/>
          <w:sz w:val="24"/>
        </w:rPr>
        <w:t>water</w:t>
      </w:r>
      <w:r>
        <w:rPr>
          <w:b/>
          <w:spacing w:val="-2"/>
          <w:sz w:val="24"/>
        </w:rPr>
        <w:t> </w:t>
      </w:r>
      <w:r>
        <w:rPr>
          <w:b/>
          <w:sz w:val="24"/>
        </w:rPr>
        <w:t>conflict</w:t>
      </w:r>
      <w:r>
        <w:rPr>
          <w:b/>
          <w:spacing w:val="-1"/>
          <w:sz w:val="24"/>
        </w:rPr>
        <w:t> </w:t>
      </w:r>
      <w:r>
        <w:rPr>
          <w:b/>
          <w:sz w:val="24"/>
        </w:rPr>
        <w:t>at</w:t>
      </w:r>
      <w:r>
        <w:rPr>
          <w:b/>
          <w:spacing w:val="-3"/>
          <w:sz w:val="24"/>
        </w:rPr>
        <w:t> </w:t>
      </w:r>
      <w:r>
        <w:rPr>
          <w:b/>
          <w:sz w:val="24"/>
        </w:rPr>
        <w:t>water</w:t>
      </w:r>
      <w:r>
        <w:rPr>
          <w:b/>
          <w:spacing w:val="-2"/>
          <w:sz w:val="24"/>
        </w:rPr>
        <w:t> point</w:t>
      </w:r>
    </w:p>
    <w:p>
      <w:pPr>
        <w:pStyle w:val="BodyText"/>
        <w:spacing w:before="96"/>
        <w:rPr>
          <w:b/>
        </w:rPr>
      </w:pPr>
    </w:p>
    <w:p>
      <w:pPr>
        <w:pStyle w:val="BodyText"/>
        <w:spacing w:line="480" w:lineRule="auto"/>
        <w:ind w:left="267" w:right="729"/>
        <w:jc w:val="both"/>
      </w:pPr>
      <w:r>
        <w:rPr/>
        <w:t>Table</w:t>
      </w:r>
      <w:r>
        <w:rPr>
          <w:spacing w:val="-15"/>
        </w:rPr>
        <w:t> </w:t>
      </w:r>
      <w:r>
        <w:rPr/>
        <w:t>4.15</w:t>
      </w:r>
      <w:r>
        <w:rPr>
          <w:spacing w:val="-15"/>
        </w:rPr>
        <w:t> </w:t>
      </w:r>
      <w:r>
        <w:rPr/>
        <w:t>shows</w:t>
      </w:r>
      <w:r>
        <w:rPr>
          <w:spacing w:val="-15"/>
        </w:rPr>
        <w:t> </w:t>
      </w:r>
      <w:r>
        <w:rPr/>
        <w:t>the</w:t>
      </w:r>
      <w:r>
        <w:rPr>
          <w:spacing w:val="-15"/>
        </w:rPr>
        <w:t> </w:t>
      </w:r>
      <w:r>
        <w:rPr/>
        <w:t>responses</w:t>
      </w:r>
      <w:r>
        <w:rPr>
          <w:spacing w:val="-15"/>
        </w:rPr>
        <w:t> </w:t>
      </w:r>
      <w:r>
        <w:rPr/>
        <w:t>of</w:t>
      </w:r>
      <w:r>
        <w:rPr>
          <w:spacing w:val="-15"/>
        </w:rPr>
        <w:t> </w:t>
      </w:r>
      <w:r>
        <w:rPr/>
        <w:t>the</w:t>
      </w:r>
      <w:r>
        <w:rPr>
          <w:spacing w:val="-15"/>
        </w:rPr>
        <w:t> </w:t>
      </w:r>
      <w:r>
        <w:rPr/>
        <w:t>respondents</w:t>
      </w:r>
      <w:r>
        <w:rPr>
          <w:spacing w:val="-15"/>
        </w:rPr>
        <w:t> </w:t>
      </w:r>
      <w:r>
        <w:rPr/>
        <w:t>on</w:t>
      </w:r>
      <w:r>
        <w:rPr>
          <w:spacing w:val="-15"/>
        </w:rPr>
        <w:t> </w:t>
      </w:r>
      <w:r>
        <w:rPr/>
        <w:t>the</w:t>
      </w:r>
      <w:r>
        <w:rPr>
          <w:spacing w:val="-15"/>
        </w:rPr>
        <w:t> </w:t>
      </w:r>
      <w:r>
        <w:rPr/>
        <w:t>nature</w:t>
      </w:r>
      <w:r>
        <w:rPr>
          <w:spacing w:val="-15"/>
        </w:rPr>
        <w:t> </w:t>
      </w:r>
      <w:r>
        <w:rPr/>
        <w:t>of</w:t>
      </w:r>
      <w:r>
        <w:rPr>
          <w:spacing w:val="-15"/>
        </w:rPr>
        <w:t> </w:t>
      </w:r>
      <w:r>
        <w:rPr/>
        <w:t>water</w:t>
      </w:r>
      <w:r>
        <w:rPr>
          <w:spacing w:val="-15"/>
        </w:rPr>
        <w:t> </w:t>
      </w:r>
      <w:r>
        <w:rPr/>
        <w:t>conflict</w:t>
      </w:r>
      <w:r>
        <w:rPr>
          <w:spacing w:val="-15"/>
        </w:rPr>
        <w:t> </w:t>
      </w:r>
      <w:r>
        <w:rPr/>
        <w:t>encountered at water points outside their household premises in the study area. In the table, the various water</w:t>
      </w:r>
      <w:r>
        <w:rPr>
          <w:spacing w:val="-15"/>
        </w:rPr>
        <w:t> </w:t>
      </w:r>
      <w:r>
        <w:rPr/>
        <w:t>conflicts</w:t>
      </w:r>
      <w:r>
        <w:rPr>
          <w:spacing w:val="-14"/>
        </w:rPr>
        <w:t> </w:t>
      </w:r>
      <w:r>
        <w:rPr/>
        <w:t>experienced</w:t>
      </w:r>
      <w:r>
        <w:rPr>
          <w:spacing w:val="-14"/>
        </w:rPr>
        <w:t> </w:t>
      </w:r>
      <w:r>
        <w:rPr/>
        <w:t>at</w:t>
      </w:r>
      <w:r>
        <w:rPr>
          <w:spacing w:val="-14"/>
        </w:rPr>
        <w:t> </w:t>
      </w:r>
      <w:r>
        <w:rPr/>
        <w:t>water</w:t>
      </w:r>
      <w:r>
        <w:rPr>
          <w:spacing w:val="-15"/>
        </w:rPr>
        <w:t> </w:t>
      </w:r>
      <w:r>
        <w:rPr/>
        <w:t>points</w:t>
      </w:r>
      <w:r>
        <w:rPr>
          <w:spacing w:val="-14"/>
        </w:rPr>
        <w:t> </w:t>
      </w:r>
      <w:r>
        <w:rPr/>
        <w:t>outside</w:t>
      </w:r>
      <w:r>
        <w:rPr>
          <w:spacing w:val="-15"/>
        </w:rPr>
        <w:t> </w:t>
      </w:r>
      <w:r>
        <w:rPr/>
        <w:t>household</w:t>
      </w:r>
      <w:r>
        <w:rPr>
          <w:spacing w:val="-14"/>
        </w:rPr>
        <w:t> </w:t>
      </w:r>
      <w:r>
        <w:rPr/>
        <w:t>premises</w:t>
      </w:r>
      <w:r>
        <w:rPr>
          <w:spacing w:val="-14"/>
        </w:rPr>
        <w:t> </w:t>
      </w:r>
      <w:r>
        <w:rPr/>
        <w:t>are</w:t>
      </w:r>
      <w:r>
        <w:rPr>
          <w:spacing w:val="-15"/>
        </w:rPr>
        <w:t> </w:t>
      </w:r>
      <w:r>
        <w:rPr/>
        <w:t>related</w:t>
      </w:r>
      <w:r>
        <w:rPr>
          <w:spacing w:val="-14"/>
        </w:rPr>
        <w:t> </w:t>
      </w:r>
      <w:r>
        <w:rPr/>
        <w:t>to</w:t>
      </w:r>
      <w:r>
        <w:rPr>
          <w:spacing w:val="-14"/>
        </w:rPr>
        <w:t> </w:t>
      </w:r>
      <w:r>
        <w:rPr/>
        <w:t>queuing for water, the time spent and quantity of water. From the analysis of response, 73(75.00%) of the respondents experienced water queuing conflict, 53(55.00%) reported time spent in water</w:t>
      </w:r>
      <w:r>
        <w:rPr>
          <w:spacing w:val="-12"/>
        </w:rPr>
        <w:t> </w:t>
      </w:r>
      <w:r>
        <w:rPr/>
        <w:t>collection</w:t>
      </w:r>
      <w:r>
        <w:rPr>
          <w:spacing w:val="-13"/>
        </w:rPr>
        <w:t> </w:t>
      </w:r>
      <w:r>
        <w:rPr/>
        <w:t>as</w:t>
      </w:r>
      <w:r>
        <w:rPr>
          <w:spacing w:val="-10"/>
        </w:rPr>
        <w:t> </w:t>
      </w:r>
      <w:r>
        <w:rPr/>
        <w:t>water</w:t>
      </w:r>
      <w:r>
        <w:rPr>
          <w:spacing w:val="-11"/>
        </w:rPr>
        <w:t> </w:t>
      </w:r>
      <w:r>
        <w:rPr/>
        <w:t>conflict</w:t>
      </w:r>
      <w:r>
        <w:rPr>
          <w:spacing w:val="-13"/>
        </w:rPr>
        <w:t> </w:t>
      </w:r>
      <w:r>
        <w:rPr/>
        <w:t>while</w:t>
      </w:r>
      <w:r>
        <w:rPr>
          <w:spacing w:val="-14"/>
        </w:rPr>
        <w:t> </w:t>
      </w:r>
      <w:r>
        <w:rPr/>
        <w:t>44(45.00%)</w:t>
      </w:r>
      <w:r>
        <w:rPr>
          <w:spacing w:val="-14"/>
        </w:rPr>
        <w:t> </w:t>
      </w:r>
      <w:r>
        <w:rPr/>
        <w:t>of</w:t>
      </w:r>
      <w:r>
        <w:rPr>
          <w:spacing w:val="-14"/>
        </w:rPr>
        <w:t> </w:t>
      </w:r>
      <w:r>
        <w:rPr/>
        <w:t>the</w:t>
      </w:r>
      <w:r>
        <w:rPr>
          <w:spacing w:val="-11"/>
        </w:rPr>
        <w:t> </w:t>
      </w:r>
      <w:r>
        <w:rPr/>
        <w:t>respondents</w:t>
      </w:r>
      <w:r>
        <w:rPr>
          <w:spacing w:val="-12"/>
        </w:rPr>
        <w:t> </w:t>
      </w:r>
      <w:r>
        <w:rPr/>
        <w:t>said</w:t>
      </w:r>
      <w:r>
        <w:rPr>
          <w:spacing w:val="-13"/>
        </w:rPr>
        <w:t> </w:t>
      </w:r>
      <w:r>
        <w:rPr/>
        <w:t>they</w:t>
      </w:r>
      <w:r>
        <w:rPr>
          <w:spacing w:val="-15"/>
        </w:rPr>
        <w:t> </w:t>
      </w:r>
      <w:r>
        <w:rPr/>
        <w:t>encountered conflict related to water quantity at outside water points in the study area.</w:t>
      </w:r>
    </w:p>
    <w:p>
      <w:pPr>
        <w:spacing w:after="0" w:line="480" w:lineRule="auto"/>
        <w:jc w:val="both"/>
        <w:sectPr>
          <w:pgSz w:w="12240" w:h="15840"/>
          <w:pgMar w:header="0" w:footer="1068" w:top="1340" w:bottom="1260" w:left="1720" w:right="680"/>
        </w:sectPr>
      </w:pPr>
    </w:p>
    <w:p>
      <w:pPr>
        <w:pStyle w:val="Heading1"/>
        <w:spacing w:before="68" w:after="4"/>
        <w:jc w:val="both"/>
      </w:pPr>
      <w:r>
        <w:rPr/>
        <w:t>Table</w:t>
      </w:r>
      <w:r>
        <w:rPr>
          <w:spacing w:val="-4"/>
        </w:rPr>
        <w:t> </w:t>
      </w:r>
      <w:r>
        <w:rPr/>
        <w:t>4.15:</w:t>
      </w:r>
      <w:r>
        <w:rPr>
          <w:spacing w:val="-1"/>
        </w:rPr>
        <w:t> </w:t>
      </w:r>
      <w:r>
        <w:rPr/>
        <w:t>Responses</w:t>
      </w:r>
      <w:r>
        <w:rPr>
          <w:spacing w:val="-1"/>
        </w:rPr>
        <w:t> </w:t>
      </w:r>
      <w:r>
        <w:rPr/>
        <w:t>on</w:t>
      </w:r>
      <w:r>
        <w:rPr>
          <w:spacing w:val="-2"/>
        </w:rPr>
        <w:t> </w:t>
      </w:r>
      <w:r>
        <w:rPr/>
        <w:t>Typology</w:t>
      </w:r>
      <w:r>
        <w:rPr>
          <w:spacing w:val="-1"/>
        </w:rPr>
        <w:t> </w:t>
      </w:r>
      <w:r>
        <w:rPr/>
        <w:t>of Water</w:t>
      </w:r>
      <w:r>
        <w:rPr>
          <w:spacing w:val="-3"/>
        </w:rPr>
        <w:t> </w:t>
      </w:r>
      <w:r>
        <w:rPr/>
        <w:t>Conflicts</w:t>
      </w:r>
      <w:r>
        <w:rPr>
          <w:spacing w:val="-1"/>
        </w:rPr>
        <w:t> </w:t>
      </w:r>
      <w:r>
        <w:rPr/>
        <w:t>at</w:t>
      </w:r>
      <w:r>
        <w:rPr>
          <w:spacing w:val="-1"/>
        </w:rPr>
        <w:t> </w:t>
      </w:r>
      <w:r>
        <w:rPr/>
        <w:t>Water </w:t>
      </w:r>
      <w:r>
        <w:rPr>
          <w:spacing w:val="-2"/>
        </w:rPr>
        <w:t>Point</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5"/>
        <w:gridCol w:w="2134"/>
        <w:gridCol w:w="1931"/>
        <w:gridCol w:w="2759"/>
      </w:tblGrid>
      <w:tr>
        <w:trPr>
          <w:trHeight w:val="551" w:hRule="atLeast"/>
        </w:trPr>
        <w:tc>
          <w:tcPr>
            <w:tcW w:w="8669" w:type="dxa"/>
            <w:gridSpan w:val="4"/>
            <w:tcBorders>
              <w:top w:val="single" w:sz="8" w:space="0" w:color="000000"/>
              <w:bottom w:val="single" w:sz="8" w:space="0" w:color="000000"/>
            </w:tcBorders>
          </w:tcPr>
          <w:p>
            <w:pPr>
              <w:pStyle w:val="TableParagraph"/>
              <w:spacing w:line="272" w:lineRule="exact"/>
              <w:ind w:left="3492"/>
              <w:rPr>
                <w:b/>
                <w:sz w:val="24"/>
              </w:rPr>
            </w:pPr>
            <w:r>
              <w:rPr>
                <w:b/>
                <w:sz w:val="24"/>
              </w:rPr>
              <w:t>Water</w:t>
            </w:r>
            <w:r>
              <w:rPr>
                <w:b/>
                <w:spacing w:val="-2"/>
                <w:sz w:val="24"/>
              </w:rPr>
              <w:t> </w:t>
            </w:r>
            <w:r>
              <w:rPr>
                <w:b/>
                <w:sz w:val="24"/>
              </w:rPr>
              <w:t>Conflict at</w:t>
            </w:r>
            <w:r>
              <w:rPr>
                <w:b/>
                <w:spacing w:val="-3"/>
                <w:sz w:val="24"/>
              </w:rPr>
              <w:t> </w:t>
            </w:r>
            <w:r>
              <w:rPr>
                <w:b/>
                <w:sz w:val="24"/>
              </w:rPr>
              <w:t>Water</w:t>
            </w:r>
            <w:r>
              <w:rPr>
                <w:b/>
                <w:spacing w:val="1"/>
                <w:sz w:val="24"/>
              </w:rPr>
              <w:t> </w:t>
            </w:r>
            <w:r>
              <w:rPr>
                <w:b/>
                <w:spacing w:val="-4"/>
                <w:sz w:val="24"/>
              </w:rPr>
              <w:t>Point</w:t>
            </w:r>
          </w:p>
        </w:tc>
      </w:tr>
      <w:tr>
        <w:trPr>
          <w:trHeight w:val="415" w:hRule="atLeast"/>
        </w:trPr>
        <w:tc>
          <w:tcPr>
            <w:tcW w:w="1845" w:type="dxa"/>
            <w:tcBorders>
              <w:top w:val="single" w:sz="8" w:space="0" w:color="000000"/>
            </w:tcBorders>
          </w:tcPr>
          <w:p>
            <w:pPr>
              <w:pStyle w:val="TableParagraph"/>
              <w:spacing w:line="275" w:lineRule="exact"/>
              <w:ind w:left="115"/>
              <w:rPr>
                <w:b/>
                <w:sz w:val="24"/>
              </w:rPr>
            </w:pPr>
            <w:r>
              <w:rPr>
                <w:b/>
                <w:spacing w:val="-2"/>
                <w:sz w:val="24"/>
              </w:rPr>
              <w:t>Response</w:t>
            </w:r>
          </w:p>
        </w:tc>
        <w:tc>
          <w:tcPr>
            <w:tcW w:w="2134" w:type="dxa"/>
            <w:tcBorders>
              <w:top w:val="single" w:sz="8" w:space="0" w:color="000000"/>
            </w:tcBorders>
          </w:tcPr>
          <w:p>
            <w:pPr>
              <w:pStyle w:val="TableParagraph"/>
              <w:spacing w:line="275" w:lineRule="exact"/>
              <w:ind w:left="345" w:right="1"/>
              <w:jc w:val="center"/>
              <w:rPr>
                <w:b/>
                <w:sz w:val="24"/>
              </w:rPr>
            </w:pPr>
            <w:r>
              <w:rPr>
                <w:b/>
                <w:spacing w:val="-2"/>
                <w:sz w:val="24"/>
              </w:rPr>
              <w:t>Queuing</w:t>
            </w:r>
          </w:p>
        </w:tc>
        <w:tc>
          <w:tcPr>
            <w:tcW w:w="1931" w:type="dxa"/>
            <w:tcBorders>
              <w:top w:val="single" w:sz="8" w:space="0" w:color="000000"/>
            </w:tcBorders>
          </w:tcPr>
          <w:p>
            <w:pPr>
              <w:pStyle w:val="TableParagraph"/>
              <w:spacing w:line="275" w:lineRule="exact"/>
              <w:ind w:left="58" w:right="1"/>
              <w:jc w:val="center"/>
              <w:rPr>
                <w:b/>
                <w:sz w:val="24"/>
              </w:rPr>
            </w:pPr>
            <w:r>
              <w:rPr>
                <w:b/>
                <w:sz w:val="24"/>
              </w:rPr>
              <w:t>Time</w:t>
            </w:r>
            <w:r>
              <w:rPr>
                <w:b/>
                <w:spacing w:val="-6"/>
                <w:sz w:val="24"/>
              </w:rPr>
              <w:t> </w:t>
            </w:r>
            <w:r>
              <w:rPr>
                <w:b/>
                <w:spacing w:val="-2"/>
                <w:sz w:val="24"/>
              </w:rPr>
              <w:t>spent</w:t>
            </w:r>
          </w:p>
        </w:tc>
        <w:tc>
          <w:tcPr>
            <w:tcW w:w="2759" w:type="dxa"/>
            <w:tcBorders>
              <w:top w:val="single" w:sz="8" w:space="0" w:color="000000"/>
            </w:tcBorders>
          </w:tcPr>
          <w:p>
            <w:pPr>
              <w:pStyle w:val="TableParagraph"/>
              <w:spacing w:line="275" w:lineRule="exact"/>
              <w:ind w:right="129"/>
              <w:jc w:val="center"/>
              <w:rPr>
                <w:b/>
                <w:sz w:val="24"/>
              </w:rPr>
            </w:pPr>
            <w:r>
              <w:rPr>
                <w:b/>
                <w:sz w:val="24"/>
              </w:rPr>
              <w:t>Quantity of</w:t>
            </w:r>
            <w:r>
              <w:rPr>
                <w:b/>
                <w:spacing w:val="1"/>
                <w:sz w:val="24"/>
              </w:rPr>
              <w:t> </w:t>
            </w:r>
            <w:r>
              <w:rPr>
                <w:b/>
                <w:spacing w:val="-2"/>
                <w:sz w:val="24"/>
              </w:rPr>
              <w:t>Water</w:t>
            </w:r>
          </w:p>
        </w:tc>
      </w:tr>
      <w:tr>
        <w:trPr>
          <w:trHeight w:val="551" w:hRule="atLeast"/>
        </w:trPr>
        <w:tc>
          <w:tcPr>
            <w:tcW w:w="1845" w:type="dxa"/>
          </w:tcPr>
          <w:p>
            <w:pPr>
              <w:pStyle w:val="TableParagraph"/>
              <w:spacing w:before="135"/>
              <w:ind w:left="115"/>
              <w:rPr>
                <w:b/>
                <w:sz w:val="24"/>
              </w:rPr>
            </w:pPr>
            <w:r>
              <w:rPr>
                <w:b/>
                <w:spacing w:val="-5"/>
                <w:sz w:val="24"/>
              </w:rPr>
              <w:t>Yes</w:t>
            </w:r>
          </w:p>
        </w:tc>
        <w:tc>
          <w:tcPr>
            <w:tcW w:w="2134" w:type="dxa"/>
          </w:tcPr>
          <w:p>
            <w:pPr>
              <w:pStyle w:val="TableParagraph"/>
              <w:spacing w:before="130"/>
              <w:ind w:left="345" w:right="2"/>
              <w:jc w:val="center"/>
              <w:rPr>
                <w:sz w:val="24"/>
              </w:rPr>
            </w:pPr>
            <w:r>
              <w:rPr>
                <w:spacing w:val="-2"/>
                <w:sz w:val="24"/>
              </w:rPr>
              <w:t>73(75.00)</w:t>
            </w:r>
          </w:p>
        </w:tc>
        <w:tc>
          <w:tcPr>
            <w:tcW w:w="1931" w:type="dxa"/>
          </w:tcPr>
          <w:p>
            <w:pPr>
              <w:pStyle w:val="TableParagraph"/>
              <w:spacing w:before="130"/>
              <w:ind w:left="58" w:right="2"/>
              <w:jc w:val="center"/>
              <w:rPr>
                <w:sz w:val="24"/>
              </w:rPr>
            </w:pPr>
            <w:r>
              <w:rPr>
                <w:spacing w:val="-2"/>
                <w:sz w:val="24"/>
              </w:rPr>
              <w:t>53(55.00)</w:t>
            </w:r>
          </w:p>
        </w:tc>
        <w:tc>
          <w:tcPr>
            <w:tcW w:w="2759" w:type="dxa"/>
          </w:tcPr>
          <w:p>
            <w:pPr>
              <w:pStyle w:val="TableParagraph"/>
              <w:spacing w:before="130"/>
              <w:ind w:left="1" w:right="129"/>
              <w:jc w:val="center"/>
              <w:rPr>
                <w:sz w:val="24"/>
              </w:rPr>
            </w:pPr>
            <w:r>
              <w:rPr>
                <w:spacing w:val="-2"/>
                <w:sz w:val="24"/>
              </w:rPr>
              <w:t>44(45.00)</w:t>
            </w:r>
          </w:p>
        </w:tc>
      </w:tr>
      <w:tr>
        <w:trPr>
          <w:trHeight w:val="550" w:hRule="atLeast"/>
        </w:trPr>
        <w:tc>
          <w:tcPr>
            <w:tcW w:w="1845" w:type="dxa"/>
          </w:tcPr>
          <w:p>
            <w:pPr>
              <w:pStyle w:val="TableParagraph"/>
              <w:spacing w:before="135"/>
              <w:ind w:left="115"/>
              <w:rPr>
                <w:b/>
                <w:sz w:val="24"/>
              </w:rPr>
            </w:pPr>
            <w:r>
              <w:rPr>
                <w:b/>
                <w:spacing w:val="-5"/>
                <w:sz w:val="24"/>
              </w:rPr>
              <w:t>No</w:t>
            </w:r>
          </w:p>
        </w:tc>
        <w:tc>
          <w:tcPr>
            <w:tcW w:w="2134" w:type="dxa"/>
          </w:tcPr>
          <w:p>
            <w:pPr>
              <w:pStyle w:val="TableParagraph"/>
              <w:spacing w:before="130"/>
              <w:ind w:left="345" w:right="2"/>
              <w:jc w:val="center"/>
              <w:rPr>
                <w:sz w:val="24"/>
              </w:rPr>
            </w:pPr>
            <w:r>
              <w:rPr>
                <w:spacing w:val="-2"/>
                <w:sz w:val="24"/>
              </w:rPr>
              <w:t>24(25.00)</w:t>
            </w:r>
          </w:p>
        </w:tc>
        <w:tc>
          <w:tcPr>
            <w:tcW w:w="1931" w:type="dxa"/>
          </w:tcPr>
          <w:p>
            <w:pPr>
              <w:pStyle w:val="TableParagraph"/>
              <w:spacing w:before="130"/>
              <w:ind w:left="58" w:right="2"/>
              <w:jc w:val="center"/>
              <w:rPr>
                <w:sz w:val="24"/>
              </w:rPr>
            </w:pPr>
            <w:r>
              <w:rPr>
                <w:spacing w:val="-2"/>
                <w:sz w:val="24"/>
              </w:rPr>
              <w:t>44(45.00)</w:t>
            </w:r>
          </w:p>
        </w:tc>
        <w:tc>
          <w:tcPr>
            <w:tcW w:w="2759" w:type="dxa"/>
          </w:tcPr>
          <w:p>
            <w:pPr>
              <w:pStyle w:val="TableParagraph"/>
              <w:spacing w:before="130"/>
              <w:ind w:left="1" w:right="129"/>
              <w:jc w:val="center"/>
              <w:rPr>
                <w:sz w:val="24"/>
              </w:rPr>
            </w:pPr>
            <w:r>
              <w:rPr>
                <w:spacing w:val="-2"/>
                <w:sz w:val="24"/>
              </w:rPr>
              <w:t>53(55.00)</w:t>
            </w:r>
          </w:p>
        </w:tc>
      </w:tr>
      <w:tr>
        <w:trPr>
          <w:trHeight w:val="691" w:hRule="atLeast"/>
        </w:trPr>
        <w:tc>
          <w:tcPr>
            <w:tcW w:w="1845" w:type="dxa"/>
            <w:tcBorders>
              <w:bottom w:val="single" w:sz="8" w:space="0" w:color="000000"/>
            </w:tcBorders>
          </w:tcPr>
          <w:p>
            <w:pPr>
              <w:pStyle w:val="TableParagraph"/>
              <w:spacing w:before="134"/>
              <w:ind w:left="115"/>
              <w:rPr>
                <w:b/>
                <w:sz w:val="24"/>
              </w:rPr>
            </w:pPr>
            <w:r>
              <w:rPr>
                <w:b/>
                <w:spacing w:val="-2"/>
                <w:sz w:val="24"/>
              </w:rPr>
              <w:t>Total</w:t>
            </w:r>
          </w:p>
        </w:tc>
        <w:tc>
          <w:tcPr>
            <w:tcW w:w="2134" w:type="dxa"/>
            <w:tcBorders>
              <w:bottom w:val="single" w:sz="8" w:space="0" w:color="000000"/>
            </w:tcBorders>
          </w:tcPr>
          <w:p>
            <w:pPr>
              <w:pStyle w:val="TableParagraph"/>
              <w:spacing w:before="129"/>
              <w:ind w:left="345"/>
              <w:jc w:val="center"/>
              <w:rPr>
                <w:sz w:val="24"/>
              </w:rPr>
            </w:pPr>
            <w:r>
              <w:rPr>
                <w:spacing w:val="-5"/>
                <w:sz w:val="24"/>
              </w:rPr>
              <w:t>97</w:t>
            </w:r>
          </w:p>
        </w:tc>
        <w:tc>
          <w:tcPr>
            <w:tcW w:w="1931" w:type="dxa"/>
            <w:tcBorders>
              <w:bottom w:val="single" w:sz="8" w:space="0" w:color="000000"/>
            </w:tcBorders>
          </w:tcPr>
          <w:p>
            <w:pPr>
              <w:pStyle w:val="TableParagraph"/>
              <w:spacing w:before="129"/>
              <w:ind w:left="58"/>
              <w:jc w:val="center"/>
              <w:rPr>
                <w:sz w:val="24"/>
              </w:rPr>
            </w:pPr>
            <w:r>
              <w:rPr>
                <w:spacing w:val="-5"/>
                <w:sz w:val="24"/>
              </w:rPr>
              <w:t>97</w:t>
            </w:r>
          </w:p>
        </w:tc>
        <w:tc>
          <w:tcPr>
            <w:tcW w:w="2759" w:type="dxa"/>
            <w:tcBorders>
              <w:bottom w:val="single" w:sz="8" w:space="0" w:color="000000"/>
            </w:tcBorders>
          </w:tcPr>
          <w:p>
            <w:pPr>
              <w:pStyle w:val="TableParagraph"/>
              <w:spacing w:before="129"/>
              <w:ind w:left="4" w:right="129"/>
              <w:jc w:val="center"/>
              <w:rPr>
                <w:sz w:val="24"/>
              </w:rPr>
            </w:pPr>
            <w:r>
              <w:rPr>
                <w:spacing w:val="-5"/>
                <w:sz w:val="24"/>
              </w:rPr>
              <w:t>97</w:t>
            </w:r>
          </w:p>
        </w:tc>
      </w:tr>
    </w:tbl>
    <w:p>
      <w:pPr>
        <w:pStyle w:val="BodyText"/>
        <w:spacing w:before="234"/>
        <w:rPr>
          <w:b/>
        </w:rPr>
      </w:pPr>
    </w:p>
    <w:p>
      <w:pPr>
        <w:pStyle w:val="BodyText"/>
        <w:spacing w:line="480" w:lineRule="auto"/>
        <w:ind w:left="267" w:right="731"/>
        <w:jc w:val="both"/>
      </w:pPr>
      <w:r>
        <w:rPr/>
        <w:t>Water</w:t>
      </w:r>
      <w:r>
        <w:rPr>
          <w:spacing w:val="-3"/>
        </w:rPr>
        <w:t> </w:t>
      </w:r>
      <w:r>
        <w:rPr/>
        <w:t>conflicts</w:t>
      </w:r>
      <w:r>
        <w:rPr>
          <w:spacing w:val="-1"/>
        </w:rPr>
        <w:t> </w:t>
      </w:r>
      <w:r>
        <w:rPr/>
        <w:t>at</w:t>
      </w:r>
      <w:r>
        <w:rPr>
          <w:spacing w:val="-1"/>
        </w:rPr>
        <w:t> </w:t>
      </w:r>
      <w:r>
        <w:rPr/>
        <w:t>water point</w:t>
      </w:r>
      <w:r>
        <w:rPr>
          <w:spacing w:val="-1"/>
        </w:rPr>
        <w:t> </w:t>
      </w:r>
      <w:r>
        <w:rPr/>
        <w:t>outside</w:t>
      </w:r>
      <w:r>
        <w:rPr>
          <w:spacing w:val="-2"/>
        </w:rPr>
        <w:t> </w:t>
      </w:r>
      <w:r>
        <w:rPr/>
        <w:t>household</w:t>
      </w:r>
      <w:r>
        <w:rPr>
          <w:spacing w:val="-3"/>
        </w:rPr>
        <w:t> </w:t>
      </w:r>
      <w:r>
        <w:rPr/>
        <w:t>premises</w:t>
      </w:r>
      <w:r>
        <w:rPr>
          <w:spacing w:val="-1"/>
        </w:rPr>
        <w:t> </w:t>
      </w:r>
      <w:r>
        <w:rPr/>
        <w:t>implied</w:t>
      </w:r>
      <w:r>
        <w:rPr>
          <w:spacing w:val="-1"/>
        </w:rPr>
        <w:t> </w:t>
      </w:r>
      <w:r>
        <w:rPr/>
        <w:t>that</w:t>
      </w:r>
      <w:r>
        <w:rPr>
          <w:spacing w:val="-1"/>
        </w:rPr>
        <w:t> </w:t>
      </w:r>
      <w:r>
        <w:rPr/>
        <w:t>water</w:t>
      </w:r>
      <w:r>
        <w:rPr>
          <w:spacing w:val="-3"/>
        </w:rPr>
        <w:t> </w:t>
      </w:r>
      <w:r>
        <w:rPr/>
        <w:t>supplies</w:t>
      </w:r>
      <w:r>
        <w:rPr>
          <w:spacing w:val="-2"/>
        </w:rPr>
        <w:t> </w:t>
      </w:r>
      <w:r>
        <w:rPr/>
        <w:t>in</w:t>
      </w:r>
      <w:r>
        <w:rPr>
          <w:spacing w:val="-1"/>
        </w:rPr>
        <w:t> </w:t>
      </w:r>
      <w:r>
        <w:rPr/>
        <w:t>the study area are not sustainable. This result is further evidence that at least a segment of household in the study area is not water secured and suffered from water scarcity/stress.</w:t>
      </w:r>
    </w:p>
    <w:p>
      <w:pPr>
        <w:pStyle w:val="BodyText"/>
        <w:spacing w:before="5"/>
      </w:pPr>
    </w:p>
    <w:p>
      <w:pPr>
        <w:pStyle w:val="Heading1"/>
        <w:numPr>
          <w:ilvl w:val="5"/>
          <w:numId w:val="11"/>
        </w:numPr>
        <w:tabs>
          <w:tab w:pos="1766" w:val="left" w:leader="none"/>
        </w:tabs>
        <w:spacing w:line="240" w:lineRule="auto" w:before="0" w:after="0"/>
        <w:ind w:left="1766" w:right="0" w:hanging="1499"/>
        <w:jc w:val="both"/>
      </w:pPr>
      <w:r>
        <w:rPr/>
        <w:t>Occurrence</w:t>
      </w:r>
      <w:r>
        <w:rPr>
          <w:spacing w:val="-2"/>
        </w:rPr>
        <w:t> </w:t>
      </w:r>
      <w:r>
        <w:rPr/>
        <w:t>of water</w:t>
      </w:r>
      <w:r>
        <w:rPr>
          <w:spacing w:val="-2"/>
        </w:rPr>
        <w:t> </w:t>
      </w:r>
      <w:r>
        <w:rPr/>
        <w:t>conflict</w:t>
      </w:r>
      <w:r>
        <w:rPr>
          <w:spacing w:val="-3"/>
        </w:rPr>
        <w:t> </w:t>
      </w:r>
      <w:r>
        <w:rPr/>
        <w:t>at</w:t>
      </w:r>
      <w:r>
        <w:rPr>
          <w:spacing w:val="-1"/>
        </w:rPr>
        <w:t> </w:t>
      </w:r>
      <w:r>
        <w:rPr/>
        <w:t>water</w:t>
      </w:r>
      <w:r>
        <w:rPr>
          <w:spacing w:val="-2"/>
        </w:rPr>
        <w:t> point</w:t>
      </w:r>
    </w:p>
    <w:p>
      <w:pPr>
        <w:pStyle w:val="BodyText"/>
        <w:spacing w:line="480" w:lineRule="auto" w:before="271"/>
        <w:ind w:left="267" w:right="728"/>
        <w:jc w:val="both"/>
      </w:pPr>
      <w:r>
        <w:rPr/>
        <w:t>Figure 4.9 provides the occurrence level of water conflicts at water points outside house premises in the study area. As shown in figure 4.9, 58(59.80%) of the respondents reported that water conflicts often occurred</w:t>
      </w:r>
      <w:r>
        <w:rPr>
          <w:spacing w:val="80"/>
        </w:rPr>
        <w:t> </w:t>
      </w:r>
      <w:r>
        <w:rPr/>
        <w:t>at water points outside house premises, whereas 32 (33.00%) of the respondents reported that the occurrence level was occasional. Only 7(7.20%)</w:t>
      </w:r>
      <w:r>
        <w:rPr>
          <w:spacing w:val="-7"/>
        </w:rPr>
        <w:t> </w:t>
      </w:r>
      <w:r>
        <w:rPr/>
        <w:t>of</w:t>
      </w:r>
      <w:r>
        <w:rPr>
          <w:spacing w:val="-7"/>
        </w:rPr>
        <w:t> </w:t>
      </w:r>
      <w:r>
        <w:rPr/>
        <w:t>the</w:t>
      </w:r>
      <w:r>
        <w:rPr>
          <w:spacing w:val="-6"/>
        </w:rPr>
        <w:t> </w:t>
      </w:r>
      <w:r>
        <w:rPr/>
        <w:t>respondents</w:t>
      </w:r>
      <w:r>
        <w:rPr>
          <w:spacing w:val="-5"/>
        </w:rPr>
        <w:t> </w:t>
      </w:r>
      <w:r>
        <w:rPr/>
        <w:t>however</w:t>
      </w:r>
      <w:r>
        <w:rPr>
          <w:spacing w:val="-7"/>
        </w:rPr>
        <w:t> </w:t>
      </w:r>
      <w:r>
        <w:rPr/>
        <w:t>reported</w:t>
      </w:r>
      <w:r>
        <w:rPr>
          <w:spacing w:val="-6"/>
        </w:rPr>
        <w:t> </w:t>
      </w:r>
      <w:r>
        <w:rPr/>
        <w:t>that</w:t>
      </w:r>
      <w:r>
        <w:rPr>
          <w:spacing w:val="-4"/>
        </w:rPr>
        <w:t> </w:t>
      </w:r>
      <w:r>
        <w:rPr/>
        <w:t>water</w:t>
      </w:r>
      <w:r>
        <w:rPr>
          <w:spacing w:val="-7"/>
        </w:rPr>
        <w:t> </w:t>
      </w:r>
      <w:r>
        <w:rPr/>
        <w:t>conflicts</w:t>
      </w:r>
      <w:r>
        <w:rPr>
          <w:spacing w:val="-5"/>
        </w:rPr>
        <w:t> </w:t>
      </w:r>
      <w:r>
        <w:rPr/>
        <w:t>occurred</w:t>
      </w:r>
      <w:r>
        <w:rPr>
          <w:spacing w:val="-3"/>
        </w:rPr>
        <w:t> </w:t>
      </w:r>
      <w:r>
        <w:rPr/>
        <w:t>on</w:t>
      </w:r>
      <w:r>
        <w:rPr>
          <w:spacing w:val="-6"/>
        </w:rPr>
        <w:t> </w:t>
      </w:r>
      <w:r>
        <w:rPr/>
        <w:t>daily</w:t>
      </w:r>
      <w:r>
        <w:rPr>
          <w:spacing w:val="-11"/>
        </w:rPr>
        <w:t> </w:t>
      </w:r>
      <w:r>
        <w:rPr/>
        <w:t>basis</w:t>
      </w:r>
      <w:r>
        <w:rPr>
          <w:spacing w:val="-5"/>
        </w:rPr>
        <w:t> </w:t>
      </w:r>
      <w:r>
        <w:rPr/>
        <w:t>at water</w:t>
      </w:r>
      <w:r>
        <w:rPr>
          <w:spacing w:val="-9"/>
        </w:rPr>
        <w:t> </w:t>
      </w:r>
      <w:r>
        <w:rPr/>
        <w:t>points</w:t>
      </w:r>
      <w:r>
        <w:rPr>
          <w:spacing w:val="-8"/>
        </w:rPr>
        <w:t> </w:t>
      </w:r>
      <w:r>
        <w:rPr/>
        <w:t>outside</w:t>
      </w:r>
      <w:r>
        <w:rPr>
          <w:spacing w:val="-9"/>
        </w:rPr>
        <w:t> </w:t>
      </w:r>
      <w:r>
        <w:rPr/>
        <w:t>household</w:t>
      </w:r>
      <w:r>
        <w:rPr>
          <w:spacing w:val="-8"/>
        </w:rPr>
        <w:t> </w:t>
      </w:r>
      <w:r>
        <w:rPr/>
        <w:t>premises.</w:t>
      </w:r>
      <w:r>
        <w:rPr>
          <w:spacing w:val="-8"/>
        </w:rPr>
        <w:t> </w:t>
      </w:r>
      <w:r>
        <w:rPr/>
        <w:t>Based</w:t>
      </w:r>
      <w:r>
        <w:rPr>
          <w:spacing w:val="-8"/>
        </w:rPr>
        <w:t> </w:t>
      </w:r>
      <w:r>
        <w:rPr/>
        <w:t>on</w:t>
      </w:r>
      <w:r>
        <w:rPr>
          <w:spacing w:val="-8"/>
        </w:rPr>
        <w:t> </w:t>
      </w:r>
      <w:r>
        <w:rPr/>
        <w:t>the</w:t>
      </w:r>
      <w:r>
        <w:rPr>
          <w:spacing w:val="-9"/>
        </w:rPr>
        <w:t> </w:t>
      </w:r>
      <w:r>
        <w:rPr/>
        <w:t>preponderance</w:t>
      </w:r>
      <w:r>
        <w:rPr>
          <w:spacing w:val="-9"/>
        </w:rPr>
        <w:t> </w:t>
      </w:r>
      <w:r>
        <w:rPr/>
        <w:t>of</w:t>
      </w:r>
      <w:r>
        <w:rPr>
          <w:spacing w:val="-7"/>
        </w:rPr>
        <w:t> </w:t>
      </w:r>
      <w:r>
        <w:rPr/>
        <w:t>responses,</w:t>
      </w:r>
      <w:r>
        <w:rPr>
          <w:spacing w:val="-8"/>
        </w:rPr>
        <w:t> </w:t>
      </w:r>
      <w:r>
        <w:rPr/>
        <w:t>it</w:t>
      </w:r>
      <w:r>
        <w:rPr>
          <w:spacing w:val="-8"/>
        </w:rPr>
        <w:t> </w:t>
      </w:r>
      <w:r>
        <w:rPr/>
        <w:t>can</w:t>
      </w:r>
      <w:r>
        <w:rPr>
          <w:spacing w:val="-8"/>
        </w:rPr>
        <w:t> </w:t>
      </w:r>
      <w:r>
        <w:rPr/>
        <w:t>be surmised that water conflict at water points outside house premises occurred often in the study</w:t>
      </w:r>
      <w:r>
        <w:rPr>
          <w:spacing w:val="-12"/>
        </w:rPr>
        <w:t> </w:t>
      </w:r>
      <w:r>
        <w:rPr/>
        <w:t>area.</w:t>
      </w:r>
      <w:r>
        <w:rPr>
          <w:spacing w:val="-5"/>
        </w:rPr>
        <w:t> </w:t>
      </w:r>
      <w:r>
        <w:rPr/>
        <w:t>However,</w:t>
      </w:r>
      <w:r>
        <w:rPr>
          <w:spacing w:val="-6"/>
        </w:rPr>
        <w:t> </w:t>
      </w:r>
      <w:r>
        <w:rPr/>
        <w:t>such</w:t>
      </w:r>
      <w:r>
        <w:rPr>
          <w:spacing w:val="-7"/>
        </w:rPr>
        <w:t> </w:t>
      </w:r>
      <w:r>
        <w:rPr/>
        <w:t>level</w:t>
      </w:r>
      <w:r>
        <w:rPr>
          <w:spacing w:val="-7"/>
        </w:rPr>
        <w:t> </w:t>
      </w:r>
      <w:r>
        <w:rPr/>
        <w:t>of</w:t>
      </w:r>
      <w:r>
        <w:rPr>
          <w:spacing w:val="-8"/>
        </w:rPr>
        <w:t> </w:t>
      </w:r>
      <w:r>
        <w:rPr/>
        <w:t>occurrence</w:t>
      </w:r>
      <w:r>
        <w:rPr>
          <w:spacing w:val="-8"/>
        </w:rPr>
        <w:t> </w:t>
      </w:r>
      <w:r>
        <w:rPr/>
        <w:t>depicts</w:t>
      </w:r>
      <w:r>
        <w:rPr>
          <w:spacing w:val="-7"/>
        </w:rPr>
        <w:t> </w:t>
      </w:r>
      <w:r>
        <w:rPr/>
        <w:t>a</w:t>
      </w:r>
      <w:r>
        <w:rPr>
          <w:spacing w:val="-8"/>
        </w:rPr>
        <w:t> </w:t>
      </w:r>
      <w:r>
        <w:rPr/>
        <w:t>clear</w:t>
      </w:r>
      <w:r>
        <w:rPr>
          <w:spacing w:val="-8"/>
        </w:rPr>
        <w:t> </w:t>
      </w:r>
      <w:r>
        <w:rPr/>
        <w:t>manifestation</w:t>
      </w:r>
      <w:r>
        <w:rPr>
          <w:spacing w:val="-4"/>
        </w:rPr>
        <w:t> </w:t>
      </w:r>
      <w:r>
        <w:rPr/>
        <w:t>of</w:t>
      </w:r>
      <w:r>
        <w:rPr>
          <w:spacing w:val="-8"/>
        </w:rPr>
        <w:t> </w:t>
      </w:r>
      <w:r>
        <w:rPr/>
        <w:t>water</w:t>
      </w:r>
      <w:r>
        <w:rPr>
          <w:spacing w:val="-8"/>
        </w:rPr>
        <w:t> </w:t>
      </w:r>
      <w:r>
        <w:rPr/>
        <w:t>scarcity in the study area.</w:t>
      </w:r>
    </w:p>
    <w:p>
      <w:pPr>
        <w:spacing w:after="0" w:line="480" w:lineRule="auto"/>
        <w:jc w:val="both"/>
        <w:sectPr>
          <w:pgSz w:w="12240" w:h="15840"/>
          <w:pgMar w:header="0" w:footer="1068" w:top="1340" w:bottom="1260" w:left="1720" w:right="680"/>
        </w:sectPr>
      </w:pPr>
    </w:p>
    <w:p>
      <w:pPr>
        <w:pStyle w:val="BodyText"/>
        <w:ind w:left="317"/>
        <w:rPr>
          <w:sz w:val="20"/>
        </w:rPr>
      </w:pPr>
      <w:r>
        <w:rPr>
          <w:sz w:val="20"/>
        </w:rPr>
        <w:drawing>
          <wp:inline distT="0" distB="0" distL="0" distR="0">
            <wp:extent cx="5520860" cy="2614612"/>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5" cstate="print"/>
                    <a:stretch>
                      <a:fillRect/>
                    </a:stretch>
                  </pic:blipFill>
                  <pic:spPr>
                    <a:xfrm>
                      <a:off x="0" y="0"/>
                      <a:ext cx="5520860" cy="2614612"/>
                    </a:xfrm>
                    <a:prstGeom prst="rect">
                      <a:avLst/>
                    </a:prstGeom>
                  </pic:spPr>
                </pic:pic>
              </a:graphicData>
            </a:graphic>
          </wp:inline>
        </w:drawing>
      </w:r>
      <w:r>
        <w:rPr>
          <w:sz w:val="20"/>
        </w:rPr>
      </w:r>
    </w:p>
    <w:p>
      <w:pPr>
        <w:pStyle w:val="Heading1"/>
        <w:spacing w:before="18"/>
        <w:ind w:left="812"/>
      </w:pPr>
      <w:r>
        <w:rPr/>
        <w:t>Figure</w:t>
      </w:r>
      <w:r>
        <w:rPr>
          <w:spacing w:val="-3"/>
        </w:rPr>
        <w:t> </w:t>
      </w:r>
      <w:r>
        <w:rPr/>
        <w:t>4.9:</w:t>
      </w:r>
      <w:r>
        <w:rPr>
          <w:spacing w:val="-1"/>
        </w:rPr>
        <w:t> </w:t>
      </w:r>
      <w:r>
        <w:rPr/>
        <w:t>Occurrence of</w:t>
      </w:r>
      <w:r>
        <w:rPr>
          <w:spacing w:val="-1"/>
        </w:rPr>
        <w:t> </w:t>
      </w:r>
      <w:r>
        <w:rPr/>
        <w:t>Water</w:t>
      </w:r>
      <w:r>
        <w:rPr>
          <w:spacing w:val="-2"/>
        </w:rPr>
        <w:t> </w:t>
      </w:r>
      <w:r>
        <w:rPr/>
        <w:t>Conflict</w:t>
      </w:r>
      <w:r>
        <w:rPr>
          <w:spacing w:val="-1"/>
        </w:rPr>
        <w:t> </w:t>
      </w:r>
      <w:r>
        <w:rPr/>
        <w:t>at</w:t>
      </w:r>
      <w:r>
        <w:rPr>
          <w:spacing w:val="-4"/>
        </w:rPr>
        <w:t> </w:t>
      </w:r>
      <w:r>
        <w:rPr/>
        <w:t>Water</w:t>
      </w:r>
      <w:r>
        <w:rPr>
          <w:spacing w:val="3"/>
        </w:rPr>
        <w:t> </w:t>
      </w:r>
      <w:r>
        <w:rPr/>
        <w:t>Points</w:t>
      </w:r>
      <w:r>
        <w:rPr>
          <w:spacing w:val="-1"/>
        </w:rPr>
        <w:t> </w:t>
      </w:r>
      <w:r>
        <w:rPr/>
        <w:t>Outside</w:t>
      </w:r>
      <w:r>
        <w:rPr>
          <w:spacing w:val="-2"/>
        </w:rPr>
        <w:t> Premises</w:t>
      </w:r>
    </w:p>
    <w:p>
      <w:pPr>
        <w:pStyle w:val="BodyText"/>
        <w:rPr>
          <w:b/>
        </w:rPr>
      </w:pPr>
    </w:p>
    <w:p>
      <w:pPr>
        <w:pStyle w:val="BodyText"/>
        <w:spacing w:before="242"/>
        <w:rPr>
          <w:b/>
        </w:rPr>
      </w:pPr>
    </w:p>
    <w:p>
      <w:pPr>
        <w:pStyle w:val="ListParagraph"/>
        <w:numPr>
          <w:ilvl w:val="3"/>
          <w:numId w:val="11"/>
        </w:numPr>
        <w:tabs>
          <w:tab w:pos="1106" w:val="left" w:leader="none"/>
        </w:tabs>
        <w:spacing w:line="240" w:lineRule="auto" w:before="0" w:after="0"/>
        <w:ind w:left="1106" w:right="0" w:hanging="839"/>
        <w:jc w:val="left"/>
        <w:rPr>
          <w:b/>
          <w:sz w:val="24"/>
        </w:rPr>
      </w:pPr>
      <w:r>
        <w:rPr>
          <w:b/>
          <w:sz w:val="24"/>
        </w:rPr>
        <w:t>Household</w:t>
      </w:r>
      <w:r>
        <w:rPr>
          <w:b/>
          <w:spacing w:val="-2"/>
          <w:sz w:val="24"/>
        </w:rPr>
        <w:t> </w:t>
      </w:r>
      <w:r>
        <w:rPr>
          <w:b/>
          <w:sz w:val="24"/>
        </w:rPr>
        <w:t>water</w:t>
      </w:r>
      <w:r>
        <w:rPr>
          <w:b/>
          <w:spacing w:val="-2"/>
          <w:sz w:val="24"/>
        </w:rPr>
        <w:t> </w:t>
      </w:r>
      <w:r>
        <w:rPr>
          <w:b/>
          <w:sz w:val="24"/>
        </w:rPr>
        <w:t>coping</w:t>
      </w:r>
      <w:r>
        <w:rPr>
          <w:b/>
          <w:spacing w:val="-1"/>
          <w:sz w:val="24"/>
        </w:rPr>
        <w:t> </w:t>
      </w:r>
      <w:r>
        <w:rPr>
          <w:b/>
          <w:spacing w:val="-2"/>
          <w:sz w:val="24"/>
        </w:rPr>
        <w:t>costs</w:t>
      </w:r>
    </w:p>
    <w:p>
      <w:pPr>
        <w:pStyle w:val="BodyText"/>
        <w:spacing w:before="96"/>
        <w:rPr>
          <w:b/>
        </w:rPr>
      </w:pPr>
    </w:p>
    <w:p>
      <w:pPr>
        <w:pStyle w:val="BodyText"/>
        <w:spacing w:line="480" w:lineRule="auto"/>
        <w:ind w:left="267" w:right="729"/>
        <w:jc w:val="both"/>
      </w:pPr>
      <w:r>
        <w:rPr/>
        <w:t>Table 4.16 shows households monthly coping cost for unreliable water supply in the study. As</w:t>
      </w:r>
      <w:r>
        <w:rPr>
          <w:spacing w:val="-15"/>
        </w:rPr>
        <w:t> </w:t>
      </w:r>
      <w:r>
        <w:rPr/>
        <w:t>shown</w:t>
      </w:r>
      <w:r>
        <w:rPr>
          <w:spacing w:val="-13"/>
        </w:rPr>
        <w:t> </w:t>
      </w:r>
      <w:r>
        <w:rPr/>
        <w:t>in</w:t>
      </w:r>
      <w:r>
        <w:rPr>
          <w:spacing w:val="-13"/>
        </w:rPr>
        <w:t> </w:t>
      </w:r>
      <w:r>
        <w:rPr/>
        <w:t>Table</w:t>
      </w:r>
      <w:r>
        <w:rPr>
          <w:spacing w:val="-14"/>
        </w:rPr>
        <w:t> </w:t>
      </w:r>
      <w:r>
        <w:rPr/>
        <w:t>4.16,</w:t>
      </w:r>
      <w:r>
        <w:rPr>
          <w:spacing w:val="-13"/>
        </w:rPr>
        <w:t> </w:t>
      </w:r>
      <w:r>
        <w:rPr/>
        <w:t>the</w:t>
      </w:r>
      <w:r>
        <w:rPr>
          <w:spacing w:val="-14"/>
        </w:rPr>
        <w:t> </w:t>
      </w:r>
      <w:r>
        <w:rPr/>
        <w:t>average</w:t>
      </w:r>
      <w:r>
        <w:rPr>
          <w:spacing w:val="-14"/>
        </w:rPr>
        <w:t> </w:t>
      </w:r>
      <w:r>
        <w:rPr/>
        <w:t>monthly</w:t>
      </w:r>
      <w:r>
        <w:rPr>
          <w:spacing w:val="-15"/>
        </w:rPr>
        <w:t> </w:t>
      </w:r>
      <w:r>
        <w:rPr/>
        <w:t>household</w:t>
      </w:r>
      <w:r>
        <w:rPr>
          <w:spacing w:val="-13"/>
        </w:rPr>
        <w:t> </w:t>
      </w:r>
      <w:r>
        <w:rPr/>
        <w:t>expenditure</w:t>
      </w:r>
      <w:r>
        <w:rPr>
          <w:spacing w:val="-15"/>
        </w:rPr>
        <w:t> </w:t>
      </w:r>
      <w:r>
        <w:rPr/>
        <w:t>in</w:t>
      </w:r>
      <w:r>
        <w:rPr>
          <w:spacing w:val="-13"/>
        </w:rPr>
        <w:t> </w:t>
      </w:r>
      <w:r>
        <w:rPr/>
        <w:t>coping</w:t>
      </w:r>
      <w:r>
        <w:rPr>
          <w:spacing w:val="-15"/>
        </w:rPr>
        <w:t> </w:t>
      </w:r>
      <w:r>
        <w:rPr/>
        <w:t>with</w:t>
      </w:r>
      <w:r>
        <w:rPr>
          <w:spacing w:val="-13"/>
        </w:rPr>
        <w:t> </w:t>
      </w:r>
      <w:r>
        <w:rPr/>
        <w:t>exposure to</w:t>
      </w:r>
      <w:r>
        <w:rPr>
          <w:spacing w:val="28"/>
        </w:rPr>
        <w:t> </w:t>
      </w:r>
      <w:r>
        <w:rPr/>
        <w:t>unreliable</w:t>
      </w:r>
      <w:r>
        <w:rPr>
          <w:spacing w:val="28"/>
        </w:rPr>
        <w:t> </w:t>
      </w:r>
      <w:r>
        <w:rPr/>
        <w:t>drinking</w:t>
      </w:r>
      <w:r>
        <w:rPr>
          <w:spacing w:val="26"/>
        </w:rPr>
        <w:t> </w:t>
      </w:r>
      <w:r>
        <w:rPr/>
        <w:t>water</w:t>
      </w:r>
      <w:r>
        <w:rPr>
          <w:spacing w:val="27"/>
        </w:rPr>
        <w:t> </w:t>
      </w:r>
      <w:r>
        <w:rPr/>
        <w:t>was</w:t>
      </w:r>
      <w:r>
        <w:rPr>
          <w:spacing w:val="30"/>
        </w:rPr>
        <w:t> </w:t>
      </w:r>
      <w:r>
        <w:rPr>
          <w:dstrike/>
        </w:rPr>
        <w:t>N</w:t>
      </w:r>
      <w:r>
        <w:rPr>
          <w:strike w:val="0"/>
          <w:spacing w:val="28"/>
        </w:rPr>
        <w:t> </w:t>
      </w:r>
      <w:r>
        <w:rPr>
          <w:strike w:val="0"/>
        </w:rPr>
        <w:t>4164,</w:t>
      </w:r>
      <w:r>
        <w:rPr>
          <w:strike w:val="0"/>
          <w:spacing w:val="28"/>
        </w:rPr>
        <w:t> </w:t>
      </w:r>
      <w:r>
        <w:rPr>
          <w:strike w:val="0"/>
        </w:rPr>
        <w:t>while</w:t>
      </w:r>
      <w:r>
        <w:rPr>
          <w:strike w:val="0"/>
          <w:spacing w:val="30"/>
        </w:rPr>
        <w:t> </w:t>
      </w:r>
      <w:r>
        <w:rPr>
          <w:strike w:val="0"/>
        </w:rPr>
        <w:t>the</w:t>
      </w:r>
      <w:r>
        <w:rPr>
          <w:strike w:val="0"/>
          <w:spacing w:val="28"/>
        </w:rPr>
        <w:t> </w:t>
      </w:r>
      <w:r>
        <w:rPr>
          <w:strike w:val="0"/>
        </w:rPr>
        <w:t>equivalent</w:t>
      </w:r>
      <w:r>
        <w:rPr>
          <w:strike w:val="0"/>
          <w:spacing w:val="29"/>
        </w:rPr>
        <w:t> </w:t>
      </w:r>
      <w:r>
        <w:rPr>
          <w:strike w:val="0"/>
        </w:rPr>
        <w:t>coping</w:t>
      </w:r>
      <w:r>
        <w:rPr>
          <w:strike w:val="0"/>
          <w:spacing w:val="28"/>
        </w:rPr>
        <w:t> </w:t>
      </w:r>
      <w:r>
        <w:rPr>
          <w:strike w:val="0"/>
        </w:rPr>
        <w:t>costs</w:t>
      </w:r>
      <w:r>
        <w:rPr>
          <w:strike w:val="0"/>
          <w:spacing w:val="29"/>
        </w:rPr>
        <w:t> </w:t>
      </w:r>
      <w:r>
        <w:rPr>
          <w:strike w:val="0"/>
        </w:rPr>
        <w:t>for</w:t>
      </w:r>
      <w:r>
        <w:rPr>
          <w:strike w:val="0"/>
          <w:spacing w:val="27"/>
        </w:rPr>
        <w:t> </w:t>
      </w:r>
      <w:r>
        <w:rPr>
          <w:strike w:val="0"/>
          <w:spacing w:val="-2"/>
        </w:rPr>
        <w:t>domestic</w:t>
      </w:r>
    </w:p>
    <w:p>
      <w:pPr>
        <w:pStyle w:val="BodyText"/>
        <w:spacing w:line="275" w:lineRule="exact"/>
        <w:ind w:left="267"/>
      </w:pPr>
      <w:r>
        <w:rPr/>
        <w:t>water</w:t>
      </w:r>
      <w:r>
        <w:rPr>
          <w:spacing w:val="2"/>
        </w:rPr>
        <w:t> </w:t>
      </w:r>
      <w:r>
        <w:rPr/>
        <w:t>was</w:t>
      </w:r>
      <w:r>
        <w:rPr>
          <w:spacing w:val="5"/>
        </w:rPr>
        <w:t> </w:t>
      </w:r>
      <w:r>
        <w:rPr>
          <w:dstrike/>
        </w:rPr>
        <w:t>N</w:t>
      </w:r>
      <w:r>
        <w:rPr>
          <w:strike w:val="0"/>
          <w:spacing w:val="5"/>
        </w:rPr>
        <w:t> </w:t>
      </w:r>
      <w:r>
        <w:rPr>
          <w:strike w:val="0"/>
        </w:rPr>
        <w:t>3670</w:t>
      </w:r>
      <w:r>
        <w:rPr>
          <w:strike w:val="0"/>
          <w:spacing w:val="4"/>
        </w:rPr>
        <w:t> </w:t>
      </w:r>
      <w:r>
        <w:rPr>
          <w:strike w:val="0"/>
        </w:rPr>
        <w:t>on</w:t>
      </w:r>
      <w:r>
        <w:rPr>
          <w:strike w:val="0"/>
          <w:spacing w:val="3"/>
        </w:rPr>
        <w:t> </w:t>
      </w:r>
      <w:r>
        <w:rPr>
          <w:strike w:val="0"/>
        </w:rPr>
        <w:t>monthly</w:t>
      </w:r>
      <w:r>
        <w:rPr>
          <w:strike w:val="0"/>
          <w:spacing w:val="-1"/>
        </w:rPr>
        <w:t> </w:t>
      </w:r>
      <w:r>
        <w:rPr>
          <w:strike w:val="0"/>
        </w:rPr>
        <w:t>basis.</w:t>
      </w:r>
      <w:r>
        <w:rPr>
          <w:strike w:val="0"/>
          <w:spacing w:val="4"/>
        </w:rPr>
        <w:t> </w:t>
      </w:r>
      <w:r>
        <w:rPr>
          <w:strike w:val="0"/>
        </w:rPr>
        <w:t>Households</w:t>
      </w:r>
      <w:r>
        <w:rPr>
          <w:strike w:val="0"/>
          <w:spacing w:val="6"/>
        </w:rPr>
        <w:t> </w:t>
      </w:r>
      <w:r>
        <w:rPr>
          <w:strike w:val="0"/>
        </w:rPr>
        <w:t>however</w:t>
      </w:r>
      <w:r>
        <w:rPr>
          <w:strike w:val="0"/>
          <w:spacing w:val="6"/>
        </w:rPr>
        <w:t> </w:t>
      </w:r>
      <w:r>
        <w:rPr>
          <w:strike w:val="0"/>
        </w:rPr>
        <w:t>were</w:t>
      </w:r>
      <w:r>
        <w:rPr>
          <w:strike w:val="0"/>
          <w:spacing w:val="4"/>
        </w:rPr>
        <w:t> </w:t>
      </w:r>
      <w:r>
        <w:rPr>
          <w:strike w:val="0"/>
        </w:rPr>
        <w:t>estimated</w:t>
      </w:r>
      <w:r>
        <w:rPr>
          <w:strike w:val="0"/>
          <w:spacing w:val="6"/>
        </w:rPr>
        <w:t> </w:t>
      </w:r>
      <w:r>
        <w:rPr>
          <w:strike w:val="0"/>
        </w:rPr>
        <w:t>to</w:t>
      </w:r>
      <w:r>
        <w:rPr>
          <w:strike w:val="0"/>
          <w:spacing w:val="4"/>
        </w:rPr>
        <w:t> </w:t>
      </w:r>
      <w:r>
        <w:rPr>
          <w:strike w:val="0"/>
        </w:rPr>
        <w:t>spend</w:t>
      </w:r>
      <w:r>
        <w:rPr>
          <w:strike w:val="0"/>
          <w:spacing w:val="4"/>
        </w:rPr>
        <w:t> </w:t>
      </w:r>
      <w:r>
        <w:rPr>
          <w:strike w:val="0"/>
        </w:rPr>
        <w:t>the</w:t>
      </w:r>
      <w:r>
        <w:rPr>
          <w:strike w:val="0"/>
          <w:spacing w:val="4"/>
        </w:rPr>
        <w:t> </w:t>
      </w:r>
      <w:r>
        <w:rPr>
          <w:strike w:val="0"/>
          <w:spacing w:val="-5"/>
        </w:rPr>
        <w:t>sum</w:t>
      </w:r>
    </w:p>
    <w:p>
      <w:pPr>
        <w:pStyle w:val="BodyText"/>
      </w:pPr>
    </w:p>
    <w:p>
      <w:pPr>
        <w:pStyle w:val="BodyText"/>
        <w:ind w:left="267"/>
      </w:pPr>
      <w:r>
        <w:rPr/>
        <w:t>of</w:t>
      </w:r>
      <w:r>
        <w:rPr>
          <w:spacing w:val="10"/>
        </w:rPr>
        <w:t> </w:t>
      </w:r>
      <w:r>
        <w:rPr>
          <w:dstrike/>
        </w:rPr>
        <w:t>N</w:t>
      </w:r>
      <w:r>
        <w:rPr>
          <w:strike w:val="0"/>
          <w:spacing w:val="12"/>
        </w:rPr>
        <w:t> </w:t>
      </w:r>
      <w:r>
        <w:rPr>
          <w:strike w:val="0"/>
        </w:rPr>
        <w:t>3185</w:t>
      </w:r>
      <w:r>
        <w:rPr>
          <w:strike w:val="0"/>
          <w:spacing w:val="13"/>
        </w:rPr>
        <w:t> </w:t>
      </w:r>
      <w:r>
        <w:rPr>
          <w:strike w:val="0"/>
        </w:rPr>
        <w:t>monthly</w:t>
      </w:r>
      <w:r>
        <w:rPr>
          <w:strike w:val="0"/>
          <w:spacing w:val="6"/>
        </w:rPr>
        <w:t> </w:t>
      </w:r>
      <w:r>
        <w:rPr>
          <w:strike w:val="0"/>
        </w:rPr>
        <w:t>on</w:t>
      </w:r>
      <w:r>
        <w:rPr>
          <w:strike w:val="0"/>
          <w:spacing w:val="13"/>
        </w:rPr>
        <w:t> </w:t>
      </w:r>
      <w:r>
        <w:rPr>
          <w:strike w:val="0"/>
        </w:rPr>
        <w:t>public</w:t>
      </w:r>
      <w:r>
        <w:rPr>
          <w:strike w:val="0"/>
          <w:spacing w:val="12"/>
        </w:rPr>
        <w:t> </w:t>
      </w:r>
      <w:r>
        <w:rPr>
          <w:strike w:val="0"/>
        </w:rPr>
        <w:t>pipe</w:t>
      </w:r>
      <w:r>
        <w:rPr>
          <w:strike w:val="0"/>
          <w:spacing w:val="12"/>
        </w:rPr>
        <w:t> </w:t>
      </w:r>
      <w:r>
        <w:rPr>
          <w:strike w:val="0"/>
        </w:rPr>
        <w:t>water.</w:t>
      </w:r>
      <w:r>
        <w:rPr>
          <w:strike w:val="0"/>
          <w:spacing w:val="14"/>
        </w:rPr>
        <w:t> </w:t>
      </w:r>
      <w:r>
        <w:rPr>
          <w:strike w:val="0"/>
        </w:rPr>
        <w:t>Based</w:t>
      </w:r>
      <w:r>
        <w:rPr>
          <w:strike w:val="0"/>
          <w:spacing w:val="15"/>
        </w:rPr>
        <w:t> </w:t>
      </w:r>
      <w:r>
        <w:rPr>
          <w:strike w:val="0"/>
        </w:rPr>
        <w:t>on</w:t>
      </w:r>
      <w:r>
        <w:rPr>
          <w:strike w:val="0"/>
          <w:spacing w:val="13"/>
        </w:rPr>
        <w:t> </w:t>
      </w:r>
      <w:r>
        <w:rPr>
          <w:strike w:val="0"/>
        </w:rPr>
        <w:t>this</w:t>
      </w:r>
      <w:r>
        <w:rPr>
          <w:strike w:val="0"/>
          <w:spacing w:val="13"/>
        </w:rPr>
        <w:t> </w:t>
      </w:r>
      <w:r>
        <w:rPr>
          <w:strike w:val="0"/>
        </w:rPr>
        <w:t>result,</w:t>
      </w:r>
      <w:r>
        <w:rPr>
          <w:strike w:val="0"/>
          <w:spacing w:val="14"/>
        </w:rPr>
        <w:t> </w:t>
      </w:r>
      <w:r>
        <w:rPr>
          <w:strike w:val="0"/>
        </w:rPr>
        <w:t>an</w:t>
      </w:r>
      <w:r>
        <w:rPr>
          <w:strike w:val="0"/>
          <w:spacing w:val="13"/>
        </w:rPr>
        <w:t> </w:t>
      </w:r>
      <w:r>
        <w:rPr>
          <w:strike w:val="0"/>
        </w:rPr>
        <w:t>average</w:t>
      </w:r>
      <w:r>
        <w:rPr>
          <w:strike w:val="0"/>
          <w:spacing w:val="14"/>
        </w:rPr>
        <w:t> </w:t>
      </w:r>
      <w:r>
        <w:rPr>
          <w:strike w:val="0"/>
        </w:rPr>
        <w:t>household</w:t>
      </w:r>
      <w:r>
        <w:rPr>
          <w:strike w:val="0"/>
          <w:spacing w:val="14"/>
        </w:rPr>
        <w:t> </w:t>
      </w:r>
      <w:r>
        <w:rPr>
          <w:strike w:val="0"/>
          <w:spacing w:val="-2"/>
        </w:rPr>
        <w:t>spent</w:t>
      </w:r>
    </w:p>
    <w:p>
      <w:pPr>
        <w:pStyle w:val="BodyText"/>
      </w:pPr>
    </w:p>
    <w:p>
      <w:pPr>
        <w:pStyle w:val="BodyText"/>
        <w:spacing w:line="480" w:lineRule="auto"/>
        <w:ind w:left="267" w:right="701"/>
      </w:pPr>
      <w:r>
        <w:rPr/>
        <w:t>more</w:t>
      </w:r>
      <w:r>
        <w:rPr>
          <w:spacing w:val="-14"/>
        </w:rPr>
        <w:t> </w:t>
      </w:r>
      <w:r>
        <w:rPr/>
        <w:t>in</w:t>
      </w:r>
      <w:r>
        <w:rPr>
          <w:spacing w:val="-12"/>
        </w:rPr>
        <w:t> </w:t>
      </w:r>
      <w:r>
        <w:rPr/>
        <w:t>coping</w:t>
      </w:r>
      <w:r>
        <w:rPr>
          <w:spacing w:val="-14"/>
        </w:rPr>
        <w:t> </w:t>
      </w:r>
      <w:r>
        <w:rPr/>
        <w:t>with</w:t>
      </w:r>
      <w:r>
        <w:rPr>
          <w:spacing w:val="-12"/>
        </w:rPr>
        <w:t> </w:t>
      </w:r>
      <w:r>
        <w:rPr/>
        <w:t>the</w:t>
      </w:r>
      <w:r>
        <w:rPr>
          <w:spacing w:val="-13"/>
        </w:rPr>
        <w:t> </w:t>
      </w:r>
      <w:r>
        <w:rPr/>
        <w:t>unreliable</w:t>
      </w:r>
      <w:r>
        <w:rPr>
          <w:spacing w:val="-13"/>
        </w:rPr>
        <w:t> </w:t>
      </w:r>
      <w:r>
        <w:rPr/>
        <w:t>drinking</w:t>
      </w:r>
      <w:r>
        <w:rPr>
          <w:spacing w:val="-14"/>
        </w:rPr>
        <w:t> </w:t>
      </w:r>
      <w:r>
        <w:rPr/>
        <w:t>water</w:t>
      </w:r>
      <w:r>
        <w:rPr>
          <w:spacing w:val="-11"/>
        </w:rPr>
        <w:t> </w:t>
      </w:r>
      <w:r>
        <w:rPr/>
        <w:t>compared</w:t>
      </w:r>
      <w:r>
        <w:rPr>
          <w:spacing w:val="-12"/>
        </w:rPr>
        <w:t> </w:t>
      </w:r>
      <w:r>
        <w:rPr/>
        <w:t>to</w:t>
      </w:r>
      <w:r>
        <w:rPr>
          <w:spacing w:val="-12"/>
        </w:rPr>
        <w:t> </w:t>
      </w:r>
      <w:r>
        <w:rPr/>
        <w:t>what</w:t>
      </w:r>
      <w:r>
        <w:rPr>
          <w:spacing w:val="-12"/>
        </w:rPr>
        <w:t> </w:t>
      </w:r>
      <w:r>
        <w:rPr/>
        <w:t>they</w:t>
      </w:r>
      <w:r>
        <w:rPr>
          <w:spacing w:val="-15"/>
        </w:rPr>
        <w:t> </w:t>
      </w:r>
      <w:r>
        <w:rPr/>
        <w:t>expended</w:t>
      </w:r>
      <w:r>
        <w:rPr>
          <w:spacing w:val="-12"/>
        </w:rPr>
        <w:t> </w:t>
      </w:r>
      <w:r>
        <w:rPr/>
        <w:t>in</w:t>
      </w:r>
      <w:r>
        <w:rPr>
          <w:spacing w:val="-12"/>
        </w:rPr>
        <w:t> </w:t>
      </w:r>
      <w:r>
        <w:rPr/>
        <w:t>coping with unsafe domestic water and pay for the water authority for public pipe water supply.</w:t>
      </w:r>
    </w:p>
    <w:p>
      <w:pPr>
        <w:pStyle w:val="BodyText"/>
        <w:spacing w:before="5"/>
      </w:pPr>
    </w:p>
    <w:p>
      <w:pPr>
        <w:pStyle w:val="Heading1"/>
        <w:spacing w:after="3"/>
      </w:pPr>
      <w:r>
        <w:rPr/>
        <w:t>Table</w:t>
      </w:r>
      <w:r>
        <w:rPr>
          <w:spacing w:val="-1"/>
        </w:rPr>
        <w:t> </w:t>
      </w:r>
      <w:r>
        <w:rPr/>
        <w:t>4.16:</w:t>
      </w:r>
      <w:r>
        <w:rPr>
          <w:spacing w:val="-1"/>
        </w:rPr>
        <w:t> </w:t>
      </w:r>
      <w:r>
        <w:rPr/>
        <w:t>Household</w:t>
      </w:r>
      <w:r>
        <w:rPr>
          <w:spacing w:val="-3"/>
        </w:rPr>
        <w:t> </w:t>
      </w:r>
      <w:r>
        <w:rPr/>
        <w:t>Monthly</w:t>
      </w:r>
      <w:r>
        <w:rPr>
          <w:spacing w:val="-1"/>
        </w:rPr>
        <w:t> </w:t>
      </w:r>
      <w:r>
        <w:rPr/>
        <w:t>Coping</w:t>
      </w:r>
      <w:r>
        <w:rPr>
          <w:spacing w:val="-1"/>
        </w:rPr>
        <w:t> </w:t>
      </w:r>
      <w:r>
        <w:rPr/>
        <w:t>Costs</w:t>
      </w:r>
      <w:r>
        <w:rPr>
          <w:spacing w:val="-3"/>
        </w:rPr>
        <w:t> </w:t>
      </w:r>
      <w:r>
        <w:rPr/>
        <w:t>and</w:t>
      </w:r>
      <w:r>
        <w:rPr>
          <w:spacing w:val="-1"/>
        </w:rPr>
        <w:t> </w:t>
      </w:r>
      <w:r>
        <w:rPr/>
        <w:t>Public</w:t>
      </w:r>
      <w:r>
        <w:rPr>
          <w:spacing w:val="-2"/>
        </w:rPr>
        <w:t> </w:t>
      </w:r>
      <w:r>
        <w:rPr/>
        <w:t>Pipe</w:t>
      </w:r>
      <w:r>
        <w:rPr>
          <w:spacing w:val="-2"/>
        </w:rPr>
        <w:t> </w:t>
      </w:r>
      <w:r>
        <w:rPr/>
        <w:t>Water</w:t>
      </w:r>
      <w:r>
        <w:rPr>
          <w:spacing w:val="1"/>
        </w:rPr>
        <w:t> </w:t>
      </w:r>
      <w:r>
        <w:rPr>
          <w:spacing w:val="-2"/>
        </w:rPr>
        <w:t>Expenditure</w:t>
      </w: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8"/>
        <w:gridCol w:w="1236"/>
        <w:gridCol w:w="1044"/>
        <w:gridCol w:w="2250"/>
        <w:gridCol w:w="2402"/>
      </w:tblGrid>
      <w:tr>
        <w:trPr>
          <w:trHeight w:val="551" w:hRule="atLeast"/>
        </w:trPr>
        <w:tc>
          <w:tcPr>
            <w:tcW w:w="1908" w:type="dxa"/>
            <w:tcBorders>
              <w:top w:val="single" w:sz="8" w:space="0" w:color="000000"/>
              <w:bottom w:val="single" w:sz="8" w:space="0" w:color="000000"/>
            </w:tcBorders>
          </w:tcPr>
          <w:p>
            <w:pPr>
              <w:pStyle w:val="TableParagraph"/>
              <w:spacing w:line="273" w:lineRule="exact"/>
              <w:ind w:left="107"/>
              <w:rPr>
                <w:b/>
                <w:sz w:val="24"/>
              </w:rPr>
            </w:pPr>
            <w:r>
              <w:rPr>
                <w:b/>
                <w:spacing w:val="-2"/>
                <w:sz w:val="24"/>
              </w:rPr>
              <w:t>Water</w:t>
            </w:r>
          </w:p>
        </w:tc>
        <w:tc>
          <w:tcPr>
            <w:tcW w:w="1236" w:type="dxa"/>
            <w:tcBorders>
              <w:top w:val="single" w:sz="8" w:space="0" w:color="000000"/>
              <w:bottom w:val="single" w:sz="8" w:space="0" w:color="000000"/>
            </w:tcBorders>
          </w:tcPr>
          <w:p>
            <w:pPr>
              <w:pStyle w:val="TableParagraph"/>
              <w:spacing w:line="273" w:lineRule="exact"/>
              <w:ind w:left="209"/>
              <w:rPr>
                <w:b/>
                <w:sz w:val="24"/>
              </w:rPr>
            </w:pPr>
            <w:r>
              <w:rPr>
                <w:b/>
                <w:spacing w:val="-2"/>
                <w:sz w:val="24"/>
              </w:rPr>
              <w:t>Mean(</w:t>
            </w:r>
            <w:r>
              <w:rPr>
                <w:b/>
                <w:dstrike/>
                <w:spacing w:val="-2"/>
                <w:sz w:val="24"/>
              </w:rPr>
              <w:t>N</w:t>
            </w:r>
            <w:r>
              <w:rPr>
                <w:b/>
                <w:strike w:val="0"/>
                <w:spacing w:val="-2"/>
                <w:sz w:val="24"/>
              </w:rPr>
              <w:t>)</w:t>
            </w:r>
          </w:p>
        </w:tc>
        <w:tc>
          <w:tcPr>
            <w:tcW w:w="1044" w:type="dxa"/>
            <w:tcBorders>
              <w:top w:val="single" w:sz="8" w:space="0" w:color="000000"/>
              <w:bottom w:val="single" w:sz="8" w:space="0" w:color="000000"/>
            </w:tcBorders>
          </w:tcPr>
          <w:p>
            <w:pPr>
              <w:pStyle w:val="TableParagraph"/>
              <w:spacing w:line="273" w:lineRule="exact"/>
              <w:ind w:left="110"/>
              <w:rPr>
                <w:b/>
                <w:sz w:val="24"/>
              </w:rPr>
            </w:pPr>
            <w:r>
              <w:rPr>
                <w:b/>
                <w:spacing w:val="-2"/>
                <w:sz w:val="24"/>
              </w:rPr>
              <w:t>Std.Dev</w:t>
            </w:r>
          </w:p>
        </w:tc>
        <w:tc>
          <w:tcPr>
            <w:tcW w:w="2250" w:type="dxa"/>
            <w:tcBorders>
              <w:top w:val="single" w:sz="8" w:space="0" w:color="000000"/>
              <w:bottom w:val="single" w:sz="8" w:space="0" w:color="000000"/>
            </w:tcBorders>
          </w:tcPr>
          <w:p>
            <w:pPr>
              <w:pStyle w:val="TableParagraph"/>
              <w:spacing w:line="273" w:lineRule="exact"/>
              <w:ind w:left="75" w:right="98"/>
              <w:jc w:val="center"/>
              <w:rPr>
                <w:b/>
                <w:sz w:val="24"/>
              </w:rPr>
            </w:pPr>
            <w:r>
              <w:rPr>
                <w:b/>
                <w:sz w:val="24"/>
              </w:rPr>
              <w:t>Minimum</w:t>
            </w:r>
            <w:r>
              <w:rPr>
                <w:b/>
                <w:spacing w:val="-4"/>
                <w:sz w:val="24"/>
              </w:rPr>
              <w:t> </w:t>
            </w:r>
            <w:r>
              <w:rPr>
                <w:b/>
                <w:spacing w:val="-2"/>
                <w:sz w:val="24"/>
              </w:rPr>
              <w:t>value(</w:t>
            </w:r>
            <w:r>
              <w:rPr>
                <w:b/>
                <w:dstrike/>
                <w:spacing w:val="-2"/>
                <w:sz w:val="24"/>
              </w:rPr>
              <w:t>N</w:t>
            </w:r>
            <w:r>
              <w:rPr>
                <w:b/>
                <w:strike w:val="0"/>
                <w:spacing w:val="-2"/>
                <w:sz w:val="24"/>
              </w:rPr>
              <w:t>)</w:t>
            </w:r>
          </w:p>
        </w:tc>
        <w:tc>
          <w:tcPr>
            <w:tcW w:w="2402" w:type="dxa"/>
            <w:tcBorders>
              <w:top w:val="single" w:sz="8" w:space="0" w:color="000000"/>
              <w:bottom w:val="single" w:sz="8" w:space="0" w:color="000000"/>
            </w:tcBorders>
          </w:tcPr>
          <w:p>
            <w:pPr>
              <w:pStyle w:val="TableParagraph"/>
              <w:spacing w:line="273" w:lineRule="exact"/>
              <w:ind w:left="160"/>
              <w:rPr>
                <w:b/>
                <w:sz w:val="24"/>
              </w:rPr>
            </w:pPr>
            <w:r>
              <w:rPr>
                <w:b/>
                <w:sz w:val="24"/>
              </w:rPr>
              <w:t>Maximum</w:t>
            </w:r>
            <w:r>
              <w:rPr>
                <w:b/>
                <w:spacing w:val="-5"/>
                <w:sz w:val="24"/>
              </w:rPr>
              <w:t> </w:t>
            </w:r>
            <w:r>
              <w:rPr>
                <w:b/>
                <w:spacing w:val="-2"/>
                <w:sz w:val="24"/>
              </w:rPr>
              <w:t>value(</w:t>
            </w:r>
            <w:r>
              <w:rPr>
                <w:b/>
                <w:dstrike/>
                <w:spacing w:val="-2"/>
                <w:sz w:val="24"/>
              </w:rPr>
              <w:t>N</w:t>
            </w:r>
            <w:r>
              <w:rPr>
                <w:b/>
                <w:strike w:val="0"/>
                <w:spacing w:val="-2"/>
                <w:sz w:val="24"/>
              </w:rPr>
              <w:t>)</w:t>
            </w:r>
          </w:p>
        </w:tc>
      </w:tr>
      <w:tr>
        <w:trPr>
          <w:trHeight w:val="331" w:hRule="atLeast"/>
        </w:trPr>
        <w:tc>
          <w:tcPr>
            <w:tcW w:w="1908" w:type="dxa"/>
            <w:tcBorders>
              <w:top w:val="single" w:sz="8" w:space="0" w:color="000000"/>
            </w:tcBorders>
          </w:tcPr>
          <w:p>
            <w:pPr>
              <w:pStyle w:val="TableParagraph"/>
              <w:spacing w:line="272" w:lineRule="exact"/>
              <w:ind w:left="107"/>
              <w:rPr>
                <w:b/>
                <w:sz w:val="24"/>
              </w:rPr>
            </w:pPr>
            <w:r>
              <w:rPr>
                <w:b/>
                <w:sz w:val="24"/>
              </w:rPr>
              <w:t>Drinking</w:t>
            </w:r>
            <w:r>
              <w:rPr>
                <w:b/>
                <w:spacing w:val="-3"/>
                <w:sz w:val="24"/>
              </w:rPr>
              <w:t> </w:t>
            </w:r>
            <w:r>
              <w:rPr>
                <w:b/>
                <w:spacing w:val="-4"/>
                <w:sz w:val="24"/>
              </w:rPr>
              <w:t>water</w:t>
            </w:r>
          </w:p>
        </w:tc>
        <w:tc>
          <w:tcPr>
            <w:tcW w:w="1236" w:type="dxa"/>
            <w:tcBorders>
              <w:top w:val="single" w:sz="8" w:space="0" w:color="000000"/>
            </w:tcBorders>
          </w:tcPr>
          <w:p>
            <w:pPr>
              <w:pStyle w:val="TableParagraph"/>
              <w:spacing w:line="268" w:lineRule="exact"/>
              <w:ind w:left="209"/>
              <w:rPr>
                <w:sz w:val="24"/>
              </w:rPr>
            </w:pPr>
            <w:r>
              <w:rPr>
                <w:spacing w:val="-4"/>
                <w:sz w:val="24"/>
              </w:rPr>
              <w:t>4164</w:t>
            </w:r>
          </w:p>
        </w:tc>
        <w:tc>
          <w:tcPr>
            <w:tcW w:w="1044" w:type="dxa"/>
            <w:tcBorders>
              <w:top w:val="single" w:sz="8" w:space="0" w:color="000000"/>
            </w:tcBorders>
          </w:tcPr>
          <w:p>
            <w:pPr>
              <w:pStyle w:val="TableParagraph"/>
              <w:spacing w:line="268" w:lineRule="exact"/>
              <w:ind w:left="110"/>
              <w:rPr>
                <w:sz w:val="24"/>
              </w:rPr>
            </w:pPr>
            <w:r>
              <w:rPr>
                <w:spacing w:val="-4"/>
                <w:sz w:val="24"/>
              </w:rPr>
              <w:t>8915</w:t>
            </w:r>
          </w:p>
        </w:tc>
        <w:tc>
          <w:tcPr>
            <w:tcW w:w="2250" w:type="dxa"/>
            <w:tcBorders>
              <w:top w:val="single" w:sz="8" w:space="0" w:color="000000"/>
            </w:tcBorders>
          </w:tcPr>
          <w:p>
            <w:pPr>
              <w:pStyle w:val="TableParagraph"/>
              <w:spacing w:line="268" w:lineRule="exact"/>
              <w:ind w:left="75" w:right="72"/>
              <w:jc w:val="center"/>
              <w:rPr>
                <w:sz w:val="24"/>
              </w:rPr>
            </w:pPr>
            <w:r>
              <w:rPr>
                <w:spacing w:val="-10"/>
                <w:sz w:val="24"/>
              </w:rPr>
              <w:t>0</w:t>
            </w:r>
          </w:p>
        </w:tc>
        <w:tc>
          <w:tcPr>
            <w:tcW w:w="2402" w:type="dxa"/>
            <w:tcBorders>
              <w:top w:val="single" w:sz="8" w:space="0" w:color="000000"/>
            </w:tcBorders>
          </w:tcPr>
          <w:p>
            <w:pPr>
              <w:pStyle w:val="TableParagraph"/>
              <w:spacing w:line="268" w:lineRule="exact"/>
              <w:ind w:left="160"/>
              <w:rPr>
                <w:sz w:val="24"/>
              </w:rPr>
            </w:pPr>
            <w:r>
              <w:rPr>
                <w:spacing w:val="-2"/>
                <w:sz w:val="24"/>
              </w:rPr>
              <w:t>160000</w:t>
            </w:r>
          </w:p>
        </w:tc>
      </w:tr>
      <w:tr>
        <w:trPr>
          <w:trHeight w:val="433" w:hRule="atLeast"/>
        </w:trPr>
        <w:tc>
          <w:tcPr>
            <w:tcW w:w="1908" w:type="dxa"/>
          </w:tcPr>
          <w:p>
            <w:pPr>
              <w:pStyle w:val="TableParagraph"/>
              <w:spacing w:before="53"/>
              <w:ind w:left="107"/>
              <w:rPr>
                <w:b/>
                <w:sz w:val="24"/>
              </w:rPr>
            </w:pPr>
            <w:r>
              <w:rPr>
                <w:b/>
                <w:sz w:val="24"/>
              </w:rPr>
              <w:t>Domestic</w:t>
            </w:r>
            <w:r>
              <w:rPr>
                <w:b/>
                <w:spacing w:val="-5"/>
                <w:sz w:val="24"/>
              </w:rPr>
              <w:t> </w:t>
            </w:r>
            <w:r>
              <w:rPr>
                <w:b/>
                <w:spacing w:val="-2"/>
                <w:sz w:val="24"/>
              </w:rPr>
              <w:t>water</w:t>
            </w:r>
          </w:p>
        </w:tc>
        <w:tc>
          <w:tcPr>
            <w:tcW w:w="1236" w:type="dxa"/>
          </w:tcPr>
          <w:p>
            <w:pPr>
              <w:pStyle w:val="TableParagraph"/>
              <w:spacing w:before="49"/>
              <w:ind w:left="209"/>
              <w:rPr>
                <w:sz w:val="24"/>
              </w:rPr>
            </w:pPr>
            <w:r>
              <w:rPr>
                <w:spacing w:val="-4"/>
                <w:sz w:val="24"/>
              </w:rPr>
              <w:t>3670</w:t>
            </w:r>
          </w:p>
        </w:tc>
        <w:tc>
          <w:tcPr>
            <w:tcW w:w="1044" w:type="dxa"/>
          </w:tcPr>
          <w:p>
            <w:pPr>
              <w:pStyle w:val="TableParagraph"/>
              <w:spacing w:before="49"/>
              <w:ind w:left="110"/>
              <w:rPr>
                <w:sz w:val="24"/>
              </w:rPr>
            </w:pPr>
            <w:r>
              <w:rPr>
                <w:spacing w:val="-4"/>
                <w:sz w:val="24"/>
              </w:rPr>
              <w:t>9837</w:t>
            </w:r>
          </w:p>
        </w:tc>
        <w:tc>
          <w:tcPr>
            <w:tcW w:w="2250" w:type="dxa"/>
          </w:tcPr>
          <w:p>
            <w:pPr>
              <w:pStyle w:val="TableParagraph"/>
              <w:spacing w:before="49"/>
              <w:ind w:left="98" w:right="23"/>
              <w:jc w:val="center"/>
              <w:rPr>
                <w:sz w:val="24"/>
              </w:rPr>
            </w:pPr>
            <w:r>
              <w:rPr>
                <w:spacing w:val="-10"/>
                <w:sz w:val="24"/>
              </w:rPr>
              <w:t>0</w:t>
            </w:r>
          </w:p>
        </w:tc>
        <w:tc>
          <w:tcPr>
            <w:tcW w:w="2402" w:type="dxa"/>
          </w:tcPr>
          <w:p>
            <w:pPr>
              <w:pStyle w:val="TableParagraph"/>
              <w:spacing w:before="49"/>
              <w:ind w:left="160"/>
              <w:rPr>
                <w:sz w:val="24"/>
              </w:rPr>
            </w:pPr>
            <w:r>
              <w:rPr>
                <w:spacing w:val="-2"/>
                <w:sz w:val="24"/>
              </w:rPr>
              <w:t>36000</w:t>
            </w:r>
          </w:p>
        </w:tc>
      </w:tr>
      <w:tr>
        <w:trPr>
          <w:trHeight w:val="650" w:hRule="atLeast"/>
        </w:trPr>
        <w:tc>
          <w:tcPr>
            <w:tcW w:w="1908" w:type="dxa"/>
          </w:tcPr>
          <w:p>
            <w:pPr>
              <w:pStyle w:val="TableParagraph"/>
              <w:spacing w:before="98"/>
              <w:ind w:left="107"/>
              <w:rPr>
                <w:b/>
                <w:sz w:val="24"/>
              </w:rPr>
            </w:pPr>
            <w:r>
              <w:rPr>
                <w:b/>
                <w:sz w:val="24"/>
              </w:rPr>
              <w:t>Public</w:t>
            </w:r>
            <w:r>
              <w:rPr>
                <w:b/>
                <w:spacing w:val="-4"/>
                <w:sz w:val="24"/>
              </w:rPr>
              <w:t> pipe</w:t>
            </w:r>
          </w:p>
          <w:p>
            <w:pPr>
              <w:pStyle w:val="TableParagraph"/>
              <w:tabs>
                <w:tab w:pos="8842" w:val="left" w:leader="none"/>
              </w:tabs>
              <w:spacing w:line="256" w:lineRule="exact"/>
              <w:ind w:left="-15" w:right="-6941"/>
              <w:rPr>
                <w:b/>
                <w:sz w:val="24"/>
              </w:rPr>
            </w:pPr>
            <w:r>
              <w:rPr>
                <w:b/>
                <w:spacing w:val="60"/>
                <w:sz w:val="24"/>
                <w:u w:val="single"/>
              </w:rPr>
              <w:t> </w:t>
            </w:r>
            <w:r>
              <w:rPr>
                <w:b/>
                <w:spacing w:val="-2"/>
                <w:sz w:val="24"/>
                <w:u w:val="single"/>
              </w:rPr>
              <w:t>water</w:t>
            </w:r>
            <w:r>
              <w:rPr>
                <w:b/>
                <w:sz w:val="24"/>
                <w:u w:val="single"/>
              </w:rPr>
              <w:tab/>
            </w:r>
          </w:p>
        </w:tc>
        <w:tc>
          <w:tcPr>
            <w:tcW w:w="1236" w:type="dxa"/>
          </w:tcPr>
          <w:p>
            <w:pPr>
              <w:pStyle w:val="TableParagraph"/>
              <w:spacing w:before="93"/>
              <w:ind w:left="209"/>
              <w:rPr>
                <w:sz w:val="24"/>
              </w:rPr>
            </w:pPr>
            <w:r>
              <w:rPr>
                <w:spacing w:val="-4"/>
                <w:sz w:val="24"/>
              </w:rPr>
              <w:t>3185</w:t>
            </w:r>
          </w:p>
        </w:tc>
        <w:tc>
          <w:tcPr>
            <w:tcW w:w="1044" w:type="dxa"/>
          </w:tcPr>
          <w:p>
            <w:pPr>
              <w:pStyle w:val="TableParagraph"/>
              <w:spacing w:before="93"/>
              <w:ind w:left="110"/>
              <w:rPr>
                <w:sz w:val="24"/>
              </w:rPr>
            </w:pPr>
            <w:r>
              <w:rPr>
                <w:spacing w:val="-4"/>
                <w:sz w:val="24"/>
              </w:rPr>
              <w:t>5452</w:t>
            </w:r>
          </w:p>
        </w:tc>
        <w:tc>
          <w:tcPr>
            <w:tcW w:w="2250" w:type="dxa"/>
          </w:tcPr>
          <w:p>
            <w:pPr>
              <w:pStyle w:val="TableParagraph"/>
              <w:spacing w:before="93"/>
              <w:ind w:left="98" w:right="23"/>
              <w:jc w:val="center"/>
              <w:rPr>
                <w:sz w:val="24"/>
              </w:rPr>
            </w:pPr>
            <w:r>
              <w:rPr>
                <w:spacing w:val="-10"/>
                <w:sz w:val="24"/>
              </w:rPr>
              <w:t>0</w:t>
            </w:r>
          </w:p>
        </w:tc>
        <w:tc>
          <w:tcPr>
            <w:tcW w:w="2402" w:type="dxa"/>
          </w:tcPr>
          <w:p>
            <w:pPr>
              <w:pStyle w:val="TableParagraph"/>
              <w:spacing w:before="93"/>
              <w:ind w:left="160"/>
              <w:rPr>
                <w:sz w:val="24"/>
              </w:rPr>
            </w:pPr>
            <w:r>
              <w:rPr>
                <w:spacing w:val="-2"/>
                <w:sz w:val="24"/>
              </w:rPr>
              <w:t>160000</w:t>
            </w:r>
          </w:p>
        </w:tc>
      </w:tr>
    </w:tbl>
    <w:p>
      <w:pPr>
        <w:spacing w:after="0"/>
        <w:rPr>
          <w:sz w:val="24"/>
        </w:rPr>
        <w:sectPr>
          <w:pgSz w:w="12240" w:h="15840"/>
          <w:pgMar w:header="0" w:footer="1068" w:top="1420" w:bottom="1260" w:left="1720" w:right="680"/>
        </w:sectPr>
      </w:pPr>
    </w:p>
    <w:p>
      <w:pPr>
        <w:pStyle w:val="BodyText"/>
        <w:spacing w:line="480" w:lineRule="auto" w:before="63"/>
        <w:ind w:left="267" w:right="727"/>
        <w:jc w:val="both"/>
      </w:pPr>
      <w:r>
        <w:rPr/>
        <w:t>It can further be inferred from this result that the aggregated coping costs on drinking and </w:t>
      </w:r>
      <w:r>
        <w:rPr>
          <w:spacing w:val="-2"/>
        </w:rPr>
        <w:t>domestic</w:t>
      </w:r>
      <w:r>
        <w:rPr>
          <w:spacing w:val="-7"/>
        </w:rPr>
        <w:t> </w:t>
      </w:r>
      <w:r>
        <w:rPr>
          <w:spacing w:val="-2"/>
        </w:rPr>
        <w:t>far</w:t>
      </w:r>
      <w:r>
        <w:rPr>
          <w:spacing w:val="-7"/>
        </w:rPr>
        <w:t> </w:t>
      </w:r>
      <w:r>
        <w:rPr>
          <w:spacing w:val="-2"/>
        </w:rPr>
        <w:t>exceeded</w:t>
      </w:r>
      <w:r>
        <w:rPr>
          <w:spacing w:val="-6"/>
        </w:rPr>
        <w:t> </w:t>
      </w:r>
      <w:r>
        <w:rPr>
          <w:spacing w:val="-2"/>
        </w:rPr>
        <w:t>the</w:t>
      </w:r>
      <w:r>
        <w:rPr>
          <w:spacing w:val="-3"/>
        </w:rPr>
        <w:t> </w:t>
      </w:r>
      <w:r>
        <w:rPr>
          <w:spacing w:val="-2"/>
        </w:rPr>
        <w:t>expenditure</w:t>
      </w:r>
      <w:r>
        <w:rPr>
          <w:spacing w:val="-8"/>
        </w:rPr>
        <w:t> </w:t>
      </w:r>
      <w:r>
        <w:rPr>
          <w:spacing w:val="-2"/>
        </w:rPr>
        <w:t>on</w:t>
      </w:r>
      <w:r>
        <w:rPr>
          <w:spacing w:val="-6"/>
        </w:rPr>
        <w:t> </w:t>
      </w:r>
      <w:r>
        <w:rPr>
          <w:spacing w:val="-2"/>
        </w:rPr>
        <w:t>the</w:t>
      </w:r>
      <w:r>
        <w:rPr>
          <w:spacing w:val="-6"/>
        </w:rPr>
        <w:t> </w:t>
      </w:r>
      <w:r>
        <w:rPr>
          <w:spacing w:val="-2"/>
        </w:rPr>
        <w:t>utility</w:t>
      </w:r>
      <w:r>
        <w:rPr>
          <w:spacing w:val="-12"/>
        </w:rPr>
        <w:t> </w:t>
      </w:r>
      <w:r>
        <w:rPr>
          <w:spacing w:val="-2"/>
        </w:rPr>
        <w:t>of</w:t>
      </w:r>
      <w:r>
        <w:rPr>
          <w:spacing w:val="-7"/>
        </w:rPr>
        <w:t> </w:t>
      </w:r>
      <w:r>
        <w:rPr>
          <w:spacing w:val="-2"/>
        </w:rPr>
        <w:t>public</w:t>
      </w:r>
      <w:r>
        <w:rPr>
          <w:spacing w:val="-7"/>
        </w:rPr>
        <w:t> </w:t>
      </w:r>
      <w:r>
        <w:rPr>
          <w:spacing w:val="-2"/>
        </w:rPr>
        <w:t>pipe</w:t>
      </w:r>
      <w:r>
        <w:rPr>
          <w:spacing w:val="-6"/>
        </w:rPr>
        <w:t> </w:t>
      </w:r>
      <w:r>
        <w:rPr>
          <w:spacing w:val="-2"/>
        </w:rPr>
        <w:t>water</w:t>
      </w:r>
      <w:r>
        <w:rPr>
          <w:spacing w:val="-7"/>
        </w:rPr>
        <w:t> </w:t>
      </w:r>
      <w:r>
        <w:rPr>
          <w:spacing w:val="-2"/>
        </w:rPr>
        <w:t>supply.</w:t>
      </w:r>
      <w:r>
        <w:rPr>
          <w:spacing w:val="-6"/>
        </w:rPr>
        <w:t> </w:t>
      </w:r>
      <w:r>
        <w:rPr>
          <w:spacing w:val="-2"/>
        </w:rPr>
        <w:t>For</w:t>
      </w:r>
      <w:r>
        <w:rPr>
          <w:spacing w:val="-7"/>
        </w:rPr>
        <w:t> </w:t>
      </w:r>
      <w:r>
        <w:rPr>
          <w:spacing w:val="-2"/>
        </w:rPr>
        <w:t>example, </w:t>
      </w:r>
      <w:r>
        <w:rPr/>
        <w:t>household</w:t>
      </w:r>
      <w:r>
        <w:rPr>
          <w:spacing w:val="4"/>
        </w:rPr>
        <w:t> </w:t>
      </w:r>
      <w:r>
        <w:rPr/>
        <w:t>on</w:t>
      </w:r>
      <w:r>
        <w:rPr>
          <w:spacing w:val="4"/>
        </w:rPr>
        <w:t> </w:t>
      </w:r>
      <w:r>
        <w:rPr/>
        <w:t>the</w:t>
      </w:r>
      <w:r>
        <w:rPr>
          <w:spacing w:val="4"/>
        </w:rPr>
        <w:t> </w:t>
      </w:r>
      <w:r>
        <w:rPr/>
        <w:t>average</w:t>
      </w:r>
      <w:r>
        <w:rPr>
          <w:spacing w:val="2"/>
        </w:rPr>
        <w:t> </w:t>
      </w:r>
      <w:r>
        <w:rPr/>
        <w:t>spent</w:t>
      </w:r>
      <w:r>
        <w:rPr>
          <w:spacing w:val="5"/>
        </w:rPr>
        <w:t> </w:t>
      </w:r>
      <w:r>
        <w:rPr/>
        <w:t>an</w:t>
      </w:r>
      <w:r>
        <w:rPr>
          <w:spacing w:val="4"/>
        </w:rPr>
        <w:t> </w:t>
      </w:r>
      <w:r>
        <w:rPr/>
        <w:t>aggregate</w:t>
      </w:r>
      <w:r>
        <w:rPr>
          <w:spacing w:val="3"/>
        </w:rPr>
        <w:t> </w:t>
      </w:r>
      <w:r>
        <w:rPr/>
        <w:t>monthly</w:t>
      </w:r>
      <w:r>
        <w:rPr>
          <w:spacing w:val="-3"/>
        </w:rPr>
        <w:t> </w:t>
      </w:r>
      <w:r>
        <w:rPr/>
        <w:t>sum</w:t>
      </w:r>
      <w:r>
        <w:rPr>
          <w:spacing w:val="5"/>
        </w:rPr>
        <w:t> </w:t>
      </w:r>
      <w:r>
        <w:rPr/>
        <w:t>of</w:t>
      </w:r>
      <w:r>
        <w:rPr>
          <w:spacing w:val="8"/>
        </w:rPr>
        <w:t> </w:t>
      </w:r>
      <w:r>
        <w:rPr>
          <w:dstrike/>
        </w:rPr>
        <w:t>N</w:t>
      </w:r>
      <w:r>
        <w:rPr>
          <w:strike w:val="0"/>
          <w:spacing w:val="4"/>
        </w:rPr>
        <w:t> </w:t>
      </w:r>
      <w:r>
        <w:rPr>
          <w:strike w:val="0"/>
        </w:rPr>
        <w:t>7834</w:t>
      </w:r>
      <w:r>
        <w:rPr>
          <w:strike w:val="0"/>
          <w:spacing w:val="4"/>
        </w:rPr>
        <w:t> </w:t>
      </w:r>
      <w:r>
        <w:rPr>
          <w:strike w:val="0"/>
        </w:rPr>
        <w:t>in</w:t>
      </w:r>
      <w:r>
        <w:rPr>
          <w:strike w:val="0"/>
          <w:spacing w:val="4"/>
        </w:rPr>
        <w:t> </w:t>
      </w:r>
      <w:r>
        <w:rPr>
          <w:strike w:val="0"/>
        </w:rPr>
        <w:t>coping</w:t>
      </w:r>
      <w:r>
        <w:rPr>
          <w:strike w:val="0"/>
          <w:spacing w:val="2"/>
        </w:rPr>
        <w:t> </w:t>
      </w:r>
      <w:r>
        <w:rPr>
          <w:strike w:val="0"/>
        </w:rPr>
        <w:t>with</w:t>
      </w:r>
      <w:r>
        <w:rPr>
          <w:strike w:val="0"/>
          <w:spacing w:val="5"/>
        </w:rPr>
        <w:t> </w:t>
      </w:r>
      <w:r>
        <w:rPr>
          <w:strike w:val="0"/>
          <w:spacing w:val="-2"/>
        </w:rPr>
        <w:t>unsafe</w:t>
      </w:r>
    </w:p>
    <w:p>
      <w:pPr>
        <w:pStyle w:val="BodyText"/>
        <w:spacing w:line="480" w:lineRule="auto"/>
        <w:ind w:left="267" w:right="701"/>
      </w:pPr>
      <w:r>
        <w:rPr/>
        <w:t>and unreliable drinking and domestic water supply, which is almost 8 times higher than the standard</w:t>
      </w:r>
      <w:r>
        <w:rPr>
          <w:spacing w:val="20"/>
        </w:rPr>
        <w:t> </w:t>
      </w:r>
      <w:r>
        <w:rPr/>
        <w:t>water</w:t>
      </w:r>
      <w:r>
        <w:rPr>
          <w:spacing w:val="22"/>
        </w:rPr>
        <w:t> </w:t>
      </w:r>
      <w:r>
        <w:rPr/>
        <w:t>rate</w:t>
      </w:r>
      <w:r>
        <w:rPr>
          <w:spacing w:val="23"/>
        </w:rPr>
        <w:t> </w:t>
      </w:r>
      <w:r>
        <w:rPr/>
        <w:t>of</w:t>
      </w:r>
      <w:r>
        <w:rPr>
          <w:spacing w:val="25"/>
        </w:rPr>
        <w:t> </w:t>
      </w:r>
      <w:r>
        <w:rPr>
          <w:dstrike/>
        </w:rPr>
        <w:t>N</w:t>
      </w:r>
      <w:r>
        <w:rPr>
          <w:strike w:val="0"/>
          <w:spacing w:val="23"/>
        </w:rPr>
        <w:t> </w:t>
      </w:r>
      <w:r>
        <w:rPr>
          <w:strike w:val="0"/>
        </w:rPr>
        <w:t>1000</w:t>
      </w:r>
      <w:r>
        <w:rPr>
          <w:strike w:val="0"/>
          <w:spacing w:val="22"/>
        </w:rPr>
        <w:t> </w:t>
      </w:r>
      <w:r>
        <w:rPr>
          <w:strike w:val="0"/>
        </w:rPr>
        <w:t>they</w:t>
      </w:r>
      <w:r>
        <w:rPr>
          <w:strike w:val="0"/>
          <w:spacing w:val="18"/>
        </w:rPr>
        <w:t> </w:t>
      </w:r>
      <w:r>
        <w:rPr>
          <w:strike w:val="0"/>
        </w:rPr>
        <w:t>are</w:t>
      </w:r>
      <w:r>
        <w:rPr>
          <w:strike w:val="0"/>
          <w:spacing w:val="21"/>
        </w:rPr>
        <w:t> </w:t>
      </w:r>
      <w:r>
        <w:rPr>
          <w:strike w:val="0"/>
        </w:rPr>
        <w:t>paying</w:t>
      </w:r>
      <w:r>
        <w:rPr>
          <w:strike w:val="0"/>
          <w:spacing w:val="18"/>
        </w:rPr>
        <w:t> </w:t>
      </w:r>
      <w:r>
        <w:rPr>
          <w:strike w:val="0"/>
        </w:rPr>
        <w:t>the</w:t>
      </w:r>
      <w:r>
        <w:rPr>
          <w:strike w:val="0"/>
          <w:spacing w:val="20"/>
        </w:rPr>
        <w:t> </w:t>
      </w:r>
      <w:r>
        <w:rPr>
          <w:strike w:val="0"/>
        </w:rPr>
        <w:t>NSWSC</w:t>
      </w:r>
      <w:r>
        <w:rPr>
          <w:strike w:val="0"/>
          <w:spacing w:val="23"/>
        </w:rPr>
        <w:t> </w:t>
      </w:r>
      <w:r>
        <w:rPr>
          <w:strike w:val="0"/>
        </w:rPr>
        <w:t>and</w:t>
      </w:r>
      <w:r>
        <w:rPr>
          <w:strike w:val="0"/>
          <w:spacing w:val="21"/>
        </w:rPr>
        <w:t> </w:t>
      </w:r>
      <w:r>
        <w:rPr>
          <w:strike w:val="0"/>
        </w:rPr>
        <w:t>2.5</w:t>
      </w:r>
      <w:r>
        <w:rPr>
          <w:strike w:val="0"/>
          <w:spacing w:val="21"/>
        </w:rPr>
        <w:t> </w:t>
      </w:r>
      <w:r>
        <w:rPr>
          <w:strike w:val="0"/>
        </w:rPr>
        <w:t>times</w:t>
      </w:r>
      <w:r>
        <w:rPr>
          <w:strike w:val="0"/>
          <w:spacing w:val="21"/>
        </w:rPr>
        <w:t> </w:t>
      </w:r>
      <w:r>
        <w:rPr>
          <w:strike w:val="0"/>
        </w:rPr>
        <w:t>higher</w:t>
      </w:r>
      <w:r>
        <w:rPr>
          <w:strike w:val="0"/>
          <w:spacing w:val="20"/>
        </w:rPr>
        <w:t> </w:t>
      </w:r>
      <w:r>
        <w:rPr>
          <w:strike w:val="0"/>
        </w:rPr>
        <w:t>than</w:t>
      </w:r>
      <w:r>
        <w:rPr>
          <w:strike w:val="0"/>
          <w:spacing w:val="24"/>
        </w:rPr>
        <w:t> </w:t>
      </w:r>
      <w:r>
        <w:rPr>
          <w:strike w:val="0"/>
          <w:spacing w:val="-5"/>
        </w:rPr>
        <w:t>the</w:t>
      </w:r>
    </w:p>
    <w:p>
      <w:pPr>
        <w:pStyle w:val="BodyText"/>
        <w:ind w:left="267"/>
      </w:pPr>
      <w:r>
        <w:rPr/>
        <w:t>monthly</w:t>
      </w:r>
      <w:r>
        <w:rPr>
          <w:spacing w:val="4"/>
        </w:rPr>
        <w:t> </w:t>
      </w:r>
      <w:r>
        <w:rPr/>
        <w:t>amount</w:t>
      </w:r>
      <w:r>
        <w:rPr>
          <w:spacing w:val="12"/>
        </w:rPr>
        <w:t> </w:t>
      </w:r>
      <w:r>
        <w:rPr/>
        <w:t>(</w:t>
      </w:r>
      <w:r>
        <w:rPr>
          <w:dstrike/>
        </w:rPr>
        <w:t>N</w:t>
      </w:r>
      <w:r>
        <w:rPr>
          <w:strike w:val="0"/>
          <w:spacing w:val="14"/>
        </w:rPr>
        <w:t> </w:t>
      </w:r>
      <w:r>
        <w:rPr>
          <w:strike w:val="0"/>
        </w:rPr>
        <w:t>3185)</w:t>
      </w:r>
      <w:r>
        <w:rPr>
          <w:strike w:val="0"/>
          <w:spacing w:val="11"/>
        </w:rPr>
        <w:t> </w:t>
      </w:r>
      <w:r>
        <w:rPr>
          <w:strike w:val="0"/>
        </w:rPr>
        <w:t>expended</w:t>
      </w:r>
      <w:r>
        <w:rPr>
          <w:strike w:val="0"/>
          <w:spacing w:val="11"/>
        </w:rPr>
        <w:t> </w:t>
      </w:r>
      <w:r>
        <w:rPr>
          <w:strike w:val="0"/>
        </w:rPr>
        <w:t>by</w:t>
      </w:r>
      <w:r>
        <w:rPr>
          <w:strike w:val="0"/>
          <w:spacing w:val="9"/>
        </w:rPr>
        <w:t> </w:t>
      </w:r>
      <w:r>
        <w:rPr>
          <w:strike w:val="0"/>
        </w:rPr>
        <w:t>an</w:t>
      </w:r>
      <w:r>
        <w:rPr>
          <w:strike w:val="0"/>
          <w:spacing w:val="11"/>
        </w:rPr>
        <w:t> </w:t>
      </w:r>
      <w:r>
        <w:rPr>
          <w:strike w:val="0"/>
        </w:rPr>
        <w:t>average</w:t>
      </w:r>
      <w:r>
        <w:rPr>
          <w:strike w:val="0"/>
          <w:spacing w:val="12"/>
        </w:rPr>
        <w:t> </w:t>
      </w:r>
      <w:r>
        <w:rPr>
          <w:strike w:val="0"/>
        </w:rPr>
        <w:t>household</w:t>
      </w:r>
      <w:r>
        <w:rPr>
          <w:strike w:val="0"/>
          <w:spacing w:val="12"/>
        </w:rPr>
        <w:t> </w:t>
      </w:r>
      <w:r>
        <w:rPr>
          <w:strike w:val="0"/>
        </w:rPr>
        <w:t>on</w:t>
      </w:r>
      <w:r>
        <w:rPr>
          <w:strike w:val="0"/>
          <w:spacing w:val="11"/>
        </w:rPr>
        <w:t> </w:t>
      </w:r>
      <w:r>
        <w:rPr>
          <w:strike w:val="0"/>
        </w:rPr>
        <w:t>public</w:t>
      </w:r>
      <w:r>
        <w:rPr>
          <w:strike w:val="0"/>
          <w:spacing w:val="15"/>
        </w:rPr>
        <w:t> </w:t>
      </w:r>
      <w:r>
        <w:rPr>
          <w:strike w:val="0"/>
        </w:rPr>
        <w:t>water</w:t>
      </w:r>
      <w:r>
        <w:rPr>
          <w:strike w:val="0"/>
          <w:spacing w:val="10"/>
        </w:rPr>
        <w:t> </w:t>
      </w:r>
      <w:r>
        <w:rPr>
          <w:strike w:val="0"/>
        </w:rPr>
        <w:t>in</w:t>
      </w:r>
      <w:r>
        <w:rPr>
          <w:strike w:val="0"/>
          <w:spacing w:val="12"/>
        </w:rPr>
        <w:t> </w:t>
      </w:r>
      <w:r>
        <w:rPr>
          <w:strike w:val="0"/>
        </w:rPr>
        <w:t>the</w:t>
      </w:r>
      <w:r>
        <w:rPr>
          <w:strike w:val="0"/>
          <w:spacing w:val="11"/>
        </w:rPr>
        <w:t> </w:t>
      </w:r>
      <w:r>
        <w:rPr>
          <w:strike w:val="0"/>
          <w:spacing w:val="-2"/>
        </w:rPr>
        <w:t>study</w:t>
      </w:r>
    </w:p>
    <w:p>
      <w:pPr>
        <w:pStyle w:val="BodyText"/>
      </w:pPr>
    </w:p>
    <w:p>
      <w:pPr>
        <w:pStyle w:val="BodyText"/>
        <w:spacing w:before="1"/>
        <w:ind w:left="267"/>
      </w:pPr>
      <w:r>
        <w:rPr/>
        <w:t>area.</w:t>
      </w:r>
      <w:r>
        <w:rPr>
          <w:spacing w:val="6"/>
        </w:rPr>
        <w:t> </w:t>
      </w:r>
      <w:r>
        <w:rPr/>
        <w:t>This</w:t>
      </w:r>
      <w:r>
        <w:rPr>
          <w:spacing w:val="9"/>
        </w:rPr>
        <w:t> </w:t>
      </w:r>
      <w:r>
        <w:rPr/>
        <w:t>monthly</w:t>
      </w:r>
      <w:r>
        <w:rPr>
          <w:spacing w:val="4"/>
        </w:rPr>
        <w:t> </w:t>
      </w:r>
      <w:r>
        <w:rPr/>
        <w:t>sum</w:t>
      </w:r>
      <w:r>
        <w:rPr>
          <w:spacing w:val="11"/>
        </w:rPr>
        <w:t> </w:t>
      </w:r>
      <w:r>
        <w:rPr/>
        <w:t>of</w:t>
      </w:r>
      <w:r>
        <w:rPr>
          <w:spacing w:val="11"/>
        </w:rPr>
        <w:t> </w:t>
      </w:r>
      <w:r>
        <w:rPr>
          <w:dstrike/>
        </w:rPr>
        <w:t>N</w:t>
      </w:r>
      <w:r>
        <w:rPr>
          <w:strike w:val="0"/>
          <w:spacing w:val="9"/>
        </w:rPr>
        <w:t> </w:t>
      </w:r>
      <w:r>
        <w:rPr>
          <w:strike w:val="0"/>
        </w:rPr>
        <w:t>7834</w:t>
      </w:r>
      <w:r>
        <w:rPr>
          <w:strike w:val="0"/>
          <w:spacing w:val="9"/>
        </w:rPr>
        <w:t> </w:t>
      </w:r>
      <w:r>
        <w:rPr>
          <w:strike w:val="0"/>
        </w:rPr>
        <w:t>spent</w:t>
      </w:r>
      <w:r>
        <w:rPr>
          <w:strike w:val="0"/>
          <w:spacing w:val="8"/>
        </w:rPr>
        <w:t> </w:t>
      </w:r>
      <w:r>
        <w:rPr>
          <w:strike w:val="0"/>
        </w:rPr>
        <w:t>in</w:t>
      </w:r>
      <w:r>
        <w:rPr>
          <w:strike w:val="0"/>
          <w:spacing w:val="9"/>
        </w:rPr>
        <w:t> </w:t>
      </w:r>
      <w:r>
        <w:rPr>
          <w:strike w:val="0"/>
        </w:rPr>
        <w:t>coping</w:t>
      </w:r>
      <w:r>
        <w:rPr>
          <w:strike w:val="0"/>
          <w:spacing w:val="7"/>
        </w:rPr>
        <w:t> </w:t>
      </w:r>
      <w:r>
        <w:rPr>
          <w:strike w:val="0"/>
        </w:rPr>
        <w:t>with</w:t>
      </w:r>
      <w:r>
        <w:rPr>
          <w:strike w:val="0"/>
          <w:spacing w:val="9"/>
        </w:rPr>
        <w:t> </w:t>
      </w:r>
      <w:r>
        <w:rPr>
          <w:strike w:val="0"/>
        </w:rPr>
        <w:t>unsafe</w:t>
      </w:r>
      <w:r>
        <w:rPr>
          <w:strike w:val="0"/>
          <w:spacing w:val="9"/>
        </w:rPr>
        <w:t> </w:t>
      </w:r>
      <w:r>
        <w:rPr>
          <w:strike w:val="0"/>
        </w:rPr>
        <w:t>and</w:t>
      </w:r>
      <w:r>
        <w:rPr>
          <w:strike w:val="0"/>
          <w:spacing w:val="9"/>
        </w:rPr>
        <w:t> </w:t>
      </w:r>
      <w:r>
        <w:rPr>
          <w:strike w:val="0"/>
        </w:rPr>
        <w:t>unreliable</w:t>
      </w:r>
      <w:r>
        <w:rPr>
          <w:strike w:val="0"/>
          <w:spacing w:val="8"/>
        </w:rPr>
        <w:t> </w:t>
      </w:r>
      <w:r>
        <w:rPr>
          <w:strike w:val="0"/>
        </w:rPr>
        <w:t>drinking</w:t>
      </w:r>
      <w:r>
        <w:rPr>
          <w:strike w:val="0"/>
          <w:spacing w:val="7"/>
        </w:rPr>
        <w:t> </w:t>
      </w:r>
      <w:r>
        <w:rPr>
          <w:strike w:val="0"/>
          <w:spacing w:val="-5"/>
        </w:rPr>
        <w:t>and</w:t>
      </w:r>
    </w:p>
    <w:p>
      <w:pPr>
        <w:pStyle w:val="BodyText"/>
      </w:pPr>
    </w:p>
    <w:p>
      <w:pPr>
        <w:pStyle w:val="BodyText"/>
        <w:spacing w:line="480" w:lineRule="auto"/>
        <w:ind w:left="267" w:right="726"/>
        <w:jc w:val="both"/>
      </w:pPr>
      <w:r>
        <w:rPr/>
        <w:t>domestic</w:t>
      </w:r>
      <w:r>
        <w:rPr>
          <w:spacing w:val="-15"/>
        </w:rPr>
        <w:t> </w:t>
      </w:r>
      <w:r>
        <w:rPr/>
        <w:t>water</w:t>
      </w:r>
      <w:r>
        <w:rPr>
          <w:spacing w:val="-15"/>
        </w:rPr>
        <w:t> </w:t>
      </w:r>
      <w:r>
        <w:rPr/>
        <w:t>supply</w:t>
      </w:r>
      <w:r>
        <w:rPr>
          <w:spacing w:val="-15"/>
        </w:rPr>
        <w:t> </w:t>
      </w:r>
      <w:r>
        <w:rPr/>
        <w:t>would</w:t>
      </w:r>
      <w:r>
        <w:rPr>
          <w:spacing w:val="-15"/>
        </w:rPr>
        <w:t> </w:t>
      </w:r>
      <w:r>
        <w:rPr/>
        <w:t>otherwise</w:t>
      </w:r>
      <w:r>
        <w:rPr>
          <w:spacing w:val="-15"/>
        </w:rPr>
        <w:t> </w:t>
      </w:r>
      <w:r>
        <w:rPr/>
        <w:t>have</w:t>
      </w:r>
      <w:r>
        <w:rPr>
          <w:spacing w:val="-15"/>
        </w:rPr>
        <w:t> </w:t>
      </w:r>
      <w:r>
        <w:rPr/>
        <w:t>been</w:t>
      </w:r>
      <w:r>
        <w:rPr>
          <w:spacing w:val="-15"/>
        </w:rPr>
        <w:t> </w:t>
      </w:r>
      <w:r>
        <w:rPr/>
        <w:t>channeled</w:t>
      </w:r>
      <w:r>
        <w:rPr>
          <w:spacing w:val="-15"/>
        </w:rPr>
        <w:t> </w:t>
      </w:r>
      <w:r>
        <w:rPr/>
        <w:t>to</w:t>
      </w:r>
      <w:r>
        <w:rPr>
          <w:spacing w:val="-15"/>
        </w:rPr>
        <w:t> </w:t>
      </w:r>
      <w:r>
        <w:rPr/>
        <w:t>other</w:t>
      </w:r>
      <w:r>
        <w:rPr>
          <w:spacing w:val="-15"/>
        </w:rPr>
        <w:t> </w:t>
      </w:r>
      <w:r>
        <w:rPr/>
        <w:t>households’</w:t>
      </w:r>
      <w:r>
        <w:rPr>
          <w:spacing w:val="-15"/>
        </w:rPr>
        <w:t> </w:t>
      </w:r>
      <w:r>
        <w:rPr/>
        <w:t>productive ventures to improve their well-being and living standard of the households in the study.</w:t>
      </w:r>
    </w:p>
    <w:p>
      <w:pPr>
        <w:pStyle w:val="BodyText"/>
        <w:spacing w:line="480" w:lineRule="auto" w:before="240"/>
        <w:ind w:left="267" w:right="729"/>
        <w:jc w:val="both"/>
      </w:pPr>
      <w:r>
        <w:rPr/>
        <w:t>This empirical finding reinforced the earlier study by Zerah (2000) who noted that Delhi households in India on the average spent 2,000 rupees annually in coping with unreliable water supply, which is 5 times more than they are paying municipal government as their annual</w:t>
      </w:r>
      <w:r>
        <w:rPr>
          <w:spacing w:val="-9"/>
        </w:rPr>
        <w:t> </w:t>
      </w:r>
      <w:r>
        <w:rPr/>
        <w:t>water</w:t>
      </w:r>
      <w:r>
        <w:rPr>
          <w:spacing w:val="-11"/>
        </w:rPr>
        <w:t> </w:t>
      </w:r>
      <w:r>
        <w:rPr/>
        <w:t>utility</w:t>
      </w:r>
      <w:r>
        <w:rPr>
          <w:spacing w:val="-12"/>
        </w:rPr>
        <w:t> </w:t>
      </w:r>
      <w:r>
        <w:rPr/>
        <w:t>cost.</w:t>
      </w:r>
      <w:r>
        <w:rPr>
          <w:spacing w:val="-7"/>
        </w:rPr>
        <w:t> </w:t>
      </w:r>
      <w:r>
        <w:rPr/>
        <w:t>Within</w:t>
      </w:r>
      <w:r>
        <w:rPr>
          <w:spacing w:val="-9"/>
        </w:rPr>
        <w:t> </w:t>
      </w:r>
      <w:r>
        <w:rPr/>
        <w:t>the</w:t>
      </w:r>
      <w:r>
        <w:rPr>
          <w:spacing w:val="-10"/>
        </w:rPr>
        <w:t> </w:t>
      </w:r>
      <w:r>
        <w:rPr/>
        <w:t>Nigerian</w:t>
      </w:r>
      <w:r>
        <w:rPr>
          <w:spacing w:val="-10"/>
        </w:rPr>
        <w:t> </w:t>
      </w:r>
      <w:r>
        <w:rPr/>
        <w:t>context,</w:t>
      </w:r>
      <w:r>
        <w:rPr>
          <w:spacing w:val="-9"/>
        </w:rPr>
        <w:t> </w:t>
      </w:r>
      <w:r>
        <w:rPr/>
        <w:t>this</w:t>
      </w:r>
      <w:r>
        <w:rPr>
          <w:spacing w:val="-9"/>
        </w:rPr>
        <w:t> </w:t>
      </w:r>
      <w:r>
        <w:rPr/>
        <w:t>current</w:t>
      </w:r>
      <w:r>
        <w:rPr>
          <w:spacing w:val="-9"/>
        </w:rPr>
        <w:t> </w:t>
      </w:r>
      <w:r>
        <w:rPr/>
        <w:t>finding</w:t>
      </w:r>
      <w:r>
        <w:rPr>
          <w:spacing w:val="-10"/>
        </w:rPr>
        <w:t> </w:t>
      </w:r>
      <w:r>
        <w:rPr/>
        <w:t>also</w:t>
      </w:r>
      <w:r>
        <w:rPr>
          <w:spacing w:val="-9"/>
        </w:rPr>
        <w:t> </w:t>
      </w:r>
      <w:r>
        <w:rPr/>
        <w:t>confirmed</w:t>
      </w:r>
      <w:r>
        <w:rPr>
          <w:spacing w:val="-10"/>
        </w:rPr>
        <w:t> </w:t>
      </w:r>
      <w:r>
        <w:rPr/>
        <w:t>the research</w:t>
      </w:r>
      <w:r>
        <w:rPr>
          <w:spacing w:val="-1"/>
        </w:rPr>
        <w:t> </w:t>
      </w:r>
      <w:r>
        <w:rPr/>
        <w:t>by</w:t>
      </w:r>
      <w:r>
        <w:rPr>
          <w:spacing w:val="-8"/>
        </w:rPr>
        <w:t> </w:t>
      </w:r>
      <w:r>
        <w:rPr/>
        <w:t>Macheve</w:t>
      </w:r>
      <w:r>
        <w:rPr>
          <w:spacing w:val="-1"/>
        </w:rPr>
        <w:t> </w:t>
      </w:r>
      <w:r>
        <w:rPr>
          <w:i/>
        </w:rPr>
        <w:t>et</w:t>
      </w:r>
      <w:r>
        <w:rPr>
          <w:i/>
          <w:spacing w:val="-1"/>
        </w:rPr>
        <w:t> </w:t>
      </w:r>
      <w:r>
        <w:rPr>
          <w:i/>
        </w:rPr>
        <w:t>al. </w:t>
      </w:r>
      <w:r>
        <w:rPr/>
        <w:t>(2015)</w:t>
      </w:r>
      <w:r>
        <w:rPr>
          <w:spacing w:val="-2"/>
        </w:rPr>
        <w:t> </w:t>
      </w:r>
      <w:r>
        <w:rPr/>
        <w:t>that</w:t>
      </w:r>
      <w:r>
        <w:rPr>
          <w:spacing w:val="-1"/>
        </w:rPr>
        <w:t> </w:t>
      </w:r>
      <w:r>
        <w:rPr/>
        <w:t>the</w:t>
      </w:r>
      <w:r>
        <w:rPr>
          <w:spacing w:val="-2"/>
        </w:rPr>
        <w:t> </w:t>
      </w:r>
      <w:r>
        <w:rPr/>
        <w:t>estimated</w:t>
      </w:r>
      <w:r>
        <w:rPr>
          <w:spacing w:val="-2"/>
        </w:rPr>
        <w:t> </w:t>
      </w:r>
      <w:r>
        <w:rPr/>
        <w:t>cost</w:t>
      </w:r>
      <w:r>
        <w:rPr>
          <w:spacing w:val="-1"/>
        </w:rPr>
        <w:t> </w:t>
      </w:r>
      <w:r>
        <w:rPr/>
        <w:t>of</w:t>
      </w:r>
      <w:r>
        <w:rPr>
          <w:spacing w:val="-2"/>
        </w:rPr>
        <w:t> </w:t>
      </w:r>
      <w:r>
        <w:rPr/>
        <w:t>coping</w:t>
      </w:r>
      <w:r>
        <w:rPr>
          <w:spacing w:val="-3"/>
        </w:rPr>
        <w:t> </w:t>
      </w:r>
      <w:r>
        <w:rPr/>
        <w:t>with</w:t>
      </w:r>
      <w:r>
        <w:rPr>
          <w:spacing w:val="-1"/>
        </w:rPr>
        <w:t> </w:t>
      </w:r>
      <w:r>
        <w:rPr/>
        <w:t>lack</w:t>
      </w:r>
      <w:r>
        <w:rPr>
          <w:spacing w:val="-1"/>
        </w:rPr>
        <w:t> </w:t>
      </w:r>
      <w:r>
        <w:rPr/>
        <w:t>and</w:t>
      </w:r>
      <w:r>
        <w:rPr>
          <w:spacing w:val="-1"/>
        </w:rPr>
        <w:t> </w:t>
      </w:r>
      <w:r>
        <w:rPr/>
        <w:t>unreliable water supplies to Nigerian households is quite enormous on yearly basis.</w:t>
      </w:r>
    </w:p>
    <w:p>
      <w:pPr>
        <w:pStyle w:val="BodyText"/>
        <w:spacing w:before="8"/>
      </w:pPr>
    </w:p>
    <w:p>
      <w:pPr>
        <w:pStyle w:val="Heading1"/>
        <w:numPr>
          <w:ilvl w:val="2"/>
          <w:numId w:val="10"/>
        </w:numPr>
        <w:tabs>
          <w:tab w:pos="987" w:val="left" w:leader="none"/>
        </w:tabs>
        <w:spacing w:line="240" w:lineRule="auto" w:before="0" w:after="0"/>
        <w:ind w:left="987" w:right="0" w:hanging="720"/>
        <w:jc w:val="left"/>
      </w:pPr>
      <w:r>
        <w:rPr/>
        <w:t>Level</w:t>
      </w:r>
      <w:r>
        <w:rPr>
          <w:spacing w:val="-1"/>
        </w:rPr>
        <w:t> </w:t>
      </w:r>
      <w:r>
        <w:rPr/>
        <w:t>of</w:t>
      </w:r>
      <w:r>
        <w:rPr>
          <w:spacing w:val="2"/>
        </w:rPr>
        <w:t> </w:t>
      </w:r>
      <w:r>
        <w:rPr/>
        <w:t>water</w:t>
      </w:r>
      <w:r>
        <w:rPr>
          <w:spacing w:val="-2"/>
        </w:rPr>
        <w:t> </w:t>
      </w:r>
      <w:r>
        <w:rPr/>
        <w:t>poverty in</w:t>
      </w:r>
      <w:r>
        <w:rPr>
          <w:spacing w:val="-1"/>
        </w:rPr>
        <w:t> </w:t>
      </w:r>
      <w:r>
        <w:rPr/>
        <w:t>the</w:t>
      </w:r>
      <w:r>
        <w:rPr>
          <w:spacing w:val="-1"/>
        </w:rPr>
        <w:t> </w:t>
      </w:r>
      <w:r>
        <w:rPr/>
        <w:t>study </w:t>
      </w:r>
      <w:r>
        <w:rPr>
          <w:spacing w:val="-4"/>
        </w:rPr>
        <w:t>area</w:t>
      </w:r>
    </w:p>
    <w:p>
      <w:pPr>
        <w:pStyle w:val="BodyText"/>
        <w:spacing w:before="14"/>
        <w:rPr>
          <w:b/>
        </w:rPr>
      </w:pPr>
    </w:p>
    <w:p>
      <w:pPr>
        <w:pStyle w:val="BodyText"/>
        <w:spacing w:line="480" w:lineRule="auto" w:before="1"/>
        <w:ind w:left="267" w:right="736"/>
        <w:jc w:val="both"/>
      </w:pPr>
      <w:r>
        <w:rPr/>
        <w:t>The water poverty measurement aspect and the level of water poverty in the study area are presented next.</w:t>
      </w:r>
    </w:p>
    <w:p>
      <w:pPr>
        <w:pStyle w:val="Heading1"/>
        <w:numPr>
          <w:ilvl w:val="3"/>
          <w:numId w:val="10"/>
        </w:numPr>
        <w:tabs>
          <w:tab w:pos="986" w:val="left" w:leader="none"/>
        </w:tabs>
        <w:spacing w:line="240" w:lineRule="auto" w:before="8" w:after="0"/>
        <w:ind w:left="986" w:right="0" w:hanging="719"/>
        <w:jc w:val="left"/>
      </w:pPr>
      <w:r>
        <w:rPr/>
        <w:t>Water</w:t>
      </w:r>
      <w:r>
        <w:rPr>
          <w:spacing w:val="-2"/>
        </w:rPr>
        <w:t> </w:t>
      </w:r>
      <w:r>
        <w:rPr/>
        <w:t>poverty </w:t>
      </w:r>
      <w:r>
        <w:rPr>
          <w:spacing w:val="-2"/>
        </w:rPr>
        <w:t>measurement</w:t>
      </w:r>
    </w:p>
    <w:p>
      <w:pPr>
        <w:pStyle w:val="BodyText"/>
        <w:spacing w:before="14"/>
        <w:rPr>
          <w:b/>
        </w:rPr>
      </w:pPr>
    </w:p>
    <w:p>
      <w:pPr>
        <w:pStyle w:val="BodyText"/>
        <w:ind w:left="267"/>
        <w:jc w:val="both"/>
      </w:pPr>
      <w:r>
        <w:rPr/>
        <w:t>A</w:t>
      </w:r>
      <w:r>
        <w:rPr>
          <w:spacing w:val="-12"/>
        </w:rPr>
        <w:t> </w:t>
      </w:r>
      <w:r>
        <w:rPr/>
        <w:t>breakdown</w:t>
      </w:r>
      <w:r>
        <w:rPr>
          <w:spacing w:val="-9"/>
        </w:rPr>
        <w:t> </w:t>
      </w:r>
      <w:r>
        <w:rPr/>
        <w:t>of</w:t>
      </w:r>
      <w:r>
        <w:rPr>
          <w:spacing w:val="-8"/>
        </w:rPr>
        <w:t> </w:t>
      </w:r>
      <w:r>
        <w:rPr/>
        <w:t>the</w:t>
      </w:r>
      <w:r>
        <w:rPr>
          <w:spacing w:val="-9"/>
        </w:rPr>
        <w:t> </w:t>
      </w:r>
      <w:r>
        <w:rPr/>
        <w:t>water</w:t>
      </w:r>
      <w:r>
        <w:rPr>
          <w:spacing w:val="-9"/>
        </w:rPr>
        <w:t> </w:t>
      </w:r>
      <w:r>
        <w:rPr/>
        <w:t>poverty</w:t>
      </w:r>
      <w:r>
        <w:rPr>
          <w:spacing w:val="-12"/>
        </w:rPr>
        <w:t> </w:t>
      </w:r>
      <w:r>
        <w:rPr/>
        <w:t>measurement</w:t>
      </w:r>
      <w:r>
        <w:rPr>
          <w:spacing w:val="-9"/>
        </w:rPr>
        <w:t> </w:t>
      </w:r>
      <w:r>
        <w:rPr/>
        <w:t>employed</w:t>
      </w:r>
      <w:r>
        <w:rPr>
          <w:spacing w:val="-9"/>
        </w:rPr>
        <w:t> </w:t>
      </w:r>
      <w:r>
        <w:rPr/>
        <w:t>in</w:t>
      </w:r>
      <w:r>
        <w:rPr>
          <w:spacing w:val="-8"/>
        </w:rPr>
        <w:t> </w:t>
      </w:r>
      <w:r>
        <w:rPr/>
        <w:t>this</w:t>
      </w:r>
      <w:r>
        <w:rPr>
          <w:spacing w:val="-7"/>
        </w:rPr>
        <w:t> </w:t>
      </w:r>
      <w:r>
        <w:rPr/>
        <w:t>study</w:t>
      </w:r>
      <w:r>
        <w:rPr>
          <w:spacing w:val="-15"/>
        </w:rPr>
        <w:t> </w:t>
      </w:r>
      <w:r>
        <w:rPr/>
        <w:t>is</w:t>
      </w:r>
      <w:r>
        <w:rPr>
          <w:spacing w:val="-8"/>
        </w:rPr>
        <w:t> </w:t>
      </w:r>
      <w:r>
        <w:rPr/>
        <w:t>depicted</w:t>
      </w:r>
      <w:r>
        <w:rPr>
          <w:spacing w:val="-9"/>
        </w:rPr>
        <w:t> </w:t>
      </w:r>
      <w:r>
        <w:rPr/>
        <w:t>by</w:t>
      </w:r>
      <w:r>
        <w:rPr>
          <w:spacing w:val="-12"/>
        </w:rPr>
        <w:t> </w:t>
      </w:r>
      <w:r>
        <w:rPr>
          <w:spacing w:val="-2"/>
        </w:rPr>
        <w:t>Figure</w:t>
      </w:r>
    </w:p>
    <w:p>
      <w:pPr>
        <w:pStyle w:val="BodyText"/>
        <w:spacing w:line="550" w:lineRule="atLeast" w:before="2"/>
        <w:ind w:left="267" w:right="726"/>
        <w:jc w:val="both"/>
      </w:pPr>
      <w:r>
        <w:rPr/>
        <w:t>4.10.</w:t>
      </w:r>
      <w:r>
        <w:rPr>
          <w:spacing w:val="40"/>
        </w:rPr>
        <w:t> </w:t>
      </w:r>
      <w:r>
        <w:rPr/>
        <w:t>The</w:t>
      </w:r>
      <w:r>
        <w:rPr>
          <w:spacing w:val="-5"/>
        </w:rPr>
        <w:t> </w:t>
      </w:r>
      <w:r>
        <w:rPr/>
        <w:t>starting</w:t>
      </w:r>
      <w:r>
        <w:rPr>
          <w:spacing w:val="-6"/>
        </w:rPr>
        <w:t> </w:t>
      </w:r>
      <w:r>
        <w:rPr/>
        <w:t>point</w:t>
      </w:r>
      <w:r>
        <w:rPr>
          <w:spacing w:val="-3"/>
        </w:rPr>
        <w:t> </w:t>
      </w:r>
      <w:r>
        <w:rPr/>
        <w:t>in</w:t>
      </w:r>
      <w:r>
        <w:rPr>
          <w:spacing w:val="-4"/>
        </w:rPr>
        <w:t> </w:t>
      </w:r>
      <w:r>
        <w:rPr/>
        <w:t>water</w:t>
      </w:r>
      <w:r>
        <w:rPr>
          <w:spacing w:val="-5"/>
        </w:rPr>
        <w:t> </w:t>
      </w:r>
      <w:r>
        <w:rPr/>
        <w:t>poverty</w:t>
      </w:r>
      <w:r>
        <w:rPr>
          <w:spacing w:val="-9"/>
        </w:rPr>
        <w:t> </w:t>
      </w:r>
      <w:r>
        <w:rPr/>
        <w:t>measurement</w:t>
      </w:r>
      <w:r>
        <w:rPr>
          <w:spacing w:val="-4"/>
        </w:rPr>
        <w:t> </w:t>
      </w:r>
      <w:r>
        <w:rPr/>
        <w:t>will</w:t>
      </w:r>
      <w:r>
        <w:rPr>
          <w:spacing w:val="-3"/>
        </w:rPr>
        <w:t> </w:t>
      </w:r>
      <w:r>
        <w:rPr/>
        <w:t>be</w:t>
      </w:r>
      <w:r>
        <w:rPr>
          <w:spacing w:val="-5"/>
        </w:rPr>
        <w:t> </w:t>
      </w:r>
      <w:r>
        <w:rPr/>
        <w:t>the</w:t>
      </w:r>
      <w:r>
        <w:rPr>
          <w:spacing w:val="-4"/>
        </w:rPr>
        <w:t> </w:t>
      </w:r>
      <w:r>
        <w:rPr/>
        <w:t>validation</w:t>
      </w:r>
      <w:r>
        <w:rPr>
          <w:spacing w:val="-4"/>
        </w:rPr>
        <w:t> </w:t>
      </w:r>
      <w:r>
        <w:rPr/>
        <w:t>of</w:t>
      </w:r>
      <w:r>
        <w:rPr>
          <w:spacing w:val="-5"/>
        </w:rPr>
        <w:t> </w:t>
      </w:r>
      <w:r>
        <w:rPr/>
        <w:t>the</w:t>
      </w:r>
      <w:r>
        <w:rPr>
          <w:spacing w:val="-4"/>
        </w:rPr>
        <w:t> </w:t>
      </w:r>
      <w:r>
        <w:rPr/>
        <w:t>21</w:t>
      </w:r>
      <w:r>
        <w:rPr>
          <w:spacing w:val="-4"/>
        </w:rPr>
        <w:t> </w:t>
      </w:r>
      <w:r>
        <w:rPr/>
        <w:t>water poverty indicators provided in Table 4.17 as identified from the literature. These indicators captured</w:t>
      </w:r>
      <w:r>
        <w:rPr>
          <w:spacing w:val="44"/>
        </w:rPr>
        <w:t> </w:t>
      </w:r>
      <w:r>
        <w:rPr/>
        <w:t>at</w:t>
      </w:r>
      <w:r>
        <w:rPr>
          <w:spacing w:val="47"/>
        </w:rPr>
        <w:t> </w:t>
      </w:r>
      <w:r>
        <w:rPr/>
        <w:t>household</w:t>
      </w:r>
      <w:r>
        <w:rPr>
          <w:spacing w:val="47"/>
        </w:rPr>
        <w:t> </w:t>
      </w:r>
      <w:r>
        <w:rPr/>
        <w:t>level</w:t>
      </w:r>
      <w:r>
        <w:rPr>
          <w:spacing w:val="47"/>
        </w:rPr>
        <w:t> </w:t>
      </w:r>
      <w:r>
        <w:rPr/>
        <w:t>through</w:t>
      </w:r>
      <w:r>
        <w:rPr>
          <w:spacing w:val="46"/>
        </w:rPr>
        <w:t> </w:t>
      </w:r>
      <w:r>
        <w:rPr/>
        <w:t>the</w:t>
      </w:r>
      <w:r>
        <w:rPr>
          <w:spacing w:val="46"/>
        </w:rPr>
        <w:t> </w:t>
      </w:r>
      <w:r>
        <w:rPr/>
        <w:t>use</w:t>
      </w:r>
      <w:r>
        <w:rPr>
          <w:spacing w:val="47"/>
        </w:rPr>
        <w:t> </w:t>
      </w:r>
      <w:r>
        <w:rPr/>
        <w:t>of</w:t>
      </w:r>
      <w:r>
        <w:rPr>
          <w:spacing w:val="48"/>
        </w:rPr>
        <w:t> </w:t>
      </w:r>
      <w:r>
        <w:rPr/>
        <w:t>a</w:t>
      </w:r>
      <w:r>
        <w:rPr>
          <w:spacing w:val="45"/>
        </w:rPr>
        <w:t> </w:t>
      </w:r>
      <w:r>
        <w:rPr/>
        <w:t>questionnaire-based</w:t>
      </w:r>
      <w:r>
        <w:rPr>
          <w:spacing w:val="46"/>
        </w:rPr>
        <w:t> </w:t>
      </w:r>
      <w:r>
        <w:rPr/>
        <w:t>survey</w:t>
      </w:r>
      <w:r>
        <w:rPr>
          <w:spacing w:val="43"/>
        </w:rPr>
        <w:t> </w:t>
      </w:r>
      <w:r>
        <w:rPr/>
        <w:t>were</w:t>
      </w:r>
      <w:r>
        <w:rPr>
          <w:spacing w:val="47"/>
        </w:rPr>
        <w:t> </w:t>
      </w:r>
      <w:r>
        <w:rPr>
          <w:spacing w:val="-4"/>
        </w:rPr>
        <w:t>then</w:t>
      </w:r>
    </w:p>
    <w:p>
      <w:pPr>
        <w:spacing w:after="0" w:line="550" w:lineRule="atLeast"/>
        <w:jc w:val="both"/>
        <w:sectPr>
          <w:pgSz w:w="12240" w:h="15840"/>
          <w:pgMar w:header="0" w:footer="1068" w:top="1340" w:bottom="1260" w:left="1720" w:right="680"/>
        </w:sectPr>
      </w:pPr>
    </w:p>
    <w:p>
      <w:pPr>
        <w:pStyle w:val="BodyText"/>
        <w:spacing w:line="482" w:lineRule="auto" w:before="63"/>
        <w:ind w:left="267" w:right="725"/>
        <w:jc w:val="both"/>
      </w:pPr>
      <w:r>
        <w:rPr/>
        <w:t>constructed along</w:t>
      </w:r>
      <w:r>
        <w:rPr>
          <w:spacing w:val="-1"/>
        </w:rPr>
        <w:t> </w:t>
      </w:r>
      <w:r>
        <w:rPr/>
        <w:t>the</w:t>
      </w:r>
      <w:r>
        <w:rPr>
          <w:spacing w:val="-2"/>
        </w:rPr>
        <w:t> </w:t>
      </w:r>
      <w:r>
        <w:rPr/>
        <w:t>5 dimensions</w:t>
      </w:r>
      <w:r>
        <w:rPr>
          <w:spacing w:val="-1"/>
        </w:rPr>
        <w:t> </w:t>
      </w:r>
      <w:r>
        <w:rPr/>
        <w:t>(resource, access,</w:t>
      </w:r>
      <w:r>
        <w:rPr>
          <w:spacing w:val="-1"/>
        </w:rPr>
        <w:t> </w:t>
      </w:r>
      <w:r>
        <w:rPr/>
        <w:t>capacity,</w:t>
      </w:r>
      <w:r>
        <w:rPr>
          <w:spacing w:val="-1"/>
        </w:rPr>
        <w:t> </w:t>
      </w:r>
      <w:r>
        <w:rPr/>
        <w:t>use and environment)</w:t>
      </w:r>
      <w:r>
        <w:rPr>
          <w:spacing w:val="-2"/>
        </w:rPr>
        <w:t> </w:t>
      </w:r>
      <w:r>
        <w:rPr/>
        <w:t>of</w:t>
      </w:r>
      <w:r>
        <w:rPr>
          <w:spacing w:val="-2"/>
        </w:rPr>
        <w:t> </w:t>
      </w:r>
      <w:r>
        <w:rPr/>
        <w:t>the water</w:t>
      </w:r>
      <w:r>
        <w:rPr>
          <w:spacing w:val="-9"/>
        </w:rPr>
        <w:t> </w:t>
      </w:r>
      <w:r>
        <w:rPr/>
        <w:t>poverty</w:t>
      </w:r>
      <w:r>
        <w:rPr>
          <w:spacing w:val="-13"/>
        </w:rPr>
        <w:t> </w:t>
      </w:r>
      <w:r>
        <w:rPr/>
        <w:t>assessment</w:t>
      </w:r>
      <w:r>
        <w:rPr>
          <w:spacing w:val="-8"/>
        </w:rPr>
        <w:t> </w:t>
      </w:r>
      <w:r>
        <w:rPr/>
        <w:t>framework.</w:t>
      </w:r>
      <w:r>
        <w:rPr>
          <w:spacing w:val="40"/>
        </w:rPr>
        <w:t> </w:t>
      </w:r>
      <w:r>
        <w:rPr/>
        <w:t>The</w:t>
      </w:r>
      <w:r>
        <w:rPr>
          <w:spacing w:val="-9"/>
        </w:rPr>
        <w:t> </w:t>
      </w:r>
      <w:r>
        <w:rPr/>
        <w:t>data</w:t>
      </w:r>
      <w:r>
        <w:rPr>
          <w:spacing w:val="-9"/>
        </w:rPr>
        <w:t> </w:t>
      </w:r>
      <w:r>
        <w:rPr/>
        <w:t>matrix</w:t>
      </w:r>
      <w:r>
        <w:rPr>
          <w:spacing w:val="-6"/>
        </w:rPr>
        <w:t> </w:t>
      </w:r>
      <w:r>
        <w:rPr/>
        <w:t>for</w:t>
      </w:r>
      <w:r>
        <w:rPr>
          <w:spacing w:val="-10"/>
        </w:rPr>
        <w:t> </w:t>
      </w:r>
      <w:r>
        <w:rPr/>
        <w:t>water</w:t>
      </w:r>
      <w:r>
        <w:rPr>
          <w:spacing w:val="-9"/>
        </w:rPr>
        <w:t> </w:t>
      </w:r>
      <w:r>
        <w:rPr/>
        <w:t>poverty</w:t>
      </w:r>
      <w:r>
        <w:rPr>
          <w:spacing w:val="-13"/>
        </w:rPr>
        <w:t> </w:t>
      </w:r>
      <w:r>
        <w:rPr/>
        <w:t>indicators</w:t>
      </w:r>
      <w:r>
        <w:rPr>
          <w:spacing w:val="-8"/>
        </w:rPr>
        <w:t> </w:t>
      </w:r>
      <w:r>
        <w:rPr/>
        <w:t>retrieved from the survey was normalized using the minimum-maximum approach (linear scaling technique). As suggested by Nardo </w:t>
      </w:r>
      <w:r>
        <w:rPr>
          <w:i/>
        </w:rPr>
        <w:t>et al. </w:t>
      </w:r>
      <w:r>
        <w:rPr/>
        <w:t>(2008) normalization became necessary to standardize the data to a measurable form, as the data for the indicators were reported in different scales and</w:t>
      </w:r>
      <w:r>
        <w:rPr>
          <w:spacing w:val="-1"/>
        </w:rPr>
        <w:t> </w:t>
      </w:r>
      <w:r>
        <w:rPr/>
        <w:t>units.</w:t>
      </w:r>
      <w:r>
        <w:rPr>
          <w:spacing w:val="-1"/>
        </w:rPr>
        <w:t> </w:t>
      </w:r>
      <w:r>
        <w:rPr/>
        <w:t>Applying</w:t>
      </w:r>
      <w:r>
        <w:rPr>
          <w:spacing w:val="-4"/>
        </w:rPr>
        <w:t> </w:t>
      </w:r>
      <w:r>
        <w:rPr/>
        <w:t>the</w:t>
      </w:r>
      <w:r>
        <w:rPr>
          <w:spacing w:val="-2"/>
        </w:rPr>
        <w:t> </w:t>
      </w:r>
      <w:r>
        <w:rPr/>
        <w:t>minimum-maximum</w:t>
      </w:r>
      <w:r>
        <w:rPr>
          <w:spacing w:val="-1"/>
        </w:rPr>
        <w:t> </w:t>
      </w:r>
      <w:r>
        <w:rPr/>
        <w:t>approach, each</w:t>
      </w:r>
      <w:r>
        <w:rPr>
          <w:spacing w:val="-1"/>
        </w:rPr>
        <w:t> </w:t>
      </w:r>
      <w:r>
        <w:rPr/>
        <w:t>indicator</w:t>
      </w:r>
      <w:r>
        <w:rPr>
          <w:spacing w:val="-2"/>
        </w:rPr>
        <w:t> </w:t>
      </w:r>
      <w:r>
        <w:rPr/>
        <w:t>value </w:t>
      </w:r>
      <w:r>
        <w:rPr>
          <w:rFonts w:ascii="Cambria Math"/>
        </w:rPr>
        <w:t>V</w:t>
      </w:r>
      <w:r>
        <w:rPr>
          <w:rFonts w:ascii="Cambria Math"/>
          <w:vertAlign w:val="subscript"/>
        </w:rPr>
        <w:t>i</w:t>
      </w:r>
      <w:r>
        <w:rPr>
          <w:rFonts w:ascii="Cambria Math"/>
          <w:vertAlign w:val="superscript"/>
        </w:rPr>
        <w:t>t</w:t>
      </w:r>
      <w:r>
        <w:rPr>
          <w:rFonts w:ascii="Cambria Math"/>
          <w:spacing w:val="27"/>
          <w:vertAlign w:val="baseline"/>
        </w:rPr>
        <w:t> </w:t>
      </w:r>
      <w:r>
        <w:rPr>
          <w:vertAlign w:val="baseline"/>
        </w:rPr>
        <w:t>for a given household </w:t>
      </w:r>
      <w:r>
        <w:rPr>
          <w:rFonts w:ascii="Cambria Math"/>
          <w:vertAlign w:val="baseline"/>
        </w:rPr>
        <w:t>i </w:t>
      </w:r>
      <w:r>
        <w:rPr>
          <w:vertAlign w:val="baseline"/>
        </w:rPr>
        <w:t>at a given time </w:t>
      </w:r>
      <w:r>
        <w:rPr>
          <w:rFonts w:ascii="Cambria Math"/>
          <w:vertAlign w:val="baseline"/>
        </w:rPr>
        <w:t>t </w:t>
      </w:r>
      <w:r>
        <w:rPr>
          <w:vertAlign w:val="baseline"/>
        </w:rPr>
        <w:t>is given as Nardo </w:t>
      </w:r>
      <w:r>
        <w:rPr>
          <w:i/>
          <w:vertAlign w:val="baseline"/>
        </w:rPr>
        <w:t>et al. </w:t>
      </w:r>
      <w:r>
        <w:rPr>
          <w:vertAlign w:val="baseline"/>
        </w:rPr>
        <w:t>(2008):</w:t>
      </w:r>
    </w:p>
    <w:p>
      <w:pPr>
        <w:spacing w:after="0" w:line="482" w:lineRule="auto"/>
        <w:jc w:val="both"/>
        <w:sectPr>
          <w:pgSz w:w="12240" w:h="15840"/>
          <w:pgMar w:header="0" w:footer="1068" w:top="1340" w:bottom="1260" w:left="1720" w:right="680"/>
        </w:sectPr>
      </w:pPr>
    </w:p>
    <w:p>
      <w:pPr>
        <w:pStyle w:val="BodyText"/>
        <w:spacing w:before="183"/>
        <w:ind w:left="267"/>
        <w:rPr>
          <w:rFonts w:ascii="Cambria Math"/>
        </w:rPr>
      </w:pPr>
      <w:r>
        <w:rPr>
          <w:rFonts w:ascii="Cambria Math"/>
          <w:w w:val="110"/>
        </w:rPr>
        <w:t>V</w:t>
      </w:r>
      <w:r>
        <w:rPr>
          <w:rFonts w:ascii="Cambria Math"/>
          <w:w w:val="110"/>
          <w:vertAlign w:val="subscript"/>
        </w:rPr>
        <w:t>i</w:t>
      </w:r>
      <w:r>
        <w:rPr>
          <w:rFonts w:ascii="Cambria Math"/>
          <w:w w:val="110"/>
          <w:vertAlign w:val="superscript"/>
        </w:rPr>
        <w:t>t</w:t>
      </w:r>
      <w:r>
        <w:rPr>
          <w:rFonts w:ascii="Cambria Math"/>
          <w:spacing w:val="3"/>
          <w:w w:val="110"/>
          <w:vertAlign w:val="baseline"/>
        </w:rPr>
        <w:t> </w:t>
      </w:r>
      <w:r>
        <w:rPr>
          <w:rFonts w:ascii="Cambria Math"/>
          <w:spacing w:val="-26"/>
          <w:w w:val="110"/>
          <w:vertAlign w:val="baseline"/>
        </w:rPr>
        <w:t>=</w:t>
      </w:r>
    </w:p>
    <w:p>
      <w:pPr>
        <w:spacing w:before="6"/>
        <w:ind w:left="27" w:right="0" w:firstLine="0"/>
        <w:jc w:val="center"/>
        <w:rPr>
          <w:rFonts w:ascii="Cambria Math" w:hAnsi="Cambria Math" w:eastAsia="Cambria Math"/>
          <w:sz w:val="17"/>
        </w:rPr>
      </w:pPr>
      <w:r>
        <w:rPr/>
        <w:br w:type="column"/>
      </w:r>
      <w:r>
        <w:rPr>
          <w:rFonts w:ascii="Cambria Math" w:hAnsi="Cambria Math" w:eastAsia="Cambria Math"/>
          <w:w w:val="110"/>
          <w:sz w:val="17"/>
        </w:rPr>
        <w:t>x</w:t>
      </w:r>
      <w:r>
        <w:rPr>
          <w:rFonts w:ascii="Cambria Math" w:hAnsi="Cambria Math" w:eastAsia="Cambria Math"/>
          <w:w w:val="110"/>
          <w:position w:val="-3"/>
          <w:sz w:val="14"/>
        </w:rPr>
        <w:t>i</w:t>
      </w:r>
      <w:r>
        <w:rPr>
          <w:rFonts w:ascii="Cambria Math" w:hAnsi="Cambria Math" w:eastAsia="Cambria Math"/>
          <w:w w:val="110"/>
          <w:position w:val="6"/>
          <w:sz w:val="14"/>
        </w:rPr>
        <w:t>t </w:t>
      </w:r>
      <w:r>
        <w:rPr>
          <w:rFonts w:ascii="Cambria Math" w:hAnsi="Cambria Math" w:eastAsia="Cambria Math"/>
          <w:w w:val="110"/>
          <w:sz w:val="17"/>
        </w:rPr>
        <w:t>−minimum</w:t>
      </w:r>
      <w:r>
        <w:rPr>
          <w:rFonts w:ascii="Cambria Math" w:hAnsi="Cambria Math" w:eastAsia="Cambria Math"/>
          <w:w w:val="110"/>
          <w:position w:val="1"/>
          <w:sz w:val="17"/>
        </w:rPr>
        <w:t>〖(</w:t>
      </w:r>
      <w:r>
        <w:rPr>
          <w:rFonts w:ascii="Cambria Math" w:hAnsi="Cambria Math" w:eastAsia="Cambria Math"/>
          <w:w w:val="110"/>
          <w:sz w:val="17"/>
        </w:rPr>
        <w:t>x</w:t>
      </w:r>
      <w:r>
        <w:rPr>
          <w:rFonts w:ascii="Cambria Math" w:hAnsi="Cambria Math" w:eastAsia="Cambria Math"/>
          <w:w w:val="110"/>
          <w:position w:val="1"/>
          <w:sz w:val="17"/>
        </w:rPr>
        <w:t>〗</w:t>
      </w:r>
      <w:r>
        <w:rPr>
          <w:rFonts w:ascii="Cambria Math" w:hAnsi="Cambria Math" w:eastAsia="Cambria Math"/>
          <w:spacing w:val="-5"/>
          <w:w w:val="110"/>
          <w:position w:val="-3"/>
          <w:sz w:val="14"/>
        </w:rPr>
        <w:t>i</w:t>
      </w:r>
      <w:r>
        <w:rPr>
          <w:rFonts w:ascii="Cambria Math" w:hAnsi="Cambria Math" w:eastAsia="Cambria Math"/>
          <w:spacing w:val="-5"/>
          <w:w w:val="110"/>
          <w:position w:val="9"/>
          <w:sz w:val="14"/>
        </w:rPr>
        <w:t>t</w:t>
      </w:r>
      <w:r>
        <w:rPr>
          <w:rFonts w:ascii="Cambria Math" w:hAnsi="Cambria Math" w:eastAsia="Cambria Math"/>
          <w:spacing w:val="-5"/>
          <w:w w:val="110"/>
          <w:sz w:val="17"/>
        </w:rPr>
        <w:t>)</w:t>
      </w:r>
    </w:p>
    <w:p>
      <w:pPr>
        <w:pStyle w:val="BodyText"/>
        <w:spacing w:before="11"/>
        <w:rPr>
          <w:rFonts w:ascii="Cambria Math"/>
          <w:sz w:val="2"/>
        </w:rPr>
      </w:pPr>
    </w:p>
    <w:p>
      <w:pPr>
        <w:pStyle w:val="BodyText"/>
        <w:spacing w:line="20" w:lineRule="exact"/>
        <w:ind w:left="27" w:right="-58"/>
        <w:rPr>
          <w:rFonts w:ascii="Cambria Math"/>
          <w:sz w:val="2"/>
        </w:rPr>
      </w:pPr>
      <w:r>
        <w:rPr>
          <w:rFonts w:ascii="Cambria Math"/>
          <w:sz w:val="2"/>
        </w:rPr>
        <mc:AlternateContent>
          <mc:Choice Requires="wps">
            <w:drawing>
              <wp:inline distT="0" distB="0" distL="0" distR="0">
                <wp:extent cx="1804670" cy="10795"/>
                <wp:effectExtent l="0" t="0" r="0" b="0"/>
                <wp:docPr id="91" name="Group 91"/>
                <wp:cNvGraphicFramePr>
                  <a:graphicFrameLocks/>
                </wp:cNvGraphicFramePr>
                <a:graphic>
                  <a:graphicData uri="http://schemas.microsoft.com/office/word/2010/wordprocessingGroup">
                    <wpg:wgp>
                      <wpg:cNvPr id="91" name="Group 91"/>
                      <wpg:cNvGrpSpPr/>
                      <wpg:grpSpPr>
                        <a:xfrm>
                          <a:off x="0" y="0"/>
                          <a:ext cx="1804670" cy="10795"/>
                          <a:chExt cx="1804670" cy="10795"/>
                        </a:xfrm>
                      </wpg:grpSpPr>
                      <wps:wsp>
                        <wps:cNvPr id="92" name="Graphic 92"/>
                        <wps:cNvSpPr/>
                        <wps:spPr>
                          <a:xfrm>
                            <a:off x="0" y="0"/>
                            <a:ext cx="1804670" cy="10795"/>
                          </a:xfrm>
                          <a:custGeom>
                            <a:avLst/>
                            <a:gdLst/>
                            <a:ahLst/>
                            <a:cxnLst/>
                            <a:rect l="l" t="t" r="r" b="b"/>
                            <a:pathLst>
                              <a:path w="1804670" h="10795">
                                <a:moveTo>
                                  <a:pt x="1804669" y="0"/>
                                </a:moveTo>
                                <a:lnTo>
                                  <a:pt x="0" y="0"/>
                                </a:lnTo>
                                <a:lnTo>
                                  <a:pt x="0" y="10667"/>
                                </a:lnTo>
                                <a:lnTo>
                                  <a:pt x="1804669" y="10667"/>
                                </a:lnTo>
                                <a:lnTo>
                                  <a:pt x="18046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2.1pt;height:.85pt;mso-position-horizontal-relative:char;mso-position-vertical-relative:line" id="docshapegroup82" coordorigin="0,0" coordsize="2842,17">
                <v:rect style="position:absolute;left:0;top:0;width:2842;height:17" id="docshape83" filled="true" fillcolor="#000000" stroked="false">
                  <v:fill type="solid"/>
                </v:rect>
              </v:group>
            </w:pict>
          </mc:Fallback>
        </mc:AlternateContent>
      </w:r>
      <w:r>
        <w:rPr>
          <w:rFonts w:ascii="Cambria Math"/>
          <w:sz w:val="2"/>
        </w:rPr>
      </w:r>
    </w:p>
    <w:p>
      <w:pPr>
        <w:spacing w:before="0"/>
        <w:ind w:left="27" w:right="0" w:firstLine="0"/>
        <w:jc w:val="center"/>
        <w:rPr>
          <w:rFonts w:ascii="Cambria Math" w:hAnsi="Cambria Math" w:eastAsia="Cambria Math"/>
          <w:sz w:val="17"/>
        </w:rPr>
      </w:pPr>
      <w:r>
        <w:rPr>
          <w:rFonts w:ascii="Cambria Math" w:hAnsi="Cambria Math" w:eastAsia="Cambria Math"/>
          <w:spacing w:val="-2"/>
          <w:w w:val="110"/>
          <w:position w:val="1"/>
          <w:sz w:val="17"/>
        </w:rPr>
        <w:t>〖</w:t>
      </w:r>
      <w:r>
        <w:rPr>
          <w:rFonts w:ascii="Cambria Math" w:hAnsi="Cambria Math" w:eastAsia="Cambria Math"/>
          <w:spacing w:val="-2"/>
          <w:w w:val="110"/>
          <w:sz w:val="17"/>
        </w:rPr>
        <w:t>maximum</w:t>
      </w:r>
      <w:r>
        <w:rPr>
          <w:rFonts w:ascii="Cambria Math" w:hAnsi="Cambria Math" w:eastAsia="Cambria Math"/>
          <w:spacing w:val="7"/>
          <w:w w:val="110"/>
          <w:sz w:val="17"/>
        </w:rPr>
        <w:t> </w:t>
      </w:r>
      <w:r>
        <w:rPr>
          <w:rFonts w:ascii="Cambria Math" w:hAnsi="Cambria Math" w:eastAsia="Cambria Math"/>
          <w:spacing w:val="-2"/>
          <w:w w:val="110"/>
          <w:position w:val="1"/>
          <w:sz w:val="17"/>
        </w:rPr>
        <w:t>(</w:t>
      </w:r>
      <w:r>
        <w:rPr>
          <w:rFonts w:ascii="Cambria Math" w:hAnsi="Cambria Math" w:eastAsia="Cambria Math"/>
          <w:spacing w:val="-2"/>
          <w:w w:val="110"/>
          <w:sz w:val="17"/>
        </w:rPr>
        <w:t>x</w:t>
      </w:r>
      <w:r>
        <w:rPr>
          <w:rFonts w:ascii="Cambria Math" w:hAnsi="Cambria Math" w:eastAsia="Cambria Math"/>
          <w:spacing w:val="-2"/>
          <w:w w:val="110"/>
          <w:position w:val="-3"/>
          <w:sz w:val="14"/>
        </w:rPr>
        <w:t>i</w:t>
      </w:r>
      <w:r>
        <w:rPr>
          <w:rFonts w:ascii="Cambria Math" w:hAnsi="Cambria Math" w:eastAsia="Cambria Math"/>
          <w:spacing w:val="-2"/>
          <w:w w:val="110"/>
          <w:position w:val="1"/>
          <w:sz w:val="17"/>
        </w:rPr>
        <w:t>〗</w:t>
      </w:r>
      <w:r>
        <w:rPr>
          <w:rFonts w:ascii="Cambria Math" w:hAnsi="Cambria Math" w:eastAsia="Cambria Math"/>
          <w:spacing w:val="-2"/>
          <w:w w:val="110"/>
          <w:position w:val="5"/>
          <w:sz w:val="14"/>
        </w:rPr>
        <w:t>t</w:t>
      </w:r>
      <w:r>
        <w:rPr>
          <w:rFonts w:ascii="Cambria Math" w:hAnsi="Cambria Math" w:eastAsia="Cambria Math"/>
          <w:spacing w:val="13"/>
          <w:w w:val="110"/>
          <w:position w:val="5"/>
          <w:sz w:val="14"/>
        </w:rPr>
        <w:t> </w:t>
      </w:r>
      <w:r>
        <w:rPr>
          <w:rFonts w:ascii="Cambria Math" w:hAnsi="Cambria Math" w:eastAsia="Cambria Math"/>
          <w:spacing w:val="-2"/>
          <w:w w:val="110"/>
          <w:position w:val="1"/>
          <w:sz w:val="17"/>
        </w:rPr>
        <w:t>)</w:t>
      </w:r>
      <w:r>
        <w:rPr>
          <w:rFonts w:ascii="Cambria Math" w:hAnsi="Cambria Math" w:eastAsia="Cambria Math"/>
          <w:spacing w:val="-2"/>
          <w:w w:val="110"/>
          <w:sz w:val="17"/>
        </w:rPr>
        <w:t>−minimum</w:t>
      </w:r>
      <w:r>
        <w:rPr>
          <w:rFonts w:ascii="Cambria Math" w:hAnsi="Cambria Math" w:eastAsia="Cambria Math"/>
          <w:spacing w:val="-2"/>
          <w:w w:val="110"/>
          <w:position w:val="1"/>
          <w:sz w:val="17"/>
        </w:rPr>
        <w:t>〖(</w:t>
      </w:r>
      <w:r>
        <w:rPr>
          <w:rFonts w:ascii="Cambria Math" w:hAnsi="Cambria Math" w:eastAsia="Cambria Math"/>
          <w:spacing w:val="-2"/>
          <w:w w:val="110"/>
          <w:sz w:val="17"/>
        </w:rPr>
        <w:t>x</w:t>
      </w:r>
      <w:r>
        <w:rPr>
          <w:rFonts w:ascii="Cambria Math" w:hAnsi="Cambria Math" w:eastAsia="Cambria Math"/>
          <w:spacing w:val="-2"/>
          <w:w w:val="110"/>
          <w:position w:val="1"/>
          <w:sz w:val="17"/>
        </w:rPr>
        <w:t>〗</w:t>
      </w:r>
      <w:r>
        <w:rPr>
          <w:rFonts w:ascii="Cambria Math" w:hAnsi="Cambria Math" w:eastAsia="Cambria Math"/>
          <w:spacing w:val="-5"/>
          <w:w w:val="110"/>
          <w:position w:val="-3"/>
          <w:sz w:val="14"/>
        </w:rPr>
        <w:t>i</w:t>
      </w:r>
      <w:r>
        <w:rPr>
          <w:rFonts w:ascii="Cambria Math" w:hAnsi="Cambria Math" w:eastAsia="Cambria Math"/>
          <w:spacing w:val="-5"/>
          <w:w w:val="110"/>
          <w:position w:val="9"/>
          <w:sz w:val="14"/>
        </w:rPr>
        <w:t>t</w:t>
      </w:r>
      <w:r>
        <w:rPr>
          <w:rFonts w:ascii="Cambria Math" w:hAnsi="Cambria Math" w:eastAsia="Cambria Math"/>
          <w:spacing w:val="-5"/>
          <w:w w:val="110"/>
          <w:sz w:val="17"/>
        </w:rPr>
        <w:t>)</w:t>
      </w:r>
    </w:p>
    <w:p>
      <w:pPr>
        <w:pStyle w:val="BodyText"/>
        <w:tabs>
          <w:tab w:pos="2245" w:val="left" w:leader="dot"/>
        </w:tabs>
        <w:spacing w:before="183"/>
        <w:ind w:left="104"/>
      </w:pPr>
      <w:r>
        <w:rPr/>
        <w:br w:type="column"/>
      </w:r>
      <w:r>
        <w:rPr>
          <w:rFonts w:ascii="Cambria Math"/>
        </w:rPr>
        <w:t>X</w:t>
      </w:r>
      <w:r>
        <w:rPr>
          <w:rFonts w:ascii="Cambria Math"/>
          <w:spacing w:val="-1"/>
        </w:rPr>
        <w:t> </w:t>
      </w:r>
      <w:r>
        <w:rPr>
          <w:rFonts w:ascii="Cambria Math"/>
          <w:spacing w:val="-5"/>
        </w:rPr>
        <w:t>100</w:t>
      </w:r>
      <w:r>
        <w:rPr/>
        <w:tab/>
      </w:r>
      <w:r>
        <w:rPr>
          <w:spacing w:val="-4"/>
        </w:rPr>
        <w:t>(4.1)</w:t>
      </w:r>
    </w:p>
    <w:p>
      <w:pPr>
        <w:spacing w:after="0"/>
        <w:sectPr>
          <w:type w:val="continuous"/>
          <w:pgSz w:w="12240" w:h="15840"/>
          <w:pgMar w:header="0" w:footer="1068" w:top="1340" w:bottom="1260" w:left="1720" w:right="680"/>
          <w:cols w:num="3" w:equalWidth="0">
            <w:col w:w="779" w:space="40"/>
            <w:col w:w="2873" w:space="39"/>
            <w:col w:w="6109"/>
          </w:cols>
        </w:sectPr>
      </w:pPr>
    </w:p>
    <w:p>
      <w:pPr>
        <w:pStyle w:val="BodyText"/>
      </w:pPr>
    </w:p>
    <w:p>
      <w:pPr>
        <w:pStyle w:val="BodyText"/>
        <w:spacing w:before="266"/>
      </w:pPr>
    </w:p>
    <w:p>
      <w:pPr>
        <w:pStyle w:val="BodyText"/>
        <w:spacing w:line="480" w:lineRule="auto"/>
        <w:ind w:left="267" w:right="727"/>
        <w:jc w:val="both"/>
      </w:pPr>
      <w:r>
        <w:rPr/>
        <w:t>Where</w:t>
      </w:r>
      <w:r>
        <w:rPr>
          <w:spacing w:val="40"/>
        </w:rPr>
        <w:t> </w:t>
      </w:r>
      <w:r>
        <w:rPr>
          <w:rFonts w:ascii="Cambria Math" w:eastAsia="Cambria Math"/>
          <w:position w:val="1"/>
        </w:rPr>
        <w:t>〖</w:t>
      </w:r>
      <w:r>
        <w:rPr>
          <w:rFonts w:ascii="Cambria Math" w:eastAsia="Cambria Math"/>
        </w:rPr>
        <w:t>minimum </w:t>
      </w:r>
      <w:r>
        <w:rPr>
          <w:rFonts w:ascii="Cambria Math" w:eastAsia="Cambria Math"/>
          <w:position w:val="1"/>
        </w:rPr>
        <w:t>(</w:t>
      </w:r>
      <w:r>
        <w:rPr>
          <w:rFonts w:ascii="Cambria Math" w:eastAsia="Cambria Math"/>
        </w:rPr>
        <w:t>x</w:t>
      </w:r>
      <w:r>
        <w:rPr>
          <w:rFonts w:ascii="Cambria Math" w:eastAsia="Cambria Math"/>
          <w:vertAlign w:val="subscript"/>
        </w:rPr>
        <w:t>i</w:t>
      </w:r>
      <w:r>
        <w:rPr>
          <w:rFonts w:ascii="Cambria Math" w:eastAsia="Cambria Math"/>
          <w:position w:val="1"/>
          <w:vertAlign w:val="baseline"/>
        </w:rPr>
        <w:t>〗</w:t>
      </w:r>
      <w:r>
        <w:rPr>
          <w:rFonts w:ascii="Cambria Math" w:eastAsia="Cambria Math"/>
          <w:position w:val="1"/>
          <w:vertAlign w:val="superscript"/>
        </w:rPr>
        <w:t>t</w:t>
      </w:r>
      <w:r>
        <w:rPr>
          <w:rFonts w:ascii="Cambria Math" w:eastAsia="Cambria Math"/>
          <w:spacing w:val="12"/>
          <w:position w:val="1"/>
          <w:vertAlign w:val="baseline"/>
        </w:rPr>
        <w:t> ) </w:t>
      </w:r>
      <w:r>
        <w:rPr>
          <w:vertAlign w:val="baseline"/>
        </w:rPr>
        <w:t>and</w:t>
      </w:r>
      <w:r>
        <w:rPr>
          <w:spacing w:val="40"/>
          <w:vertAlign w:val="baseline"/>
        </w:rPr>
        <w:t> </w:t>
      </w:r>
      <w:r>
        <w:rPr>
          <w:rFonts w:ascii="Cambria Math" w:eastAsia="Cambria Math"/>
          <w:position w:val="1"/>
          <w:vertAlign w:val="baseline"/>
        </w:rPr>
        <w:t>〖</w:t>
      </w:r>
      <w:r>
        <w:rPr>
          <w:rFonts w:ascii="Cambria Math" w:eastAsia="Cambria Math"/>
          <w:vertAlign w:val="baseline"/>
        </w:rPr>
        <w:t>maximum </w:t>
      </w:r>
      <w:r>
        <w:rPr>
          <w:rFonts w:ascii="Cambria Math" w:eastAsia="Cambria Math"/>
          <w:position w:val="1"/>
          <w:vertAlign w:val="baseline"/>
        </w:rPr>
        <w:t>(</w:t>
      </w:r>
      <w:r>
        <w:rPr>
          <w:rFonts w:ascii="Cambria Math" w:eastAsia="Cambria Math"/>
          <w:vertAlign w:val="baseline"/>
        </w:rPr>
        <w:t>x</w:t>
      </w:r>
      <w:r>
        <w:rPr>
          <w:rFonts w:ascii="Cambria Math" w:eastAsia="Cambria Math"/>
          <w:vertAlign w:val="subscript"/>
        </w:rPr>
        <w:t>i</w:t>
      </w:r>
      <w:r>
        <w:rPr>
          <w:rFonts w:ascii="Cambria Math" w:eastAsia="Cambria Math"/>
          <w:position w:val="1"/>
          <w:vertAlign w:val="baseline"/>
        </w:rPr>
        <w:t>〗</w:t>
      </w:r>
      <w:r>
        <w:rPr>
          <w:rFonts w:ascii="Cambria Math" w:eastAsia="Cambria Math"/>
          <w:position w:val="1"/>
          <w:vertAlign w:val="superscript"/>
        </w:rPr>
        <w:t>t</w:t>
      </w:r>
      <w:r>
        <w:rPr>
          <w:rFonts w:ascii="Cambria Math" w:eastAsia="Cambria Math"/>
          <w:spacing w:val="11"/>
          <w:position w:val="1"/>
          <w:vertAlign w:val="baseline"/>
        </w:rPr>
        <w:t> ) </w:t>
      </w:r>
      <w:r>
        <w:rPr>
          <w:vertAlign w:val="baseline"/>
        </w:rPr>
        <w:t>represent the minimum and maximum indicator values across the household</w:t>
      </w:r>
      <w:r>
        <w:rPr>
          <w:spacing w:val="40"/>
          <w:vertAlign w:val="baseline"/>
        </w:rPr>
        <w:t> </w:t>
      </w:r>
      <w:r>
        <w:rPr>
          <w:rFonts w:ascii="Cambria Math" w:eastAsia="Cambria Math"/>
          <w:vertAlign w:val="baseline"/>
        </w:rPr>
        <w:t>i </w:t>
      </w:r>
      <w:r>
        <w:rPr>
          <w:vertAlign w:val="baseline"/>
        </w:rPr>
        <w:t>at a given time</w:t>
      </w:r>
      <w:r>
        <w:rPr>
          <w:spacing w:val="-11"/>
          <w:vertAlign w:val="baseline"/>
        </w:rPr>
        <w:t> </w:t>
      </w:r>
      <w:r>
        <w:rPr>
          <w:rFonts w:ascii="Cambria Math" w:eastAsia="Cambria Math"/>
          <w:vertAlign w:val="baseline"/>
        </w:rPr>
        <w:t>t</w:t>
      </w:r>
      <w:r>
        <w:rPr>
          <w:vertAlign w:val="baseline"/>
        </w:rPr>
        <w:t>. The resultant normalized value which takes a value between 0 and 1 is then expressed as a percentage. The normalized indicator</w:t>
      </w:r>
      <w:r>
        <w:rPr>
          <w:spacing w:val="-3"/>
          <w:vertAlign w:val="baseline"/>
        </w:rPr>
        <w:t> </w:t>
      </w:r>
      <w:r>
        <w:rPr>
          <w:vertAlign w:val="baseline"/>
        </w:rPr>
        <w:t>values</w:t>
      </w:r>
      <w:r>
        <w:rPr>
          <w:spacing w:val="-2"/>
          <w:vertAlign w:val="baseline"/>
        </w:rPr>
        <w:t> </w:t>
      </w:r>
      <w:r>
        <w:rPr>
          <w:vertAlign w:val="baseline"/>
        </w:rPr>
        <w:t>were</w:t>
      </w:r>
      <w:r>
        <w:rPr>
          <w:spacing w:val="-3"/>
          <w:vertAlign w:val="baseline"/>
        </w:rPr>
        <w:t> </w:t>
      </w:r>
      <w:r>
        <w:rPr>
          <w:vertAlign w:val="baseline"/>
        </w:rPr>
        <w:t>statistically</w:t>
      </w:r>
      <w:r>
        <w:rPr>
          <w:spacing w:val="-7"/>
          <w:vertAlign w:val="baseline"/>
        </w:rPr>
        <w:t> </w:t>
      </w:r>
      <w:r>
        <w:rPr>
          <w:vertAlign w:val="baseline"/>
        </w:rPr>
        <w:t>screened</w:t>
      </w:r>
      <w:r>
        <w:rPr>
          <w:spacing w:val="-1"/>
          <w:vertAlign w:val="baseline"/>
        </w:rPr>
        <w:t> </w:t>
      </w:r>
      <w:r>
        <w:rPr>
          <w:vertAlign w:val="baseline"/>
        </w:rPr>
        <w:t>for</w:t>
      </w:r>
      <w:r>
        <w:rPr>
          <w:spacing w:val="-3"/>
          <w:vertAlign w:val="baseline"/>
        </w:rPr>
        <w:t> </w:t>
      </w:r>
      <w:r>
        <w:rPr>
          <w:vertAlign w:val="baseline"/>
        </w:rPr>
        <w:t>extreme</w:t>
      </w:r>
      <w:r>
        <w:rPr>
          <w:spacing w:val="-3"/>
          <w:vertAlign w:val="baseline"/>
        </w:rPr>
        <w:t> </w:t>
      </w:r>
      <w:r>
        <w:rPr>
          <w:vertAlign w:val="baseline"/>
        </w:rPr>
        <w:t>values/outliers</w:t>
      </w:r>
      <w:r>
        <w:rPr>
          <w:spacing w:val="-2"/>
          <w:vertAlign w:val="baseline"/>
        </w:rPr>
        <w:t> (</w:t>
      </w:r>
      <w:r>
        <w:rPr>
          <w:vertAlign w:val="baseline"/>
        </w:rPr>
        <w:t>using</w:t>
      </w:r>
      <w:r>
        <w:rPr>
          <w:spacing w:val="-5"/>
          <w:vertAlign w:val="baseline"/>
        </w:rPr>
        <w:t> </w:t>
      </w:r>
      <w:r>
        <w:rPr>
          <w:vertAlign w:val="baseline"/>
        </w:rPr>
        <w:t>box</w:t>
      </w:r>
      <w:r>
        <w:rPr>
          <w:spacing w:val="-1"/>
          <w:vertAlign w:val="baseline"/>
        </w:rPr>
        <w:t> </w:t>
      </w:r>
      <w:r>
        <w:rPr>
          <w:vertAlign w:val="baseline"/>
        </w:rPr>
        <w:t>plots)</w:t>
      </w:r>
      <w:r>
        <w:rPr>
          <w:spacing w:val="-2"/>
          <w:vertAlign w:val="baseline"/>
        </w:rPr>
        <w:t> </w:t>
      </w:r>
      <w:r>
        <w:rPr>
          <w:vertAlign w:val="baseline"/>
        </w:rPr>
        <w:t>and assessed for normality (using histogram, skewness and kurtosis).</w:t>
      </w:r>
    </w:p>
    <w:p>
      <w:pPr>
        <w:spacing w:after="0" w:line="480" w:lineRule="auto"/>
        <w:jc w:val="both"/>
        <w:sectPr>
          <w:type w:val="continuous"/>
          <w:pgSz w:w="12240" w:h="15840"/>
          <w:pgMar w:header="0" w:footer="1068" w:top="1340" w:bottom="1260" w:left="1720" w:right="680"/>
        </w:sectPr>
      </w:pPr>
    </w:p>
    <w:p>
      <w:pPr>
        <w:pStyle w:val="BodyText"/>
        <w:ind w:left="280"/>
        <w:rPr>
          <w:sz w:val="20"/>
        </w:rPr>
      </w:pPr>
      <w:r>
        <w:rPr>
          <w:sz w:val="20"/>
        </w:rPr>
        <mc:AlternateContent>
          <mc:Choice Requires="wps">
            <w:drawing>
              <wp:inline distT="0" distB="0" distL="0" distR="0">
                <wp:extent cx="5664835" cy="4180840"/>
                <wp:effectExtent l="0" t="0" r="0" b="635"/>
                <wp:docPr id="93" name="Group 93"/>
                <wp:cNvGraphicFramePr>
                  <a:graphicFrameLocks/>
                </wp:cNvGraphicFramePr>
                <a:graphic>
                  <a:graphicData uri="http://schemas.microsoft.com/office/word/2010/wordprocessingGroup">
                    <wpg:wgp>
                      <wpg:cNvPr id="93" name="Group 93"/>
                      <wpg:cNvGrpSpPr/>
                      <wpg:grpSpPr>
                        <a:xfrm>
                          <a:off x="0" y="0"/>
                          <a:ext cx="5664835" cy="4180840"/>
                          <a:chExt cx="5664835" cy="4180840"/>
                        </a:xfrm>
                      </wpg:grpSpPr>
                      <pic:pic>
                        <pic:nvPicPr>
                          <pic:cNvPr id="94" name="Image 94"/>
                          <pic:cNvPicPr/>
                        </pic:nvPicPr>
                        <pic:blipFill>
                          <a:blip r:embed="rId36" cstate="print"/>
                          <a:stretch>
                            <a:fillRect/>
                          </a:stretch>
                        </pic:blipFill>
                        <pic:spPr>
                          <a:xfrm>
                            <a:off x="289711" y="9144"/>
                            <a:ext cx="5237259" cy="4115279"/>
                          </a:xfrm>
                          <a:prstGeom prst="rect">
                            <a:avLst/>
                          </a:prstGeom>
                        </pic:spPr>
                      </pic:pic>
                      <wps:wsp>
                        <wps:cNvPr id="95" name="Graphic 95"/>
                        <wps:cNvSpPr/>
                        <wps:spPr>
                          <a:xfrm>
                            <a:off x="4572" y="4572"/>
                            <a:ext cx="5655945" cy="4171315"/>
                          </a:xfrm>
                          <a:custGeom>
                            <a:avLst/>
                            <a:gdLst/>
                            <a:ahLst/>
                            <a:cxnLst/>
                            <a:rect l="l" t="t" r="r" b="b"/>
                            <a:pathLst>
                              <a:path w="5655945" h="4171315">
                                <a:moveTo>
                                  <a:pt x="0" y="4171188"/>
                                </a:moveTo>
                                <a:lnTo>
                                  <a:pt x="5655564" y="4171188"/>
                                </a:lnTo>
                                <a:lnTo>
                                  <a:pt x="5655564" y="0"/>
                                </a:lnTo>
                                <a:lnTo>
                                  <a:pt x="0" y="0"/>
                                </a:lnTo>
                                <a:lnTo>
                                  <a:pt x="0" y="41711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6.05pt;height:329.2pt;mso-position-horizontal-relative:char;mso-position-vertical-relative:line" id="docshapegroup84" coordorigin="0,0" coordsize="8921,6584">
                <v:shape style="position:absolute;left:456;top:14;width:8248;height:6481" type="#_x0000_t75" id="docshape85" stroked="false">
                  <v:imagedata r:id="rId36" o:title=""/>
                </v:shape>
                <v:rect style="position:absolute;left:7;top:7;width:8907;height:6569" id="docshape86" filled="false" stroked="true" strokeweight=".72pt" strokecolor="#000000">
                  <v:stroke dashstyle="solid"/>
                </v:rect>
              </v:group>
            </w:pict>
          </mc:Fallback>
        </mc:AlternateContent>
      </w:r>
      <w:r>
        <w:rPr>
          <w:sz w:val="20"/>
        </w:rPr>
      </w:r>
    </w:p>
    <w:p>
      <w:pPr>
        <w:pStyle w:val="Heading1"/>
        <w:ind w:left="0" w:right="464"/>
        <w:jc w:val="center"/>
      </w:pPr>
      <w:r>
        <w:rPr/>
        <w:t>Figure</w:t>
      </w:r>
      <w:r>
        <w:rPr>
          <w:spacing w:val="-3"/>
        </w:rPr>
        <w:t> </w:t>
      </w:r>
      <w:r>
        <w:rPr/>
        <w:t>4.10:</w:t>
      </w:r>
      <w:r>
        <w:rPr>
          <w:spacing w:val="-2"/>
        </w:rPr>
        <w:t> </w:t>
      </w:r>
      <w:r>
        <w:rPr/>
        <w:t>Water Poverty</w:t>
      </w:r>
      <w:r>
        <w:rPr>
          <w:spacing w:val="-2"/>
        </w:rPr>
        <w:t> </w:t>
      </w:r>
      <w:r>
        <w:rPr/>
        <w:t>Measurement </w:t>
      </w:r>
      <w:r>
        <w:rPr>
          <w:spacing w:val="-4"/>
        </w:rPr>
        <w:t>Flow</w:t>
      </w:r>
    </w:p>
    <w:p>
      <w:pPr>
        <w:spacing w:after="0"/>
        <w:jc w:val="center"/>
        <w:sectPr>
          <w:pgSz w:w="12240" w:h="15840"/>
          <w:pgMar w:header="0" w:footer="1068" w:top="1420" w:bottom="1260" w:left="1720" w:right="680"/>
        </w:sectPr>
      </w:pPr>
    </w:p>
    <w:p>
      <w:pPr>
        <w:spacing w:before="68" w:after="4"/>
        <w:ind w:left="267" w:right="0" w:firstLine="0"/>
        <w:jc w:val="left"/>
        <w:rPr>
          <w:b/>
          <w:sz w:val="24"/>
        </w:rPr>
      </w:pPr>
      <w:r>
        <w:rPr>
          <w:b/>
          <w:sz w:val="24"/>
        </w:rPr>
        <w:t>Table</w:t>
      </w:r>
      <w:r>
        <w:rPr>
          <w:b/>
          <w:spacing w:val="-1"/>
          <w:sz w:val="24"/>
        </w:rPr>
        <w:t> </w:t>
      </w:r>
      <w:r>
        <w:rPr>
          <w:b/>
          <w:sz w:val="24"/>
        </w:rPr>
        <w:t>4.17:</w:t>
      </w:r>
      <w:r>
        <w:rPr>
          <w:b/>
          <w:spacing w:val="-1"/>
          <w:sz w:val="24"/>
        </w:rPr>
        <w:t> </w:t>
      </w:r>
      <w:r>
        <w:rPr>
          <w:b/>
          <w:sz w:val="24"/>
        </w:rPr>
        <w:t>Indicators</w:t>
      </w:r>
      <w:r>
        <w:rPr>
          <w:b/>
          <w:spacing w:val="-1"/>
          <w:sz w:val="24"/>
        </w:rPr>
        <w:t> </w:t>
      </w:r>
      <w:r>
        <w:rPr>
          <w:b/>
          <w:sz w:val="24"/>
        </w:rPr>
        <w:t>for</w:t>
      </w:r>
      <w:r>
        <w:rPr>
          <w:b/>
          <w:spacing w:val="-3"/>
          <w:sz w:val="24"/>
        </w:rPr>
        <w:t> </w:t>
      </w:r>
      <w:r>
        <w:rPr>
          <w:b/>
          <w:sz w:val="24"/>
        </w:rPr>
        <w:t>Water Poverty</w:t>
      </w:r>
      <w:r>
        <w:rPr>
          <w:b/>
          <w:spacing w:val="-1"/>
          <w:sz w:val="24"/>
        </w:rPr>
        <w:t> </w:t>
      </w:r>
      <w:r>
        <w:rPr>
          <w:b/>
          <w:spacing w:val="-2"/>
          <w:sz w:val="24"/>
        </w:rPr>
        <w:t>Measurement</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0"/>
        <w:gridCol w:w="1895"/>
        <w:gridCol w:w="5783"/>
      </w:tblGrid>
      <w:tr>
        <w:trPr>
          <w:trHeight w:val="551" w:hRule="atLeast"/>
        </w:trPr>
        <w:tc>
          <w:tcPr>
            <w:tcW w:w="1180" w:type="dxa"/>
            <w:tcBorders>
              <w:top w:val="single" w:sz="8" w:space="0" w:color="000000"/>
              <w:bottom w:val="single" w:sz="8" w:space="0" w:color="000000"/>
            </w:tcBorders>
          </w:tcPr>
          <w:p>
            <w:pPr>
              <w:pStyle w:val="TableParagraph"/>
              <w:spacing w:line="272" w:lineRule="exact"/>
              <w:ind w:left="17" w:right="1"/>
              <w:jc w:val="center"/>
              <w:rPr>
                <w:b/>
                <w:sz w:val="24"/>
              </w:rPr>
            </w:pPr>
            <w:r>
              <w:rPr>
                <w:b/>
                <w:spacing w:val="-2"/>
                <w:sz w:val="24"/>
              </w:rPr>
              <w:t>Compon</w:t>
            </w:r>
          </w:p>
          <w:p>
            <w:pPr>
              <w:pStyle w:val="TableParagraph"/>
              <w:spacing w:line="259" w:lineRule="exact"/>
              <w:ind w:left="17"/>
              <w:jc w:val="center"/>
              <w:rPr>
                <w:b/>
                <w:sz w:val="24"/>
              </w:rPr>
            </w:pPr>
            <w:r>
              <w:rPr>
                <w:b/>
                <w:spacing w:val="-5"/>
                <w:sz w:val="24"/>
              </w:rPr>
              <w:t>ent</w:t>
            </w:r>
          </w:p>
        </w:tc>
        <w:tc>
          <w:tcPr>
            <w:tcW w:w="1895" w:type="dxa"/>
            <w:tcBorders>
              <w:top w:val="single" w:sz="8" w:space="0" w:color="000000"/>
              <w:bottom w:val="single" w:sz="8" w:space="0" w:color="000000"/>
            </w:tcBorders>
          </w:tcPr>
          <w:p>
            <w:pPr>
              <w:pStyle w:val="TableParagraph"/>
              <w:spacing w:line="272" w:lineRule="exact"/>
              <w:ind w:left="355"/>
              <w:rPr>
                <w:b/>
                <w:sz w:val="24"/>
              </w:rPr>
            </w:pPr>
            <w:r>
              <w:rPr>
                <w:b/>
                <w:spacing w:val="-2"/>
                <w:sz w:val="24"/>
              </w:rPr>
              <w:t>Description</w:t>
            </w:r>
          </w:p>
        </w:tc>
        <w:tc>
          <w:tcPr>
            <w:tcW w:w="5783" w:type="dxa"/>
            <w:tcBorders>
              <w:top w:val="single" w:sz="8" w:space="0" w:color="000000"/>
              <w:bottom w:val="single" w:sz="8" w:space="0" w:color="000000"/>
            </w:tcBorders>
          </w:tcPr>
          <w:p>
            <w:pPr>
              <w:pStyle w:val="TableParagraph"/>
              <w:spacing w:line="272" w:lineRule="exact"/>
              <w:jc w:val="center"/>
              <w:rPr>
                <w:b/>
                <w:sz w:val="24"/>
              </w:rPr>
            </w:pPr>
            <w:r>
              <w:rPr>
                <w:b/>
                <w:spacing w:val="-2"/>
                <w:sz w:val="24"/>
              </w:rPr>
              <w:t>Indicator</w:t>
            </w:r>
          </w:p>
        </w:tc>
      </w:tr>
      <w:tr>
        <w:trPr>
          <w:trHeight w:val="827" w:hRule="atLeast"/>
        </w:trPr>
        <w:tc>
          <w:tcPr>
            <w:tcW w:w="1180" w:type="dxa"/>
            <w:tcBorders>
              <w:top w:val="single" w:sz="8" w:space="0" w:color="000000"/>
            </w:tcBorders>
          </w:tcPr>
          <w:p>
            <w:pPr>
              <w:pStyle w:val="TableParagraph"/>
              <w:spacing w:line="275" w:lineRule="exact"/>
              <w:ind w:left="122"/>
              <w:rPr>
                <w:b/>
                <w:sz w:val="24"/>
              </w:rPr>
            </w:pPr>
            <w:r>
              <w:rPr>
                <w:b/>
                <w:spacing w:val="-2"/>
                <w:sz w:val="24"/>
              </w:rPr>
              <w:t>Resource</w:t>
            </w:r>
          </w:p>
        </w:tc>
        <w:tc>
          <w:tcPr>
            <w:tcW w:w="1895" w:type="dxa"/>
            <w:tcBorders>
              <w:top w:val="single" w:sz="8" w:space="0" w:color="000000"/>
            </w:tcBorders>
          </w:tcPr>
          <w:p>
            <w:pPr>
              <w:pStyle w:val="TableParagraph"/>
              <w:tabs>
                <w:tab w:pos="1583" w:val="left" w:leader="none"/>
              </w:tabs>
              <w:ind w:left="113" w:right="107"/>
              <w:rPr>
                <w:sz w:val="24"/>
              </w:rPr>
            </w:pPr>
            <w:r>
              <w:rPr>
                <w:spacing w:val="-2"/>
                <w:sz w:val="24"/>
              </w:rPr>
              <w:t>Physical availability</w:t>
            </w:r>
            <w:r>
              <w:rPr>
                <w:sz w:val="24"/>
              </w:rPr>
              <w:tab/>
            </w:r>
            <w:r>
              <w:rPr>
                <w:spacing w:val="-6"/>
                <w:sz w:val="24"/>
              </w:rPr>
              <w:t>of</w:t>
            </w:r>
          </w:p>
          <w:p>
            <w:pPr>
              <w:pStyle w:val="TableParagraph"/>
              <w:spacing w:line="261" w:lineRule="exact"/>
              <w:ind w:left="113"/>
              <w:rPr>
                <w:sz w:val="24"/>
              </w:rPr>
            </w:pPr>
            <w:r>
              <w:rPr>
                <w:sz w:val="24"/>
              </w:rPr>
              <w:t>water</w:t>
            </w:r>
            <w:r>
              <w:rPr>
                <w:spacing w:val="-4"/>
                <w:sz w:val="24"/>
              </w:rPr>
              <w:t> </w:t>
            </w:r>
            <w:r>
              <w:rPr>
                <w:spacing w:val="-2"/>
                <w:sz w:val="24"/>
              </w:rPr>
              <w:t>resources</w:t>
            </w:r>
          </w:p>
        </w:tc>
        <w:tc>
          <w:tcPr>
            <w:tcW w:w="5783" w:type="dxa"/>
            <w:tcBorders>
              <w:top w:val="single" w:sz="8" w:space="0" w:color="000000"/>
            </w:tcBorders>
          </w:tcPr>
          <w:p>
            <w:pPr>
              <w:pStyle w:val="TableParagraph"/>
              <w:spacing w:line="270" w:lineRule="exact"/>
              <w:ind w:left="107"/>
              <w:rPr>
                <w:sz w:val="24"/>
              </w:rPr>
            </w:pPr>
            <w:r>
              <w:rPr>
                <w:sz w:val="24"/>
              </w:rPr>
              <w:t>[R1]:</w:t>
            </w:r>
            <w:r>
              <w:rPr>
                <w:spacing w:val="-3"/>
                <w:sz w:val="24"/>
              </w:rPr>
              <w:t> </w:t>
            </w:r>
            <w:r>
              <w:rPr>
                <w:sz w:val="24"/>
              </w:rPr>
              <w:t>Sufficiency</w:t>
            </w:r>
            <w:r>
              <w:rPr>
                <w:spacing w:val="-6"/>
                <w:sz w:val="24"/>
              </w:rPr>
              <w:t> </w:t>
            </w:r>
            <w:r>
              <w:rPr>
                <w:sz w:val="24"/>
              </w:rPr>
              <w:t>of water </w:t>
            </w:r>
            <w:r>
              <w:rPr>
                <w:spacing w:val="-2"/>
                <w:sz w:val="24"/>
              </w:rPr>
              <w:t>quantity</w:t>
            </w:r>
          </w:p>
        </w:tc>
      </w:tr>
      <w:tr>
        <w:trPr>
          <w:trHeight w:val="552" w:hRule="atLeast"/>
        </w:trPr>
        <w:tc>
          <w:tcPr>
            <w:tcW w:w="1180" w:type="dxa"/>
          </w:tcPr>
          <w:p>
            <w:pPr>
              <w:pStyle w:val="TableParagraph"/>
              <w:rPr>
                <w:sz w:val="24"/>
              </w:rPr>
            </w:pPr>
          </w:p>
        </w:tc>
        <w:tc>
          <w:tcPr>
            <w:tcW w:w="1895" w:type="dxa"/>
          </w:tcPr>
          <w:p>
            <w:pPr>
              <w:pStyle w:val="TableParagraph"/>
              <w:rPr>
                <w:sz w:val="24"/>
              </w:rPr>
            </w:pPr>
          </w:p>
        </w:tc>
        <w:tc>
          <w:tcPr>
            <w:tcW w:w="5783" w:type="dxa"/>
          </w:tcPr>
          <w:p>
            <w:pPr>
              <w:pStyle w:val="TableParagraph"/>
              <w:spacing w:line="271" w:lineRule="exact"/>
              <w:ind w:left="107"/>
              <w:rPr>
                <w:sz w:val="24"/>
              </w:rPr>
            </w:pPr>
            <w:r>
              <w:rPr>
                <w:sz w:val="24"/>
              </w:rPr>
              <w:t>[R2]:</w:t>
            </w:r>
            <w:r>
              <w:rPr>
                <w:spacing w:val="22"/>
                <w:sz w:val="24"/>
              </w:rPr>
              <w:t> </w:t>
            </w:r>
            <w:r>
              <w:rPr>
                <w:sz w:val="24"/>
              </w:rPr>
              <w:t>Water</w:t>
            </w:r>
            <w:r>
              <w:rPr>
                <w:spacing w:val="22"/>
                <w:sz w:val="24"/>
              </w:rPr>
              <w:t> </w:t>
            </w:r>
            <w:r>
              <w:rPr>
                <w:sz w:val="24"/>
              </w:rPr>
              <w:t>supply</w:t>
            </w:r>
            <w:r>
              <w:rPr>
                <w:spacing w:val="19"/>
                <w:sz w:val="24"/>
              </w:rPr>
              <w:t> </w:t>
            </w:r>
            <w:r>
              <w:rPr>
                <w:sz w:val="24"/>
              </w:rPr>
              <w:t>reliability</w:t>
            </w:r>
            <w:r>
              <w:rPr>
                <w:spacing w:val="18"/>
                <w:sz w:val="24"/>
              </w:rPr>
              <w:t> </w:t>
            </w:r>
            <w:r>
              <w:rPr>
                <w:sz w:val="24"/>
              </w:rPr>
              <w:t>(hours</w:t>
            </w:r>
            <w:r>
              <w:rPr>
                <w:spacing w:val="25"/>
                <w:sz w:val="24"/>
              </w:rPr>
              <w:t> </w:t>
            </w:r>
            <w:r>
              <w:rPr>
                <w:sz w:val="24"/>
              </w:rPr>
              <w:t>not</w:t>
            </w:r>
            <w:r>
              <w:rPr>
                <w:spacing w:val="24"/>
                <w:sz w:val="24"/>
              </w:rPr>
              <w:t> </w:t>
            </w:r>
            <w:r>
              <w:rPr>
                <w:sz w:val="24"/>
              </w:rPr>
              <w:t>operational</w:t>
            </w:r>
            <w:r>
              <w:rPr>
                <w:spacing w:val="25"/>
                <w:sz w:val="24"/>
              </w:rPr>
              <w:t> </w:t>
            </w:r>
            <w:r>
              <w:rPr>
                <w:spacing w:val="-5"/>
                <w:sz w:val="24"/>
              </w:rPr>
              <w:t>per</w:t>
            </w:r>
          </w:p>
          <w:p>
            <w:pPr>
              <w:pStyle w:val="TableParagraph"/>
              <w:spacing w:line="261" w:lineRule="exact"/>
              <w:ind w:left="107"/>
              <w:rPr>
                <w:sz w:val="24"/>
              </w:rPr>
            </w:pPr>
            <w:r>
              <w:rPr>
                <w:spacing w:val="-4"/>
                <w:sz w:val="24"/>
              </w:rPr>
              <w:t>day)</w:t>
            </w:r>
          </w:p>
        </w:tc>
      </w:tr>
      <w:tr>
        <w:trPr>
          <w:trHeight w:val="549" w:hRule="atLeast"/>
        </w:trPr>
        <w:tc>
          <w:tcPr>
            <w:tcW w:w="1180" w:type="dxa"/>
          </w:tcPr>
          <w:p>
            <w:pPr>
              <w:pStyle w:val="TableParagraph"/>
              <w:rPr>
                <w:sz w:val="24"/>
              </w:rPr>
            </w:pPr>
          </w:p>
        </w:tc>
        <w:tc>
          <w:tcPr>
            <w:tcW w:w="1895" w:type="dxa"/>
          </w:tcPr>
          <w:p>
            <w:pPr>
              <w:pStyle w:val="TableParagraph"/>
              <w:rPr>
                <w:sz w:val="24"/>
              </w:rPr>
            </w:pPr>
          </w:p>
        </w:tc>
        <w:tc>
          <w:tcPr>
            <w:tcW w:w="5783" w:type="dxa"/>
          </w:tcPr>
          <w:p>
            <w:pPr>
              <w:pStyle w:val="TableParagraph"/>
              <w:spacing w:line="274" w:lineRule="exact"/>
              <w:ind w:left="107"/>
              <w:rPr>
                <w:sz w:val="24"/>
              </w:rPr>
            </w:pPr>
            <w:r>
              <w:rPr>
                <w:sz w:val="24"/>
              </w:rPr>
              <w:t>[R3] Perceived variability in rainfall patterns throughout the year</w:t>
            </w:r>
          </w:p>
        </w:tc>
      </w:tr>
      <w:tr>
        <w:trPr>
          <w:trHeight w:val="287" w:hRule="atLeast"/>
        </w:trPr>
        <w:tc>
          <w:tcPr>
            <w:tcW w:w="1180" w:type="dxa"/>
          </w:tcPr>
          <w:p>
            <w:pPr>
              <w:pStyle w:val="TableParagraph"/>
              <w:rPr>
                <w:sz w:val="20"/>
              </w:rPr>
            </w:pPr>
          </w:p>
        </w:tc>
        <w:tc>
          <w:tcPr>
            <w:tcW w:w="1895" w:type="dxa"/>
          </w:tcPr>
          <w:p>
            <w:pPr>
              <w:pStyle w:val="TableParagraph"/>
              <w:rPr>
                <w:sz w:val="20"/>
              </w:rPr>
            </w:pPr>
          </w:p>
        </w:tc>
        <w:tc>
          <w:tcPr>
            <w:tcW w:w="5783" w:type="dxa"/>
          </w:tcPr>
          <w:p>
            <w:pPr>
              <w:pStyle w:val="TableParagraph"/>
              <w:spacing w:line="268" w:lineRule="exact"/>
              <w:ind w:left="107"/>
              <w:rPr>
                <w:sz w:val="24"/>
              </w:rPr>
            </w:pPr>
            <w:r>
              <w:rPr>
                <w:sz w:val="24"/>
              </w:rPr>
              <w:t>[R4]: Seasonal variability</w:t>
            </w:r>
            <w:r>
              <w:rPr>
                <w:spacing w:val="-3"/>
                <w:sz w:val="24"/>
              </w:rPr>
              <w:t> </w:t>
            </w:r>
            <w:r>
              <w:rPr>
                <w:sz w:val="24"/>
              </w:rPr>
              <w:t>of</w:t>
            </w:r>
            <w:r>
              <w:rPr>
                <w:spacing w:val="2"/>
                <w:sz w:val="24"/>
              </w:rPr>
              <w:t> </w:t>
            </w:r>
            <w:r>
              <w:rPr>
                <w:sz w:val="24"/>
              </w:rPr>
              <w:t>water</w:t>
            </w:r>
            <w:r>
              <w:rPr>
                <w:spacing w:val="-2"/>
                <w:sz w:val="24"/>
              </w:rPr>
              <w:t> </w:t>
            </w:r>
            <w:r>
              <w:rPr>
                <w:sz w:val="24"/>
              </w:rPr>
              <w:t>supply</w:t>
            </w:r>
            <w:r>
              <w:rPr>
                <w:spacing w:val="-5"/>
                <w:sz w:val="24"/>
              </w:rPr>
              <w:t> </w:t>
            </w:r>
            <w:r>
              <w:rPr>
                <w:sz w:val="24"/>
              </w:rPr>
              <w:t>in dry</w:t>
            </w:r>
            <w:r>
              <w:rPr>
                <w:spacing w:val="-4"/>
                <w:sz w:val="24"/>
              </w:rPr>
              <w:t> </w:t>
            </w:r>
            <w:r>
              <w:rPr>
                <w:spacing w:val="-2"/>
                <w:sz w:val="24"/>
              </w:rPr>
              <w:t>season</w:t>
            </w:r>
          </w:p>
        </w:tc>
      </w:tr>
      <w:tr>
        <w:trPr>
          <w:trHeight w:val="840" w:hRule="atLeast"/>
        </w:trPr>
        <w:tc>
          <w:tcPr>
            <w:tcW w:w="1180" w:type="dxa"/>
          </w:tcPr>
          <w:p>
            <w:pPr>
              <w:pStyle w:val="TableParagraph"/>
              <w:spacing w:before="11"/>
              <w:ind w:left="122"/>
              <w:rPr>
                <w:b/>
                <w:sz w:val="24"/>
              </w:rPr>
            </w:pPr>
            <w:r>
              <w:rPr>
                <w:b/>
                <w:spacing w:val="-2"/>
                <w:sz w:val="24"/>
              </w:rPr>
              <w:t>Access</w:t>
            </w:r>
          </w:p>
        </w:tc>
        <w:tc>
          <w:tcPr>
            <w:tcW w:w="1895" w:type="dxa"/>
          </w:tcPr>
          <w:p>
            <w:pPr>
              <w:pStyle w:val="TableParagraph"/>
              <w:spacing w:before="7"/>
              <w:ind w:left="113"/>
              <w:rPr>
                <w:sz w:val="24"/>
              </w:rPr>
            </w:pPr>
            <w:r>
              <w:rPr>
                <w:sz w:val="24"/>
              </w:rPr>
              <w:t>Level</w:t>
            </w:r>
            <w:r>
              <w:rPr>
                <w:spacing w:val="78"/>
                <w:sz w:val="24"/>
              </w:rPr>
              <w:t> </w:t>
            </w:r>
            <w:r>
              <w:rPr>
                <w:sz w:val="24"/>
              </w:rPr>
              <w:t>of</w:t>
            </w:r>
            <w:r>
              <w:rPr>
                <w:spacing w:val="77"/>
                <w:sz w:val="24"/>
              </w:rPr>
              <w:t> </w:t>
            </w:r>
            <w:r>
              <w:rPr>
                <w:sz w:val="24"/>
              </w:rPr>
              <w:t>access to</w:t>
            </w:r>
            <w:r>
              <w:rPr>
                <w:spacing w:val="-7"/>
                <w:sz w:val="24"/>
              </w:rPr>
              <w:t> </w:t>
            </w:r>
            <w:r>
              <w:rPr>
                <w:sz w:val="24"/>
              </w:rPr>
              <w:t>clean</w:t>
            </w:r>
            <w:r>
              <w:rPr>
                <w:spacing w:val="-4"/>
                <w:sz w:val="24"/>
              </w:rPr>
              <w:t> </w:t>
            </w:r>
            <w:r>
              <w:rPr>
                <w:sz w:val="24"/>
              </w:rPr>
              <w:t>water</w:t>
            </w:r>
            <w:r>
              <w:rPr>
                <w:spacing w:val="-7"/>
                <w:sz w:val="24"/>
              </w:rPr>
              <w:t> </w:t>
            </w:r>
            <w:r>
              <w:rPr>
                <w:spacing w:val="-5"/>
                <w:sz w:val="24"/>
              </w:rPr>
              <w:t>for</w:t>
            </w:r>
          </w:p>
          <w:p>
            <w:pPr>
              <w:pStyle w:val="TableParagraph"/>
              <w:spacing w:line="261" w:lineRule="exact"/>
              <w:ind w:left="113"/>
              <w:rPr>
                <w:sz w:val="24"/>
              </w:rPr>
            </w:pPr>
            <w:r>
              <w:rPr>
                <w:sz w:val="24"/>
              </w:rPr>
              <w:t>human </w:t>
            </w:r>
            <w:r>
              <w:rPr>
                <w:spacing w:val="-5"/>
                <w:sz w:val="24"/>
              </w:rPr>
              <w:t>use</w:t>
            </w:r>
          </w:p>
        </w:tc>
        <w:tc>
          <w:tcPr>
            <w:tcW w:w="5783" w:type="dxa"/>
          </w:tcPr>
          <w:p>
            <w:pPr>
              <w:pStyle w:val="TableParagraph"/>
              <w:spacing w:before="7"/>
              <w:ind w:left="107"/>
              <w:rPr>
                <w:sz w:val="24"/>
              </w:rPr>
            </w:pPr>
            <w:r>
              <w:rPr>
                <w:sz w:val="24"/>
              </w:rPr>
              <w:t>[A1]:</w:t>
            </w:r>
            <w:r>
              <w:rPr>
                <w:spacing w:val="-1"/>
                <w:sz w:val="24"/>
              </w:rPr>
              <w:t> </w:t>
            </w:r>
            <w:r>
              <w:rPr>
                <w:sz w:val="24"/>
              </w:rPr>
              <w:t>Household</w:t>
            </w:r>
            <w:r>
              <w:rPr>
                <w:spacing w:val="-1"/>
                <w:sz w:val="24"/>
              </w:rPr>
              <w:t> </w:t>
            </w:r>
            <w:r>
              <w:rPr>
                <w:sz w:val="24"/>
              </w:rPr>
              <w:t>with</w:t>
            </w:r>
            <w:r>
              <w:rPr>
                <w:spacing w:val="-1"/>
                <w:sz w:val="24"/>
              </w:rPr>
              <w:t> </w:t>
            </w:r>
            <w:r>
              <w:rPr>
                <w:sz w:val="24"/>
              </w:rPr>
              <w:t>access</w:t>
            </w:r>
            <w:r>
              <w:rPr>
                <w:spacing w:val="-1"/>
                <w:sz w:val="24"/>
              </w:rPr>
              <w:t> </w:t>
            </w:r>
            <w:r>
              <w:rPr>
                <w:sz w:val="24"/>
              </w:rPr>
              <w:t>to</w:t>
            </w:r>
            <w:r>
              <w:rPr>
                <w:spacing w:val="-1"/>
                <w:sz w:val="24"/>
              </w:rPr>
              <w:t> </w:t>
            </w:r>
            <w:r>
              <w:rPr>
                <w:sz w:val="24"/>
              </w:rPr>
              <w:t>public</w:t>
            </w:r>
            <w:r>
              <w:rPr>
                <w:spacing w:val="-2"/>
                <w:sz w:val="24"/>
              </w:rPr>
              <w:t> </w:t>
            </w:r>
            <w:r>
              <w:rPr>
                <w:sz w:val="24"/>
              </w:rPr>
              <w:t>water</w:t>
            </w:r>
            <w:r>
              <w:rPr>
                <w:spacing w:val="-2"/>
                <w:sz w:val="24"/>
              </w:rPr>
              <w:t> supply</w:t>
            </w:r>
          </w:p>
        </w:tc>
      </w:tr>
      <w:tr>
        <w:trPr>
          <w:trHeight w:val="288" w:hRule="atLeast"/>
        </w:trPr>
        <w:tc>
          <w:tcPr>
            <w:tcW w:w="1180" w:type="dxa"/>
          </w:tcPr>
          <w:p>
            <w:pPr>
              <w:pStyle w:val="TableParagraph"/>
              <w:rPr>
                <w:sz w:val="20"/>
              </w:rPr>
            </w:pPr>
          </w:p>
        </w:tc>
        <w:tc>
          <w:tcPr>
            <w:tcW w:w="1895" w:type="dxa"/>
          </w:tcPr>
          <w:p>
            <w:pPr>
              <w:pStyle w:val="TableParagraph"/>
              <w:rPr>
                <w:sz w:val="20"/>
              </w:rPr>
            </w:pPr>
          </w:p>
        </w:tc>
        <w:tc>
          <w:tcPr>
            <w:tcW w:w="5783" w:type="dxa"/>
          </w:tcPr>
          <w:p>
            <w:pPr>
              <w:pStyle w:val="TableParagraph"/>
              <w:spacing w:line="268" w:lineRule="exact"/>
              <w:ind w:left="107"/>
              <w:rPr>
                <w:sz w:val="24"/>
              </w:rPr>
            </w:pPr>
            <w:r>
              <w:rPr>
                <w:sz w:val="24"/>
              </w:rPr>
              <w:t>[A2]:</w:t>
            </w:r>
            <w:r>
              <w:rPr>
                <w:spacing w:val="-1"/>
                <w:sz w:val="24"/>
              </w:rPr>
              <w:t> </w:t>
            </w:r>
            <w:r>
              <w:rPr>
                <w:sz w:val="24"/>
              </w:rPr>
              <w:t>Household</w:t>
            </w:r>
            <w:r>
              <w:rPr>
                <w:spacing w:val="-1"/>
                <w:sz w:val="24"/>
              </w:rPr>
              <w:t> </w:t>
            </w:r>
            <w:r>
              <w:rPr>
                <w:sz w:val="24"/>
              </w:rPr>
              <w:t>with</w:t>
            </w:r>
            <w:r>
              <w:rPr>
                <w:spacing w:val="-1"/>
                <w:sz w:val="24"/>
              </w:rPr>
              <w:t> </w:t>
            </w:r>
            <w:r>
              <w:rPr>
                <w:sz w:val="24"/>
              </w:rPr>
              <w:t>access</w:t>
            </w:r>
            <w:r>
              <w:rPr>
                <w:spacing w:val="-2"/>
                <w:sz w:val="24"/>
              </w:rPr>
              <w:t> </w:t>
            </w:r>
            <w:r>
              <w:rPr>
                <w:sz w:val="24"/>
              </w:rPr>
              <w:t>to water</w:t>
            </w:r>
            <w:r>
              <w:rPr>
                <w:spacing w:val="-2"/>
                <w:sz w:val="24"/>
              </w:rPr>
              <w:t> treatment</w:t>
            </w:r>
          </w:p>
        </w:tc>
      </w:tr>
      <w:tr>
        <w:trPr>
          <w:trHeight w:val="300" w:hRule="atLeast"/>
        </w:trPr>
        <w:tc>
          <w:tcPr>
            <w:tcW w:w="1180" w:type="dxa"/>
          </w:tcPr>
          <w:p>
            <w:pPr>
              <w:pStyle w:val="TableParagraph"/>
              <w:rPr>
                <w:sz w:val="22"/>
              </w:rPr>
            </w:pPr>
          </w:p>
        </w:tc>
        <w:tc>
          <w:tcPr>
            <w:tcW w:w="1895" w:type="dxa"/>
          </w:tcPr>
          <w:p>
            <w:pPr>
              <w:pStyle w:val="TableParagraph"/>
              <w:rPr>
                <w:sz w:val="22"/>
              </w:rPr>
            </w:pPr>
          </w:p>
        </w:tc>
        <w:tc>
          <w:tcPr>
            <w:tcW w:w="5783" w:type="dxa"/>
          </w:tcPr>
          <w:p>
            <w:pPr>
              <w:pStyle w:val="TableParagraph"/>
              <w:spacing w:line="273" w:lineRule="exact" w:before="7"/>
              <w:ind w:left="107"/>
              <w:rPr>
                <w:sz w:val="24"/>
              </w:rPr>
            </w:pPr>
            <w:r>
              <w:rPr>
                <w:sz w:val="24"/>
              </w:rPr>
              <w:t>[A3]:</w:t>
            </w:r>
            <w:r>
              <w:rPr>
                <w:spacing w:val="59"/>
                <w:sz w:val="24"/>
              </w:rPr>
              <w:t> </w:t>
            </w:r>
            <w:r>
              <w:rPr>
                <w:sz w:val="24"/>
              </w:rPr>
              <w:t>Number</w:t>
            </w:r>
            <w:r>
              <w:rPr>
                <w:spacing w:val="-3"/>
                <w:sz w:val="24"/>
              </w:rPr>
              <w:t> </w:t>
            </w:r>
            <w:r>
              <w:rPr>
                <w:sz w:val="24"/>
              </w:rPr>
              <w:t>of one-way</w:t>
            </w:r>
            <w:r>
              <w:rPr>
                <w:spacing w:val="-3"/>
                <w:sz w:val="24"/>
              </w:rPr>
              <w:t> </w:t>
            </w:r>
            <w:r>
              <w:rPr>
                <w:sz w:val="24"/>
              </w:rPr>
              <w:t>trips</w:t>
            </w:r>
            <w:r>
              <w:rPr>
                <w:spacing w:val="-1"/>
                <w:sz w:val="24"/>
              </w:rPr>
              <w:t> </w:t>
            </w:r>
            <w:r>
              <w:rPr>
                <w:sz w:val="24"/>
              </w:rPr>
              <w:t>to water </w:t>
            </w:r>
            <w:r>
              <w:rPr>
                <w:spacing w:val="-2"/>
                <w:sz w:val="24"/>
              </w:rPr>
              <w:t>source</w:t>
            </w:r>
          </w:p>
        </w:tc>
      </w:tr>
      <w:tr>
        <w:trPr>
          <w:trHeight w:val="563" w:hRule="atLeast"/>
        </w:trPr>
        <w:tc>
          <w:tcPr>
            <w:tcW w:w="1180" w:type="dxa"/>
          </w:tcPr>
          <w:p>
            <w:pPr>
              <w:pStyle w:val="TableParagraph"/>
              <w:rPr>
                <w:sz w:val="24"/>
              </w:rPr>
            </w:pPr>
          </w:p>
        </w:tc>
        <w:tc>
          <w:tcPr>
            <w:tcW w:w="1895" w:type="dxa"/>
          </w:tcPr>
          <w:p>
            <w:pPr>
              <w:pStyle w:val="TableParagraph"/>
              <w:rPr>
                <w:sz w:val="24"/>
              </w:rPr>
            </w:pPr>
          </w:p>
        </w:tc>
        <w:tc>
          <w:tcPr>
            <w:tcW w:w="5783" w:type="dxa"/>
          </w:tcPr>
          <w:p>
            <w:pPr>
              <w:pStyle w:val="TableParagraph"/>
              <w:spacing w:line="270" w:lineRule="atLeast"/>
              <w:ind w:left="107"/>
              <w:rPr>
                <w:sz w:val="24"/>
              </w:rPr>
            </w:pPr>
            <w:r>
              <w:rPr>
                <w:sz w:val="24"/>
              </w:rPr>
              <w:t>[A4]:</w:t>
            </w:r>
            <w:r>
              <w:rPr>
                <w:spacing w:val="-7"/>
                <w:sz w:val="24"/>
              </w:rPr>
              <w:t> </w:t>
            </w:r>
            <w:r>
              <w:rPr>
                <w:sz w:val="24"/>
              </w:rPr>
              <w:t>Waiting</w:t>
            </w:r>
            <w:r>
              <w:rPr>
                <w:spacing w:val="-7"/>
                <w:sz w:val="24"/>
              </w:rPr>
              <w:t> </w:t>
            </w:r>
            <w:r>
              <w:rPr>
                <w:sz w:val="24"/>
              </w:rPr>
              <w:t>time</w:t>
            </w:r>
            <w:r>
              <w:rPr>
                <w:spacing w:val="-5"/>
                <w:sz w:val="24"/>
              </w:rPr>
              <w:t> </w:t>
            </w:r>
            <w:r>
              <w:rPr>
                <w:sz w:val="24"/>
              </w:rPr>
              <w:t>for</w:t>
            </w:r>
            <w:r>
              <w:rPr>
                <w:spacing w:val="-5"/>
                <w:sz w:val="24"/>
              </w:rPr>
              <w:t> </w:t>
            </w:r>
            <w:r>
              <w:rPr>
                <w:sz w:val="24"/>
              </w:rPr>
              <w:t>water</w:t>
            </w:r>
            <w:r>
              <w:rPr>
                <w:spacing w:val="-7"/>
                <w:sz w:val="24"/>
              </w:rPr>
              <w:t> </w:t>
            </w:r>
            <w:r>
              <w:rPr>
                <w:sz w:val="24"/>
              </w:rPr>
              <w:t>collection</w:t>
            </w:r>
            <w:r>
              <w:rPr>
                <w:spacing w:val="-5"/>
                <w:sz w:val="24"/>
              </w:rPr>
              <w:t> </w:t>
            </w:r>
            <w:r>
              <w:rPr>
                <w:sz w:val="24"/>
              </w:rPr>
              <w:t>based</w:t>
            </w:r>
            <w:r>
              <w:rPr>
                <w:spacing w:val="-5"/>
                <w:sz w:val="24"/>
              </w:rPr>
              <w:t> </w:t>
            </w:r>
            <w:r>
              <w:rPr>
                <w:sz w:val="24"/>
              </w:rPr>
              <w:t>on</w:t>
            </w:r>
            <w:r>
              <w:rPr>
                <w:spacing w:val="-5"/>
                <w:sz w:val="24"/>
              </w:rPr>
              <w:t> </w:t>
            </w:r>
            <w:r>
              <w:rPr>
                <w:sz w:val="24"/>
              </w:rPr>
              <w:t>one-way trip (minutes)</w:t>
            </w:r>
          </w:p>
        </w:tc>
      </w:tr>
      <w:tr>
        <w:trPr>
          <w:trHeight w:val="288" w:hRule="atLeast"/>
        </w:trPr>
        <w:tc>
          <w:tcPr>
            <w:tcW w:w="1180" w:type="dxa"/>
          </w:tcPr>
          <w:p>
            <w:pPr>
              <w:pStyle w:val="TableParagraph"/>
              <w:rPr>
                <w:sz w:val="20"/>
              </w:rPr>
            </w:pPr>
          </w:p>
        </w:tc>
        <w:tc>
          <w:tcPr>
            <w:tcW w:w="1895" w:type="dxa"/>
          </w:tcPr>
          <w:p>
            <w:pPr>
              <w:pStyle w:val="TableParagraph"/>
              <w:rPr>
                <w:sz w:val="20"/>
              </w:rPr>
            </w:pPr>
          </w:p>
        </w:tc>
        <w:tc>
          <w:tcPr>
            <w:tcW w:w="5783" w:type="dxa"/>
          </w:tcPr>
          <w:p>
            <w:pPr>
              <w:pStyle w:val="TableParagraph"/>
              <w:spacing w:line="268" w:lineRule="exact"/>
              <w:ind w:left="107"/>
              <w:rPr>
                <w:sz w:val="24"/>
              </w:rPr>
            </w:pPr>
            <w:r>
              <w:rPr>
                <w:sz w:val="24"/>
              </w:rPr>
              <w:t>[A5]:</w:t>
            </w:r>
            <w:r>
              <w:rPr>
                <w:spacing w:val="-4"/>
                <w:sz w:val="24"/>
              </w:rPr>
              <w:t> </w:t>
            </w:r>
            <w:r>
              <w:rPr>
                <w:sz w:val="24"/>
              </w:rPr>
              <w:t>Occurrence</w:t>
            </w:r>
            <w:r>
              <w:rPr>
                <w:spacing w:val="-2"/>
                <w:sz w:val="24"/>
              </w:rPr>
              <w:t> </w:t>
            </w:r>
            <w:r>
              <w:rPr>
                <w:sz w:val="24"/>
              </w:rPr>
              <w:t>of</w:t>
            </w:r>
            <w:r>
              <w:rPr>
                <w:spacing w:val="-2"/>
                <w:sz w:val="24"/>
              </w:rPr>
              <w:t> </w:t>
            </w:r>
            <w:r>
              <w:rPr>
                <w:sz w:val="24"/>
              </w:rPr>
              <w:t>water</w:t>
            </w:r>
            <w:r>
              <w:rPr>
                <w:spacing w:val="-1"/>
                <w:sz w:val="24"/>
              </w:rPr>
              <w:t> </w:t>
            </w:r>
            <w:r>
              <w:rPr>
                <w:sz w:val="24"/>
              </w:rPr>
              <w:t>conflict at</w:t>
            </w:r>
            <w:r>
              <w:rPr>
                <w:spacing w:val="-1"/>
                <w:sz w:val="24"/>
              </w:rPr>
              <w:t> </w:t>
            </w:r>
            <w:r>
              <w:rPr>
                <w:sz w:val="24"/>
              </w:rPr>
              <w:t>water</w:t>
            </w:r>
            <w:r>
              <w:rPr>
                <w:spacing w:val="-3"/>
                <w:sz w:val="24"/>
              </w:rPr>
              <w:t> </w:t>
            </w:r>
            <w:r>
              <w:rPr>
                <w:spacing w:val="-2"/>
                <w:sz w:val="24"/>
              </w:rPr>
              <w:t>points</w:t>
            </w:r>
          </w:p>
        </w:tc>
      </w:tr>
      <w:tr>
        <w:trPr>
          <w:trHeight w:val="563" w:hRule="atLeast"/>
        </w:trPr>
        <w:tc>
          <w:tcPr>
            <w:tcW w:w="1180" w:type="dxa"/>
          </w:tcPr>
          <w:p>
            <w:pPr>
              <w:pStyle w:val="TableParagraph"/>
              <w:spacing w:before="11"/>
              <w:ind w:left="122"/>
              <w:rPr>
                <w:b/>
                <w:sz w:val="24"/>
              </w:rPr>
            </w:pPr>
            <w:r>
              <w:rPr>
                <w:b/>
                <w:spacing w:val="-2"/>
                <w:sz w:val="24"/>
              </w:rPr>
              <w:t>Capacity</w:t>
            </w:r>
          </w:p>
        </w:tc>
        <w:tc>
          <w:tcPr>
            <w:tcW w:w="1895" w:type="dxa"/>
          </w:tcPr>
          <w:p>
            <w:pPr>
              <w:pStyle w:val="TableParagraph"/>
              <w:tabs>
                <w:tab w:pos="1598" w:val="left" w:leader="none"/>
              </w:tabs>
              <w:spacing w:line="270" w:lineRule="atLeast"/>
              <w:ind w:left="113" w:right="108"/>
              <w:rPr>
                <w:sz w:val="24"/>
              </w:rPr>
            </w:pPr>
            <w:r>
              <w:rPr>
                <w:spacing w:val="-2"/>
                <w:sz w:val="24"/>
              </w:rPr>
              <w:t>Capacity</w:t>
            </w:r>
            <w:r>
              <w:rPr>
                <w:sz w:val="24"/>
              </w:rPr>
              <w:tab/>
            </w:r>
            <w:r>
              <w:rPr>
                <w:spacing w:val="-6"/>
                <w:sz w:val="24"/>
              </w:rPr>
              <w:t>to </w:t>
            </w:r>
            <w:r>
              <w:rPr>
                <w:sz w:val="24"/>
              </w:rPr>
              <w:t>manage water</w:t>
            </w:r>
          </w:p>
        </w:tc>
        <w:tc>
          <w:tcPr>
            <w:tcW w:w="5783" w:type="dxa"/>
          </w:tcPr>
          <w:p>
            <w:pPr>
              <w:pStyle w:val="TableParagraph"/>
              <w:spacing w:before="7"/>
              <w:ind w:left="107"/>
              <w:rPr>
                <w:sz w:val="24"/>
              </w:rPr>
            </w:pPr>
            <w:r>
              <w:rPr>
                <w:sz w:val="24"/>
              </w:rPr>
              <w:t>[C1]:</w:t>
            </w:r>
            <w:r>
              <w:rPr>
                <w:spacing w:val="-1"/>
                <w:sz w:val="24"/>
              </w:rPr>
              <w:t> </w:t>
            </w:r>
            <w:r>
              <w:rPr>
                <w:sz w:val="24"/>
              </w:rPr>
              <w:t>Level</w:t>
            </w:r>
            <w:r>
              <w:rPr>
                <w:spacing w:val="-1"/>
                <w:sz w:val="24"/>
              </w:rPr>
              <w:t> </w:t>
            </w:r>
            <w:r>
              <w:rPr>
                <w:sz w:val="24"/>
              </w:rPr>
              <w:t>of financial</w:t>
            </w:r>
            <w:r>
              <w:rPr>
                <w:spacing w:val="-1"/>
                <w:sz w:val="24"/>
              </w:rPr>
              <w:t> </w:t>
            </w:r>
            <w:r>
              <w:rPr>
                <w:sz w:val="24"/>
              </w:rPr>
              <w:t>capacity</w:t>
            </w:r>
            <w:r>
              <w:rPr>
                <w:spacing w:val="-5"/>
                <w:sz w:val="24"/>
              </w:rPr>
              <w:t> </w:t>
            </w:r>
            <w:r>
              <w:rPr>
                <w:sz w:val="24"/>
              </w:rPr>
              <w:t>of</w:t>
            </w:r>
            <w:r>
              <w:rPr>
                <w:spacing w:val="-1"/>
                <w:sz w:val="24"/>
              </w:rPr>
              <w:t> </w:t>
            </w:r>
            <w:r>
              <w:rPr>
                <w:sz w:val="24"/>
              </w:rPr>
              <w:t>the</w:t>
            </w:r>
            <w:r>
              <w:rPr>
                <w:spacing w:val="-2"/>
                <w:sz w:val="24"/>
              </w:rPr>
              <w:t> household</w:t>
            </w:r>
          </w:p>
        </w:tc>
      </w:tr>
      <w:tr>
        <w:trPr>
          <w:trHeight w:val="288" w:hRule="atLeast"/>
        </w:trPr>
        <w:tc>
          <w:tcPr>
            <w:tcW w:w="1180" w:type="dxa"/>
          </w:tcPr>
          <w:p>
            <w:pPr>
              <w:pStyle w:val="TableParagraph"/>
              <w:rPr>
                <w:sz w:val="20"/>
              </w:rPr>
            </w:pPr>
          </w:p>
        </w:tc>
        <w:tc>
          <w:tcPr>
            <w:tcW w:w="1895" w:type="dxa"/>
          </w:tcPr>
          <w:p>
            <w:pPr>
              <w:pStyle w:val="TableParagraph"/>
              <w:rPr>
                <w:sz w:val="20"/>
              </w:rPr>
            </w:pPr>
          </w:p>
        </w:tc>
        <w:tc>
          <w:tcPr>
            <w:tcW w:w="5783" w:type="dxa"/>
          </w:tcPr>
          <w:p>
            <w:pPr>
              <w:pStyle w:val="TableParagraph"/>
              <w:spacing w:line="268" w:lineRule="exact"/>
              <w:ind w:left="107"/>
              <w:rPr>
                <w:sz w:val="24"/>
              </w:rPr>
            </w:pPr>
            <w:r>
              <w:rPr>
                <w:sz w:val="24"/>
              </w:rPr>
              <w:t>[C2]:</w:t>
            </w:r>
            <w:r>
              <w:rPr>
                <w:spacing w:val="-1"/>
                <w:sz w:val="24"/>
              </w:rPr>
              <w:t> </w:t>
            </w:r>
            <w:r>
              <w:rPr>
                <w:sz w:val="24"/>
              </w:rPr>
              <w:t>Household</w:t>
            </w:r>
            <w:r>
              <w:rPr>
                <w:spacing w:val="-1"/>
                <w:sz w:val="24"/>
              </w:rPr>
              <w:t> </w:t>
            </w:r>
            <w:r>
              <w:rPr>
                <w:sz w:val="24"/>
              </w:rPr>
              <w:t>level</w:t>
            </w:r>
            <w:r>
              <w:rPr>
                <w:spacing w:val="-1"/>
                <w:sz w:val="24"/>
              </w:rPr>
              <w:t> </w:t>
            </w:r>
            <w:r>
              <w:rPr>
                <w:sz w:val="24"/>
              </w:rPr>
              <w:t>of</w:t>
            </w:r>
            <w:r>
              <w:rPr>
                <w:spacing w:val="-1"/>
                <w:sz w:val="24"/>
              </w:rPr>
              <w:t> </w:t>
            </w:r>
            <w:r>
              <w:rPr>
                <w:spacing w:val="-2"/>
                <w:sz w:val="24"/>
              </w:rPr>
              <w:t>employment</w:t>
            </w:r>
          </w:p>
        </w:tc>
      </w:tr>
      <w:tr>
        <w:trPr>
          <w:trHeight w:val="300" w:hRule="atLeast"/>
        </w:trPr>
        <w:tc>
          <w:tcPr>
            <w:tcW w:w="1180" w:type="dxa"/>
          </w:tcPr>
          <w:p>
            <w:pPr>
              <w:pStyle w:val="TableParagraph"/>
              <w:rPr>
                <w:sz w:val="22"/>
              </w:rPr>
            </w:pPr>
          </w:p>
        </w:tc>
        <w:tc>
          <w:tcPr>
            <w:tcW w:w="1895" w:type="dxa"/>
          </w:tcPr>
          <w:p>
            <w:pPr>
              <w:pStyle w:val="TableParagraph"/>
              <w:rPr>
                <w:sz w:val="22"/>
              </w:rPr>
            </w:pPr>
          </w:p>
        </w:tc>
        <w:tc>
          <w:tcPr>
            <w:tcW w:w="5783" w:type="dxa"/>
          </w:tcPr>
          <w:p>
            <w:pPr>
              <w:pStyle w:val="TableParagraph"/>
              <w:spacing w:line="273" w:lineRule="exact" w:before="7"/>
              <w:ind w:left="107"/>
              <w:rPr>
                <w:sz w:val="24"/>
              </w:rPr>
            </w:pPr>
            <w:r>
              <w:rPr>
                <w:sz w:val="24"/>
              </w:rPr>
              <w:t>[C3]:</w:t>
            </w:r>
            <w:r>
              <w:rPr>
                <w:spacing w:val="-2"/>
                <w:sz w:val="24"/>
              </w:rPr>
              <w:t> </w:t>
            </w:r>
            <w:r>
              <w:rPr>
                <w:sz w:val="24"/>
              </w:rPr>
              <w:t>Literacy</w:t>
            </w:r>
            <w:r>
              <w:rPr>
                <w:spacing w:val="-5"/>
                <w:sz w:val="24"/>
              </w:rPr>
              <w:t> </w:t>
            </w:r>
            <w:r>
              <w:rPr>
                <w:sz w:val="24"/>
              </w:rPr>
              <w:t>level</w:t>
            </w:r>
            <w:r>
              <w:rPr>
                <w:spacing w:val="-1"/>
                <w:sz w:val="24"/>
              </w:rPr>
              <w:t> </w:t>
            </w:r>
            <w:r>
              <w:rPr>
                <w:sz w:val="24"/>
              </w:rPr>
              <w:t>in</w:t>
            </w:r>
            <w:r>
              <w:rPr>
                <w:spacing w:val="-1"/>
                <w:sz w:val="24"/>
              </w:rPr>
              <w:t> </w:t>
            </w:r>
            <w:r>
              <w:rPr>
                <w:spacing w:val="-2"/>
                <w:sz w:val="24"/>
              </w:rPr>
              <w:t>household</w:t>
            </w:r>
          </w:p>
        </w:tc>
      </w:tr>
      <w:tr>
        <w:trPr>
          <w:trHeight w:val="300" w:hRule="atLeast"/>
        </w:trPr>
        <w:tc>
          <w:tcPr>
            <w:tcW w:w="1180" w:type="dxa"/>
          </w:tcPr>
          <w:p>
            <w:pPr>
              <w:pStyle w:val="TableParagraph"/>
              <w:rPr>
                <w:sz w:val="22"/>
              </w:rPr>
            </w:pPr>
          </w:p>
        </w:tc>
        <w:tc>
          <w:tcPr>
            <w:tcW w:w="1895" w:type="dxa"/>
          </w:tcPr>
          <w:p>
            <w:pPr>
              <w:pStyle w:val="TableParagraph"/>
              <w:rPr>
                <w:sz w:val="22"/>
              </w:rPr>
            </w:pPr>
          </w:p>
        </w:tc>
        <w:tc>
          <w:tcPr>
            <w:tcW w:w="5783" w:type="dxa"/>
          </w:tcPr>
          <w:p>
            <w:pPr>
              <w:pStyle w:val="TableParagraph"/>
              <w:spacing w:line="273" w:lineRule="exact" w:before="7"/>
              <w:ind w:left="107"/>
              <w:rPr>
                <w:sz w:val="24"/>
              </w:rPr>
            </w:pPr>
            <w:r>
              <w:rPr>
                <w:sz w:val="24"/>
              </w:rPr>
              <w:t>[C4]:</w:t>
            </w:r>
            <w:r>
              <w:rPr>
                <w:spacing w:val="-4"/>
                <w:sz w:val="24"/>
              </w:rPr>
              <w:t> </w:t>
            </w:r>
            <w:r>
              <w:rPr>
                <w:sz w:val="24"/>
              </w:rPr>
              <w:t>Frequency</w:t>
            </w:r>
            <w:r>
              <w:rPr>
                <w:spacing w:val="-5"/>
                <w:sz w:val="24"/>
              </w:rPr>
              <w:t> </w:t>
            </w:r>
            <w:r>
              <w:rPr>
                <w:sz w:val="24"/>
              </w:rPr>
              <w:t>of</w:t>
            </w:r>
            <w:r>
              <w:rPr>
                <w:spacing w:val="-1"/>
                <w:sz w:val="24"/>
              </w:rPr>
              <w:t> </w:t>
            </w:r>
            <w:r>
              <w:rPr>
                <w:sz w:val="24"/>
              </w:rPr>
              <w:t>water related</w:t>
            </w:r>
            <w:r>
              <w:rPr>
                <w:spacing w:val="-1"/>
                <w:sz w:val="24"/>
              </w:rPr>
              <w:t> </w:t>
            </w:r>
            <w:r>
              <w:rPr>
                <w:spacing w:val="-2"/>
                <w:sz w:val="24"/>
              </w:rPr>
              <w:t>illness</w:t>
            </w:r>
          </w:p>
        </w:tc>
      </w:tr>
      <w:tr>
        <w:trPr>
          <w:trHeight w:val="564" w:hRule="atLeast"/>
        </w:trPr>
        <w:tc>
          <w:tcPr>
            <w:tcW w:w="1180" w:type="dxa"/>
          </w:tcPr>
          <w:p>
            <w:pPr>
              <w:pStyle w:val="TableParagraph"/>
              <w:rPr>
                <w:sz w:val="24"/>
              </w:rPr>
            </w:pPr>
          </w:p>
        </w:tc>
        <w:tc>
          <w:tcPr>
            <w:tcW w:w="1895" w:type="dxa"/>
          </w:tcPr>
          <w:p>
            <w:pPr>
              <w:pStyle w:val="TableParagraph"/>
              <w:rPr>
                <w:sz w:val="24"/>
              </w:rPr>
            </w:pPr>
          </w:p>
        </w:tc>
        <w:tc>
          <w:tcPr>
            <w:tcW w:w="5783" w:type="dxa"/>
          </w:tcPr>
          <w:p>
            <w:pPr>
              <w:pStyle w:val="TableParagraph"/>
              <w:spacing w:line="270" w:lineRule="atLeast"/>
              <w:ind w:left="107" w:right="57"/>
              <w:rPr>
                <w:sz w:val="24"/>
              </w:rPr>
            </w:pPr>
            <w:r>
              <w:rPr>
                <w:sz w:val="24"/>
              </w:rPr>
              <w:t>[C5]: Household with at least a member with knowledge of hygiene</w:t>
            </w:r>
          </w:p>
        </w:tc>
      </w:tr>
      <w:tr>
        <w:trPr>
          <w:trHeight w:val="552" w:hRule="atLeast"/>
        </w:trPr>
        <w:tc>
          <w:tcPr>
            <w:tcW w:w="1180" w:type="dxa"/>
          </w:tcPr>
          <w:p>
            <w:pPr>
              <w:pStyle w:val="TableParagraph"/>
              <w:rPr>
                <w:sz w:val="24"/>
              </w:rPr>
            </w:pPr>
          </w:p>
        </w:tc>
        <w:tc>
          <w:tcPr>
            <w:tcW w:w="1895" w:type="dxa"/>
          </w:tcPr>
          <w:p>
            <w:pPr>
              <w:pStyle w:val="TableParagraph"/>
              <w:rPr>
                <w:sz w:val="24"/>
              </w:rPr>
            </w:pPr>
          </w:p>
        </w:tc>
        <w:tc>
          <w:tcPr>
            <w:tcW w:w="5783" w:type="dxa"/>
          </w:tcPr>
          <w:p>
            <w:pPr>
              <w:pStyle w:val="TableParagraph"/>
              <w:spacing w:line="271" w:lineRule="exact"/>
              <w:ind w:left="107"/>
              <w:rPr>
                <w:sz w:val="24"/>
              </w:rPr>
            </w:pPr>
            <w:r>
              <w:rPr>
                <w:sz w:val="24"/>
              </w:rPr>
              <w:t>[C6]:</w:t>
            </w:r>
            <w:r>
              <w:rPr>
                <w:spacing w:val="-13"/>
                <w:sz w:val="24"/>
              </w:rPr>
              <w:t> </w:t>
            </w:r>
            <w:r>
              <w:rPr>
                <w:sz w:val="24"/>
              </w:rPr>
              <w:t>Household</w:t>
            </w:r>
            <w:r>
              <w:rPr>
                <w:spacing w:val="-10"/>
                <w:sz w:val="24"/>
              </w:rPr>
              <w:t> </w:t>
            </w:r>
            <w:r>
              <w:rPr>
                <w:sz w:val="24"/>
              </w:rPr>
              <w:t>aggregate</w:t>
            </w:r>
            <w:r>
              <w:rPr>
                <w:spacing w:val="-11"/>
                <w:sz w:val="24"/>
              </w:rPr>
              <w:t> </w:t>
            </w:r>
            <w:r>
              <w:rPr>
                <w:sz w:val="24"/>
              </w:rPr>
              <w:t>expenditure</w:t>
            </w:r>
            <w:r>
              <w:rPr>
                <w:spacing w:val="-12"/>
                <w:sz w:val="24"/>
              </w:rPr>
              <w:t> </w:t>
            </w:r>
            <w:r>
              <w:rPr>
                <w:sz w:val="24"/>
              </w:rPr>
              <w:t>on</w:t>
            </w:r>
            <w:r>
              <w:rPr>
                <w:spacing w:val="-10"/>
                <w:sz w:val="24"/>
              </w:rPr>
              <w:t> </w:t>
            </w:r>
            <w:r>
              <w:rPr>
                <w:sz w:val="24"/>
              </w:rPr>
              <w:t>drinking</w:t>
            </w:r>
            <w:r>
              <w:rPr>
                <w:spacing w:val="-10"/>
                <w:sz w:val="24"/>
              </w:rPr>
              <w:t> </w:t>
            </w:r>
            <w:r>
              <w:rPr>
                <w:spacing w:val="-2"/>
                <w:sz w:val="24"/>
              </w:rPr>
              <w:t>water,</w:t>
            </w:r>
          </w:p>
          <w:p>
            <w:pPr>
              <w:pStyle w:val="TableParagraph"/>
              <w:spacing w:line="261" w:lineRule="exact"/>
              <w:ind w:left="107"/>
              <w:rPr>
                <w:sz w:val="24"/>
              </w:rPr>
            </w:pPr>
            <w:r>
              <w:rPr>
                <w:sz w:val="24"/>
              </w:rPr>
              <w:t>domestic</w:t>
            </w:r>
            <w:r>
              <w:rPr>
                <w:spacing w:val="-2"/>
                <w:sz w:val="24"/>
              </w:rPr>
              <w:t> </w:t>
            </w:r>
            <w:r>
              <w:rPr>
                <w:sz w:val="24"/>
              </w:rPr>
              <w:t>and public</w:t>
            </w:r>
            <w:r>
              <w:rPr>
                <w:spacing w:val="-2"/>
                <w:sz w:val="24"/>
              </w:rPr>
              <w:t> </w:t>
            </w:r>
            <w:r>
              <w:rPr>
                <w:sz w:val="24"/>
              </w:rPr>
              <w:t>water </w:t>
            </w:r>
            <w:r>
              <w:rPr>
                <w:spacing w:val="-2"/>
                <w:sz w:val="24"/>
              </w:rPr>
              <w:t>supply</w:t>
            </w:r>
          </w:p>
        </w:tc>
      </w:tr>
      <w:tr>
        <w:trPr>
          <w:trHeight w:val="287" w:hRule="atLeast"/>
        </w:trPr>
        <w:tc>
          <w:tcPr>
            <w:tcW w:w="1180" w:type="dxa"/>
          </w:tcPr>
          <w:p>
            <w:pPr>
              <w:pStyle w:val="TableParagraph"/>
              <w:rPr>
                <w:sz w:val="20"/>
              </w:rPr>
            </w:pPr>
          </w:p>
        </w:tc>
        <w:tc>
          <w:tcPr>
            <w:tcW w:w="1895" w:type="dxa"/>
          </w:tcPr>
          <w:p>
            <w:pPr>
              <w:pStyle w:val="TableParagraph"/>
              <w:rPr>
                <w:sz w:val="20"/>
              </w:rPr>
            </w:pPr>
          </w:p>
        </w:tc>
        <w:tc>
          <w:tcPr>
            <w:tcW w:w="5783" w:type="dxa"/>
          </w:tcPr>
          <w:p>
            <w:pPr>
              <w:pStyle w:val="TableParagraph"/>
              <w:spacing w:line="268" w:lineRule="exact"/>
              <w:ind w:left="107"/>
              <w:rPr>
                <w:sz w:val="24"/>
              </w:rPr>
            </w:pPr>
            <w:r>
              <w:rPr>
                <w:sz w:val="24"/>
              </w:rPr>
              <w:t>[C7]:</w:t>
            </w:r>
            <w:r>
              <w:rPr>
                <w:spacing w:val="-2"/>
                <w:sz w:val="24"/>
              </w:rPr>
              <w:t> </w:t>
            </w:r>
            <w:r>
              <w:rPr>
                <w:sz w:val="24"/>
              </w:rPr>
              <w:t>Presence</w:t>
            </w:r>
            <w:r>
              <w:rPr>
                <w:spacing w:val="-2"/>
                <w:sz w:val="24"/>
              </w:rPr>
              <w:t> </w:t>
            </w:r>
            <w:r>
              <w:rPr>
                <w:sz w:val="24"/>
              </w:rPr>
              <w:t>of</w:t>
            </w:r>
            <w:r>
              <w:rPr>
                <w:spacing w:val="-1"/>
                <w:sz w:val="24"/>
              </w:rPr>
              <w:t> </w:t>
            </w:r>
            <w:r>
              <w:rPr>
                <w:sz w:val="24"/>
              </w:rPr>
              <w:t>water</w:t>
            </w:r>
            <w:r>
              <w:rPr>
                <w:spacing w:val="-2"/>
                <w:sz w:val="24"/>
              </w:rPr>
              <w:t> </w:t>
            </w:r>
            <w:r>
              <w:rPr>
                <w:sz w:val="24"/>
              </w:rPr>
              <w:t>point</w:t>
            </w:r>
            <w:r>
              <w:rPr>
                <w:spacing w:val="-1"/>
                <w:sz w:val="24"/>
              </w:rPr>
              <w:t> </w:t>
            </w:r>
            <w:r>
              <w:rPr>
                <w:sz w:val="24"/>
              </w:rPr>
              <w:t>management</w:t>
            </w:r>
            <w:r>
              <w:rPr>
                <w:spacing w:val="-1"/>
                <w:sz w:val="24"/>
              </w:rPr>
              <w:t> </w:t>
            </w:r>
            <w:r>
              <w:rPr>
                <w:spacing w:val="-2"/>
                <w:sz w:val="24"/>
              </w:rPr>
              <w:t>committee</w:t>
            </w:r>
          </w:p>
        </w:tc>
      </w:tr>
      <w:tr>
        <w:trPr>
          <w:trHeight w:val="840" w:hRule="atLeast"/>
        </w:trPr>
        <w:tc>
          <w:tcPr>
            <w:tcW w:w="1180" w:type="dxa"/>
          </w:tcPr>
          <w:p>
            <w:pPr>
              <w:pStyle w:val="TableParagraph"/>
              <w:spacing w:before="11"/>
              <w:ind w:left="122"/>
              <w:rPr>
                <w:b/>
                <w:sz w:val="24"/>
              </w:rPr>
            </w:pPr>
            <w:r>
              <w:rPr>
                <w:b/>
                <w:spacing w:val="-5"/>
                <w:sz w:val="24"/>
              </w:rPr>
              <w:t>Use</w:t>
            </w:r>
          </w:p>
        </w:tc>
        <w:tc>
          <w:tcPr>
            <w:tcW w:w="1895" w:type="dxa"/>
          </w:tcPr>
          <w:p>
            <w:pPr>
              <w:pStyle w:val="TableParagraph"/>
              <w:spacing w:line="270" w:lineRule="atLeast"/>
              <w:ind w:left="113" w:right="107"/>
              <w:jc w:val="both"/>
              <w:rPr>
                <w:sz w:val="24"/>
              </w:rPr>
            </w:pPr>
            <w:r>
              <w:rPr>
                <w:sz w:val="24"/>
              </w:rPr>
              <w:t>Level of </w:t>
            </w:r>
            <w:r>
              <w:rPr>
                <w:sz w:val="24"/>
              </w:rPr>
              <w:t>water use for different </w:t>
            </w:r>
            <w:r>
              <w:rPr>
                <w:spacing w:val="-2"/>
                <w:sz w:val="24"/>
              </w:rPr>
              <w:t>purposed</w:t>
            </w:r>
          </w:p>
        </w:tc>
        <w:tc>
          <w:tcPr>
            <w:tcW w:w="5783" w:type="dxa"/>
          </w:tcPr>
          <w:p>
            <w:pPr>
              <w:pStyle w:val="TableParagraph"/>
              <w:spacing w:before="7"/>
              <w:ind w:left="107"/>
              <w:rPr>
                <w:sz w:val="24"/>
              </w:rPr>
            </w:pPr>
            <w:r>
              <w:rPr>
                <w:sz w:val="24"/>
              </w:rPr>
              <w:t>[U1]:</w:t>
            </w:r>
            <w:r>
              <w:rPr>
                <w:spacing w:val="-1"/>
                <w:sz w:val="24"/>
              </w:rPr>
              <w:t> </w:t>
            </w:r>
            <w:r>
              <w:rPr>
                <w:sz w:val="24"/>
              </w:rPr>
              <w:t>Domestic</w:t>
            </w:r>
            <w:r>
              <w:rPr>
                <w:spacing w:val="-2"/>
                <w:sz w:val="24"/>
              </w:rPr>
              <w:t> </w:t>
            </w:r>
            <w:r>
              <w:rPr>
                <w:sz w:val="24"/>
              </w:rPr>
              <w:t>water</w:t>
            </w:r>
            <w:r>
              <w:rPr>
                <w:spacing w:val="-3"/>
                <w:sz w:val="24"/>
              </w:rPr>
              <w:t> </w:t>
            </w:r>
            <w:r>
              <w:rPr>
                <w:sz w:val="24"/>
              </w:rPr>
              <w:t>consumption</w:t>
            </w:r>
            <w:r>
              <w:rPr>
                <w:spacing w:val="-1"/>
                <w:sz w:val="24"/>
              </w:rPr>
              <w:t> </w:t>
            </w:r>
            <w:r>
              <w:rPr>
                <w:sz w:val="24"/>
              </w:rPr>
              <w:t>per</w:t>
            </w:r>
            <w:r>
              <w:rPr>
                <w:spacing w:val="-1"/>
                <w:sz w:val="24"/>
              </w:rPr>
              <w:t> </w:t>
            </w:r>
            <w:r>
              <w:rPr>
                <w:sz w:val="24"/>
              </w:rPr>
              <w:t>capita</w:t>
            </w:r>
            <w:r>
              <w:rPr>
                <w:spacing w:val="-2"/>
                <w:sz w:val="24"/>
              </w:rPr>
              <w:t> </w:t>
            </w:r>
            <w:r>
              <w:rPr>
                <w:sz w:val="24"/>
              </w:rPr>
              <w:t>per </w:t>
            </w:r>
            <w:r>
              <w:rPr>
                <w:spacing w:val="-5"/>
                <w:sz w:val="24"/>
              </w:rPr>
              <w:t>day</w:t>
            </w:r>
          </w:p>
        </w:tc>
      </w:tr>
      <w:tr>
        <w:trPr>
          <w:trHeight w:val="288" w:hRule="atLeast"/>
        </w:trPr>
        <w:tc>
          <w:tcPr>
            <w:tcW w:w="1180" w:type="dxa"/>
          </w:tcPr>
          <w:p>
            <w:pPr>
              <w:pStyle w:val="TableParagraph"/>
              <w:rPr>
                <w:sz w:val="20"/>
              </w:rPr>
            </w:pPr>
          </w:p>
        </w:tc>
        <w:tc>
          <w:tcPr>
            <w:tcW w:w="1895" w:type="dxa"/>
          </w:tcPr>
          <w:p>
            <w:pPr>
              <w:pStyle w:val="TableParagraph"/>
              <w:rPr>
                <w:sz w:val="20"/>
              </w:rPr>
            </w:pPr>
          </w:p>
        </w:tc>
        <w:tc>
          <w:tcPr>
            <w:tcW w:w="5783" w:type="dxa"/>
          </w:tcPr>
          <w:p>
            <w:pPr>
              <w:pStyle w:val="TableParagraph"/>
              <w:spacing w:line="268" w:lineRule="exact"/>
              <w:ind w:left="107"/>
              <w:rPr>
                <w:sz w:val="24"/>
              </w:rPr>
            </w:pPr>
            <w:r>
              <w:rPr>
                <w:sz w:val="24"/>
              </w:rPr>
              <w:t>[U2]:</w:t>
            </w:r>
            <w:r>
              <w:rPr>
                <w:spacing w:val="-2"/>
                <w:sz w:val="24"/>
              </w:rPr>
              <w:t> </w:t>
            </w:r>
            <w:r>
              <w:rPr>
                <w:sz w:val="24"/>
              </w:rPr>
              <w:t>Water</w:t>
            </w:r>
            <w:r>
              <w:rPr>
                <w:spacing w:val="-2"/>
                <w:sz w:val="24"/>
              </w:rPr>
              <w:t> </w:t>
            </w:r>
            <w:r>
              <w:rPr>
                <w:sz w:val="24"/>
              </w:rPr>
              <w:t>for</w:t>
            </w:r>
            <w:r>
              <w:rPr>
                <w:spacing w:val="-2"/>
                <w:sz w:val="24"/>
              </w:rPr>
              <w:t> </w:t>
            </w:r>
            <w:r>
              <w:rPr>
                <w:sz w:val="24"/>
              </w:rPr>
              <w:t>green use/ watering</w:t>
            </w:r>
            <w:r>
              <w:rPr>
                <w:spacing w:val="-3"/>
                <w:sz w:val="24"/>
              </w:rPr>
              <w:t> </w:t>
            </w:r>
            <w:r>
              <w:rPr>
                <w:spacing w:val="-4"/>
                <w:sz w:val="24"/>
              </w:rPr>
              <w:t>crop</w:t>
            </w:r>
          </w:p>
        </w:tc>
      </w:tr>
      <w:tr>
        <w:trPr>
          <w:trHeight w:val="300" w:hRule="atLeast"/>
        </w:trPr>
        <w:tc>
          <w:tcPr>
            <w:tcW w:w="1180" w:type="dxa"/>
          </w:tcPr>
          <w:p>
            <w:pPr>
              <w:pStyle w:val="TableParagraph"/>
              <w:rPr>
                <w:sz w:val="22"/>
              </w:rPr>
            </w:pPr>
          </w:p>
        </w:tc>
        <w:tc>
          <w:tcPr>
            <w:tcW w:w="1895" w:type="dxa"/>
          </w:tcPr>
          <w:p>
            <w:pPr>
              <w:pStyle w:val="TableParagraph"/>
              <w:rPr>
                <w:sz w:val="22"/>
              </w:rPr>
            </w:pPr>
          </w:p>
        </w:tc>
        <w:tc>
          <w:tcPr>
            <w:tcW w:w="5783" w:type="dxa"/>
          </w:tcPr>
          <w:p>
            <w:pPr>
              <w:pStyle w:val="TableParagraph"/>
              <w:spacing w:line="273" w:lineRule="exact" w:before="7"/>
              <w:ind w:left="107"/>
              <w:rPr>
                <w:sz w:val="24"/>
              </w:rPr>
            </w:pPr>
            <w:r>
              <w:rPr>
                <w:sz w:val="24"/>
              </w:rPr>
              <w:t>[U3]:</w:t>
            </w:r>
            <w:r>
              <w:rPr>
                <w:spacing w:val="-3"/>
                <w:sz w:val="24"/>
              </w:rPr>
              <w:t> </w:t>
            </w:r>
            <w:r>
              <w:rPr>
                <w:sz w:val="24"/>
              </w:rPr>
              <w:t>Drinking</w:t>
            </w:r>
            <w:r>
              <w:rPr>
                <w:spacing w:val="-4"/>
                <w:sz w:val="24"/>
              </w:rPr>
              <w:t> </w:t>
            </w:r>
            <w:r>
              <w:rPr>
                <w:sz w:val="24"/>
              </w:rPr>
              <w:t>water</w:t>
            </w:r>
            <w:r>
              <w:rPr>
                <w:spacing w:val="-2"/>
                <w:sz w:val="24"/>
              </w:rPr>
              <w:t> </w:t>
            </w:r>
            <w:r>
              <w:rPr>
                <w:sz w:val="24"/>
              </w:rPr>
              <w:t>consumption</w:t>
            </w:r>
            <w:r>
              <w:rPr>
                <w:spacing w:val="-1"/>
                <w:sz w:val="24"/>
              </w:rPr>
              <w:t> </w:t>
            </w:r>
            <w:r>
              <w:rPr>
                <w:sz w:val="24"/>
              </w:rPr>
              <w:t>per capita</w:t>
            </w:r>
            <w:r>
              <w:rPr>
                <w:spacing w:val="-2"/>
                <w:sz w:val="24"/>
              </w:rPr>
              <w:t> </w:t>
            </w:r>
            <w:r>
              <w:rPr>
                <w:sz w:val="24"/>
              </w:rPr>
              <w:t>per </w:t>
            </w:r>
            <w:r>
              <w:rPr>
                <w:spacing w:val="-5"/>
                <w:sz w:val="24"/>
              </w:rPr>
              <w:t>day</w:t>
            </w:r>
          </w:p>
        </w:tc>
      </w:tr>
      <w:tr>
        <w:trPr>
          <w:trHeight w:val="1116" w:hRule="atLeast"/>
        </w:trPr>
        <w:tc>
          <w:tcPr>
            <w:tcW w:w="1180" w:type="dxa"/>
          </w:tcPr>
          <w:p>
            <w:pPr>
              <w:pStyle w:val="TableParagraph"/>
              <w:spacing w:before="11"/>
              <w:ind w:left="122" w:right="211"/>
              <w:rPr>
                <w:b/>
                <w:sz w:val="24"/>
              </w:rPr>
            </w:pPr>
            <w:r>
              <w:rPr>
                <w:b/>
                <w:spacing w:val="-2"/>
                <w:sz w:val="24"/>
              </w:rPr>
              <w:t>Environ </w:t>
            </w:r>
            <w:r>
              <w:rPr>
                <w:b/>
                <w:spacing w:val="-4"/>
                <w:sz w:val="24"/>
              </w:rPr>
              <w:t>ment</w:t>
            </w:r>
          </w:p>
        </w:tc>
        <w:tc>
          <w:tcPr>
            <w:tcW w:w="1895" w:type="dxa"/>
          </w:tcPr>
          <w:p>
            <w:pPr>
              <w:pStyle w:val="TableParagraph"/>
              <w:tabs>
                <w:tab w:pos="1597" w:val="left" w:leader="none"/>
              </w:tabs>
              <w:spacing w:before="7"/>
              <w:ind w:left="113" w:right="106"/>
              <w:rPr>
                <w:sz w:val="24"/>
              </w:rPr>
            </w:pPr>
            <w:r>
              <w:rPr>
                <w:spacing w:val="-2"/>
                <w:sz w:val="24"/>
              </w:rPr>
              <w:t>Environmental sustainability</w:t>
            </w:r>
            <w:r>
              <w:rPr>
                <w:sz w:val="24"/>
              </w:rPr>
              <w:tab/>
            </w:r>
            <w:r>
              <w:rPr>
                <w:spacing w:val="-6"/>
                <w:sz w:val="24"/>
              </w:rPr>
              <w:t>in </w:t>
            </w:r>
            <w:r>
              <w:rPr>
                <w:sz w:val="24"/>
              </w:rPr>
              <w:t>relation</w:t>
            </w:r>
            <w:r>
              <w:rPr>
                <w:spacing w:val="49"/>
                <w:sz w:val="24"/>
              </w:rPr>
              <w:t> </w:t>
            </w:r>
            <w:r>
              <w:rPr>
                <w:sz w:val="24"/>
              </w:rPr>
              <w:t>to</w:t>
            </w:r>
            <w:r>
              <w:rPr>
                <w:spacing w:val="49"/>
                <w:sz w:val="24"/>
              </w:rPr>
              <w:t> </w:t>
            </w:r>
            <w:r>
              <w:rPr>
                <w:spacing w:val="-2"/>
                <w:sz w:val="24"/>
              </w:rPr>
              <w:t>water</w:t>
            </w:r>
          </w:p>
          <w:p>
            <w:pPr>
              <w:pStyle w:val="TableParagraph"/>
              <w:spacing w:line="261" w:lineRule="exact"/>
              <w:ind w:left="113"/>
              <w:rPr>
                <w:sz w:val="24"/>
              </w:rPr>
            </w:pPr>
            <w:r>
              <w:rPr>
                <w:spacing w:val="-4"/>
                <w:sz w:val="24"/>
              </w:rPr>
              <w:t>needs</w:t>
            </w:r>
          </w:p>
        </w:tc>
        <w:tc>
          <w:tcPr>
            <w:tcW w:w="5783" w:type="dxa"/>
          </w:tcPr>
          <w:p>
            <w:pPr>
              <w:pStyle w:val="TableParagraph"/>
              <w:spacing w:before="7"/>
              <w:ind w:left="107"/>
              <w:rPr>
                <w:sz w:val="24"/>
              </w:rPr>
            </w:pPr>
            <w:r>
              <w:rPr>
                <w:sz w:val="24"/>
              </w:rPr>
              <w:t>[E1]:</w:t>
            </w:r>
            <w:r>
              <w:rPr>
                <w:spacing w:val="-1"/>
                <w:sz w:val="24"/>
              </w:rPr>
              <w:t> </w:t>
            </w:r>
            <w:r>
              <w:rPr>
                <w:sz w:val="24"/>
              </w:rPr>
              <w:t>Household</w:t>
            </w:r>
            <w:r>
              <w:rPr>
                <w:spacing w:val="-1"/>
                <w:sz w:val="24"/>
              </w:rPr>
              <w:t> </w:t>
            </w:r>
            <w:r>
              <w:rPr>
                <w:sz w:val="24"/>
              </w:rPr>
              <w:t>perceived</w:t>
            </w:r>
            <w:r>
              <w:rPr>
                <w:spacing w:val="-1"/>
                <w:sz w:val="24"/>
              </w:rPr>
              <w:t> </w:t>
            </w:r>
            <w:r>
              <w:rPr>
                <w:sz w:val="24"/>
              </w:rPr>
              <w:t>assessment</w:t>
            </w:r>
            <w:r>
              <w:rPr>
                <w:spacing w:val="-1"/>
                <w:sz w:val="24"/>
              </w:rPr>
              <w:t> </w:t>
            </w:r>
            <w:r>
              <w:rPr>
                <w:sz w:val="24"/>
              </w:rPr>
              <w:t>of</w:t>
            </w:r>
            <w:r>
              <w:rPr>
                <w:spacing w:val="-2"/>
                <w:sz w:val="24"/>
              </w:rPr>
              <w:t> </w:t>
            </w:r>
            <w:r>
              <w:rPr>
                <w:sz w:val="24"/>
              </w:rPr>
              <w:t>water</w:t>
            </w:r>
            <w:r>
              <w:rPr>
                <w:spacing w:val="-2"/>
                <w:sz w:val="24"/>
              </w:rPr>
              <w:t> quality</w:t>
            </w:r>
          </w:p>
        </w:tc>
      </w:tr>
      <w:tr>
        <w:trPr>
          <w:trHeight w:val="304" w:hRule="atLeast"/>
        </w:trPr>
        <w:tc>
          <w:tcPr>
            <w:tcW w:w="1180" w:type="dxa"/>
            <w:tcBorders>
              <w:bottom w:val="single" w:sz="8" w:space="0" w:color="000000"/>
            </w:tcBorders>
          </w:tcPr>
          <w:p>
            <w:pPr>
              <w:pStyle w:val="TableParagraph"/>
              <w:rPr>
                <w:sz w:val="22"/>
              </w:rPr>
            </w:pPr>
          </w:p>
        </w:tc>
        <w:tc>
          <w:tcPr>
            <w:tcW w:w="1895" w:type="dxa"/>
            <w:tcBorders>
              <w:bottom w:val="single" w:sz="8" w:space="0" w:color="000000"/>
            </w:tcBorders>
          </w:tcPr>
          <w:p>
            <w:pPr>
              <w:pStyle w:val="TableParagraph"/>
              <w:rPr>
                <w:sz w:val="22"/>
              </w:rPr>
            </w:pPr>
          </w:p>
        </w:tc>
        <w:tc>
          <w:tcPr>
            <w:tcW w:w="5783" w:type="dxa"/>
            <w:tcBorders>
              <w:bottom w:val="single" w:sz="8" w:space="0" w:color="000000"/>
            </w:tcBorders>
          </w:tcPr>
          <w:p>
            <w:pPr>
              <w:pStyle w:val="TableParagraph"/>
              <w:spacing w:line="271" w:lineRule="exact"/>
              <w:ind w:left="107"/>
              <w:rPr>
                <w:sz w:val="24"/>
              </w:rPr>
            </w:pPr>
            <w:r>
              <w:rPr>
                <w:sz w:val="24"/>
              </w:rPr>
              <w:t>[E2]:</w:t>
            </w:r>
            <w:r>
              <w:rPr>
                <w:spacing w:val="-1"/>
                <w:sz w:val="24"/>
              </w:rPr>
              <w:t> </w:t>
            </w:r>
            <w:r>
              <w:rPr>
                <w:sz w:val="24"/>
              </w:rPr>
              <w:t>Presence</w:t>
            </w:r>
            <w:r>
              <w:rPr>
                <w:spacing w:val="-2"/>
                <w:sz w:val="24"/>
              </w:rPr>
              <w:t> </w:t>
            </w:r>
            <w:r>
              <w:rPr>
                <w:sz w:val="24"/>
              </w:rPr>
              <w:t>of</w:t>
            </w:r>
            <w:r>
              <w:rPr>
                <w:spacing w:val="-1"/>
                <w:sz w:val="24"/>
              </w:rPr>
              <w:t> </w:t>
            </w:r>
            <w:r>
              <w:rPr>
                <w:sz w:val="24"/>
              </w:rPr>
              <w:t>sanitation</w:t>
            </w:r>
            <w:r>
              <w:rPr>
                <w:spacing w:val="-1"/>
                <w:sz w:val="24"/>
              </w:rPr>
              <w:t> </w:t>
            </w:r>
            <w:r>
              <w:rPr>
                <w:spacing w:val="-2"/>
                <w:sz w:val="24"/>
              </w:rPr>
              <w:t>facilities</w:t>
            </w:r>
          </w:p>
        </w:tc>
      </w:tr>
    </w:tbl>
    <w:p>
      <w:pPr>
        <w:spacing w:after="0" w:line="271" w:lineRule="exact"/>
        <w:rPr>
          <w:sz w:val="24"/>
        </w:rPr>
        <w:sectPr>
          <w:pgSz w:w="12240" w:h="15840"/>
          <w:pgMar w:header="0" w:footer="1068" w:top="1340" w:bottom="1260" w:left="1720" w:right="680"/>
        </w:sectPr>
      </w:pPr>
    </w:p>
    <w:p>
      <w:pPr>
        <w:pStyle w:val="BodyText"/>
        <w:spacing w:line="480" w:lineRule="auto" w:before="63"/>
        <w:ind w:left="267" w:right="728"/>
        <w:jc w:val="both"/>
      </w:pPr>
      <w:r>
        <w:rPr/>
        <w:t>By utilizing Principal Component Analysis (PCA), the 21 indicators were assessed for whether or not they were appropriate measure of the five components of the water poverty index. The PCA examined the statistical dimension of the dataset by reducing the large set of this correlated dataset comprising 21 indicators to a smaller set of uncorrelated data set. Since</w:t>
      </w:r>
      <w:r>
        <w:rPr>
          <w:spacing w:val="-15"/>
        </w:rPr>
        <w:t> </w:t>
      </w:r>
      <w:r>
        <w:rPr/>
        <w:t>it</w:t>
      </w:r>
      <w:r>
        <w:rPr>
          <w:spacing w:val="-15"/>
        </w:rPr>
        <w:t> </w:t>
      </w:r>
      <w:r>
        <w:rPr/>
        <w:t>has</w:t>
      </w:r>
      <w:r>
        <w:rPr>
          <w:spacing w:val="-14"/>
        </w:rPr>
        <w:t> </w:t>
      </w:r>
      <w:r>
        <w:rPr/>
        <w:t>been</w:t>
      </w:r>
      <w:r>
        <w:rPr>
          <w:spacing w:val="-14"/>
        </w:rPr>
        <w:t> </w:t>
      </w:r>
      <w:r>
        <w:rPr/>
        <w:t>noted</w:t>
      </w:r>
      <w:r>
        <w:rPr>
          <w:spacing w:val="-15"/>
        </w:rPr>
        <w:t> </w:t>
      </w:r>
      <w:r>
        <w:rPr/>
        <w:t>by</w:t>
      </w:r>
      <w:r>
        <w:rPr>
          <w:spacing w:val="-14"/>
        </w:rPr>
        <w:t> </w:t>
      </w:r>
      <w:r>
        <w:rPr/>
        <w:t>Lawrence</w:t>
      </w:r>
      <w:r>
        <w:rPr>
          <w:spacing w:val="-12"/>
        </w:rPr>
        <w:t> </w:t>
      </w:r>
      <w:r>
        <w:rPr>
          <w:i/>
        </w:rPr>
        <w:t>et</w:t>
      </w:r>
      <w:r>
        <w:rPr>
          <w:i/>
          <w:spacing w:val="-14"/>
        </w:rPr>
        <w:t> </w:t>
      </w:r>
      <w:r>
        <w:rPr>
          <w:i/>
        </w:rPr>
        <w:t>al.</w:t>
      </w:r>
      <w:r>
        <w:rPr>
          <w:i/>
          <w:spacing w:val="-14"/>
        </w:rPr>
        <w:t> </w:t>
      </w:r>
      <w:r>
        <w:rPr/>
        <w:t>(2002)</w:t>
      </w:r>
      <w:r>
        <w:rPr>
          <w:spacing w:val="-15"/>
        </w:rPr>
        <w:t> </w:t>
      </w:r>
      <w:r>
        <w:rPr/>
        <w:t>that</w:t>
      </w:r>
      <w:r>
        <w:rPr>
          <w:spacing w:val="-14"/>
        </w:rPr>
        <w:t> </w:t>
      </w:r>
      <w:r>
        <w:rPr/>
        <w:t>information</w:t>
      </w:r>
      <w:r>
        <w:rPr>
          <w:spacing w:val="-14"/>
        </w:rPr>
        <w:t> </w:t>
      </w:r>
      <w:r>
        <w:rPr/>
        <w:t>is</w:t>
      </w:r>
      <w:r>
        <w:rPr>
          <w:spacing w:val="-14"/>
        </w:rPr>
        <w:t> </w:t>
      </w:r>
      <w:r>
        <w:rPr/>
        <w:t>in</w:t>
      </w:r>
      <w:r>
        <w:rPr>
          <w:spacing w:val="-14"/>
        </w:rPr>
        <w:t> </w:t>
      </w:r>
      <w:r>
        <w:rPr/>
        <w:t>the</w:t>
      </w:r>
      <w:r>
        <w:rPr>
          <w:spacing w:val="-15"/>
        </w:rPr>
        <w:t> </w:t>
      </w:r>
      <w:r>
        <w:rPr/>
        <w:t>components</w:t>
      </w:r>
      <w:r>
        <w:rPr>
          <w:spacing w:val="-14"/>
        </w:rPr>
        <w:t> </w:t>
      </w:r>
      <w:r>
        <w:rPr/>
        <w:t>rather that the final single value of the water poverty</w:t>
      </w:r>
      <w:r>
        <w:rPr>
          <w:spacing w:val="-2"/>
        </w:rPr>
        <w:t> </w:t>
      </w:r>
      <w:r>
        <w:rPr/>
        <w:t>index, the same process (PCA) was repeated at each of the 5 sub-component level. This is to remove redundancy and check for multiple correlations among the indicators at the subcomponent level (Bair </w:t>
      </w:r>
      <w:r>
        <w:rPr>
          <w:i/>
        </w:rPr>
        <w:t>et al.</w:t>
      </w:r>
      <w:r>
        <w:rPr/>
        <w:t>, 2006; Hajkowicz, </w:t>
      </w:r>
      <w:r>
        <w:rPr>
          <w:spacing w:val="-2"/>
        </w:rPr>
        <w:t>2006).</w:t>
      </w:r>
    </w:p>
    <w:p>
      <w:pPr>
        <w:pStyle w:val="BodyText"/>
        <w:spacing w:before="1"/>
      </w:pPr>
    </w:p>
    <w:p>
      <w:pPr>
        <w:pStyle w:val="BodyText"/>
        <w:spacing w:line="480" w:lineRule="auto"/>
        <w:ind w:left="267" w:right="726"/>
        <w:jc w:val="both"/>
      </w:pPr>
      <w:r>
        <w:rPr/>
        <w:t>The indicators which were finally retained were statistically weighted using the PCA. The choice</w:t>
      </w:r>
      <w:r>
        <w:rPr>
          <w:spacing w:val="-12"/>
        </w:rPr>
        <w:t> </w:t>
      </w:r>
      <w:r>
        <w:rPr/>
        <w:t>of</w:t>
      </w:r>
      <w:r>
        <w:rPr>
          <w:spacing w:val="-11"/>
        </w:rPr>
        <w:t> </w:t>
      </w:r>
      <w:r>
        <w:rPr/>
        <w:t>this</w:t>
      </w:r>
      <w:r>
        <w:rPr>
          <w:spacing w:val="-10"/>
        </w:rPr>
        <w:t> </w:t>
      </w:r>
      <w:r>
        <w:rPr/>
        <w:t>methodology</w:t>
      </w:r>
      <w:r>
        <w:rPr>
          <w:spacing w:val="-15"/>
        </w:rPr>
        <w:t> </w:t>
      </w:r>
      <w:r>
        <w:rPr/>
        <w:t>is</w:t>
      </w:r>
      <w:r>
        <w:rPr>
          <w:spacing w:val="-10"/>
        </w:rPr>
        <w:t> </w:t>
      </w:r>
      <w:r>
        <w:rPr/>
        <w:t>to</w:t>
      </w:r>
      <w:r>
        <w:rPr>
          <w:spacing w:val="-10"/>
        </w:rPr>
        <w:t> </w:t>
      </w:r>
      <w:r>
        <w:rPr/>
        <w:t>avoid</w:t>
      </w:r>
      <w:r>
        <w:rPr>
          <w:spacing w:val="-10"/>
        </w:rPr>
        <w:t> </w:t>
      </w:r>
      <w:r>
        <w:rPr/>
        <w:t>the</w:t>
      </w:r>
      <w:r>
        <w:rPr>
          <w:spacing w:val="-11"/>
        </w:rPr>
        <w:t> </w:t>
      </w:r>
      <w:r>
        <w:rPr/>
        <w:t>arbitrary</w:t>
      </w:r>
      <w:r>
        <w:rPr>
          <w:spacing w:val="-15"/>
        </w:rPr>
        <w:t> </w:t>
      </w:r>
      <w:r>
        <w:rPr/>
        <w:t>imposition</w:t>
      </w:r>
      <w:r>
        <w:rPr>
          <w:spacing w:val="-11"/>
        </w:rPr>
        <w:t> </w:t>
      </w:r>
      <w:r>
        <w:rPr/>
        <w:t>of</w:t>
      </w:r>
      <w:r>
        <w:rPr>
          <w:spacing w:val="-11"/>
        </w:rPr>
        <w:t> </w:t>
      </w:r>
      <w:r>
        <w:rPr/>
        <w:t>weights</w:t>
      </w:r>
      <w:r>
        <w:rPr>
          <w:spacing w:val="-10"/>
        </w:rPr>
        <w:t> </w:t>
      </w:r>
      <w:r>
        <w:rPr/>
        <w:t>associated</w:t>
      </w:r>
      <w:r>
        <w:rPr>
          <w:spacing w:val="-11"/>
        </w:rPr>
        <w:t> </w:t>
      </w:r>
      <w:r>
        <w:rPr/>
        <w:t>with</w:t>
      </w:r>
      <w:r>
        <w:rPr>
          <w:spacing w:val="-10"/>
        </w:rPr>
        <w:t> </w:t>
      </w:r>
      <w:r>
        <w:rPr/>
        <w:t>the equal</w:t>
      </w:r>
      <w:r>
        <w:rPr>
          <w:spacing w:val="-13"/>
        </w:rPr>
        <w:t> </w:t>
      </w:r>
      <w:r>
        <w:rPr/>
        <w:t>weighting</w:t>
      </w:r>
      <w:r>
        <w:rPr>
          <w:spacing w:val="-15"/>
        </w:rPr>
        <w:t> </w:t>
      </w:r>
      <w:r>
        <w:rPr/>
        <w:t>(average/arithmetic</w:t>
      </w:r>
      <w:r>
        <w:rPr>
          <w:spacing w:val="-14"/>
        </w:rPr>
        <w:t> </w:t>
      </w:r>
      <w:r>
        <w:rPr/>
        <w:t>mean)</w:t>
      </w:r>
      <w:r>
        <w:rPr>
          <w:spacing w:val="-14"/>
        </w:rPr>
        <w:t> </w:t>
      </w:r>
      <w:r>
        <w:rPr/>
        <w:t>technique.</w:t>
      </w:r>
      <w:r>
        <w:rPr>
          <w:spacing w:val="-13"/>
        </w:rPr>
        <w:t> </w:t>
      </w:r>
      <w:r>
        <w:rPr/>
        <w:t>Rather</w:t>
      </w:r>
      <w:r>
        <w:rPr>
          <w:spacing w:val="-14"/>
        </w:rPr>
        <w:t> </w:t>
      </w:r>
      <w:r>
        <w:rPr/>
        <w:t>than</w:t>
      </w:r>
      <w:r>
        <w:rPr>
          <w:spacing w:val="-14"/>
        </w:rPr>
        <w:t> </w:t>
      </w:r>
      <w:r>
        <w:rPr/>
        <w:t>the</w:t>
      </w:r>
      <w:r>
        <w:rPr>
          <w:spacing w:val="-14"/>
        </w:rPr>
        <w:t> </w:t>
      </w:r>
      <w:r>
        <w:rPr/>
        <w:t>use</w:t>
      </w:r>
      <w:r>
        <w:rPr>
          <w:spacing w:val="-14"/>
        </w:rPr>
        <w:t> </w:t>
      </w:r>
      <w:r>
        <w:rPr/>
        <w:t>of</w:t>
      </w:r>
      <w:r>
        <w:rPr>
          <w:spacing w:val="-11"/>
        </w:rPr>
        <w:t> </w:t>
      </w:r>
      <w:r>
        <w:rPr/>
        <w:t>equal/averaging weights</w:t>
      </w:r>
      <w:r>
        <w:rPr>
          <w:spacing w:val="-6"/>
        </w:rPr>
        <w:t> </w:t>
      </w:r>
      <w:r>
        <w:rPr/>
        <w:t>which</w:t>
      </w:r>
      <w:r>
        <w:rPr>
          <w:spacing w:val="-7"/>
        </w:rPr>
        <w:t> </w:t>
      </w:r>
      <w:r>
        <w:rPr/>
        <w:t>is</w:t>
      </w:r>
      <w:r>
        <w:rPr>
          <w:spacing w:val="-6"/>
        </w:rPr>
        <w:t> </w:t>
      </w:r>
      <w:r>
        <w:rPr/>
        <w:t>judgmental</w:t>
      </w:r>
      <w:r>
        <w:rPr>
          <w:spacing w:val="-7"/>
        </w:rPr>
        <w:t> </w:t>
      </w:r>
      <w:r>
        <w:rPr/>
        <w:t>based</w:t>
      </w:r>
      <w:r>
        <w:rPr>
          <w:spacing w:val="-7"/>
        </w:rPr>
        <w:t> </w:t>
      </w:r>
      <w:r>
        <w:rPr/>
        <w:t>opinion,</w:t>
      </w:r>
      <w:r>
        <w:rPr>
          <w:spacing w:val="-7"/>
        </w:rPr>
        <w:t> </w:t>
      </w:r>
      <w:r>
        <w:rPr/>
        <w:t>studies</w:t>
      </w:r>
      <w:r>
        <w:rPr>
          <w:spacing w:val="-7"/>
        </w:rPr>
        <w:t> </w:t>
      </w:r>
      <w:r>
        <w:rPr/>
        <w:t>have</w:t>
      </w:r>
      <w:r>
        <w:rPr>
          <w:spacing w:val="-8"/>
        </w:rPr>
        <w:t> </w:t>
      </w:r>
      <w:r>
        <w:rPr/>
        <w:t>recommended</w:t>
      </w:r>
      <w:r>
        <w:rPr>
          <w:spacing w:val="-7"/>
        </w:rPr>
        <w:t> </w:t>
      </w:r>
      <w:r>
        <w:rPr/>
        <w:t>the</w:t>
      </w:r>
      <w:r>
        <w:rPr>
          <w:spacing w:val="-4"/>
        </w:rPr>
        <w:t> </w:t>
      </w:r>
      <w:r>
        <w:rPr/>
        <w:t>determination</w:t>
      </w:r>
      <w:r>
        <w:rPr>
          <w:spacing w:val="-7"/>
        </w:rPr>
        <w:t> </w:t>
      </w:r>
      <w:r>
        <w:rPr/>
        <w:t>of objective weights of the water poverty index on an analytical base such as the principal component analysis (Cho and Ogwangi, 2006; Garriga and Foguet, 2010; Jemmali and Matoussi, 2013; Sullivan and Jemmali, 2014).</w:t>
      </w:r>
    </w:p>
    <w:p>
      <w:pPr>
        <w:pStyle w:val="BodyText"/>
        <w:spacing w:before="1"/>
      </w:pPr>
    </w:p>
    <w:p>
      <w:pPr>
        <w:pStyle w:val="BodyText"/>
        <w:spacing w:line="480" w:lineRule="auto"/>
        <w:ind w:left="267" w:right="726"/>
        <w:jc w:val="both"/>
      </w:pPr>
      <w:r>
        <w:rPr/>
        <w:t>To determine the weights, the principal component(s) retained from the PCA was weighted with the proportion of the variance. The proportion of variance was derived by dividing the square root of the eigen value of each principal component by</w:t>
      </w:r>
      <w:r>
        <w:rPr>
          <w:spacing w:val="-3"/>
        </w:rPr>
        <w:t> </w:t>
      </w:r>
      <w:r>
        <w:rPr/>
        <w:t>the sum of the square root of all the eigen values retained in the PCA. Different empirical studies (Rovira and Rovira, 2008;</w:t>
      </w:r>
      <w:r>
        <w:rPr>
          <w:spacing w:val="-10"/>
        </w:rPr>
        <w:t> </w:t>
      </w:r>
      <w:r>
        <w:rPr/>
        <w:t>Jemmali</w:t>
      </w:r>
      <w:r>
        <w:rPr>
          <w:spacing w:val="-12"/>
        </w:rPr>
        <w:t> </w:t>
      </w:r>
      <w:r>
        <w:rPr/>
        <w:t>and</w:t>
      </w:r>
      <w:r>
        <w:rPr>
          <w:spacing w:val="-11"/>
        </w:rPr>
        <w:t> </w:t>
      </w:r>
      <w:r>
        <w:rPr/>
        <w:t>Matoussi,</w:t>
      </w:r>
      <w:r>
        <w:rPr>
          <w:spacing w:val="-10"/>
        </w:rPr>
        <w:t> </w:t>
      </w:r>
      <w:r>
        <w:rPr/>
        <w:t>2013;</w:t>
      </w:r>
      <w:r>
        <w:rPr>
          <w:spacing w:val="-10"/>
        </w:rPr>
        <w:t> </w:t>
      </w:r>
      <w:r>
        <w:rPr/>
        <w:t>Sullivan</w:t>
      </w:r>
      <w:r>
        <w:rPr>
          <w:spacing w:val="-11"/>
        </w:rPr>
        <w:t> </w:t>
      </w:r>
      <w:r>
        <w:rPr/>
        <w:t>and</w:t>
      </w:r>
      <w:r>
        <w:rPr>
          <w:spacing w:val="-11"/>
        </w:rPr>
        <w:t> </w:t>
      </w:r>
      <w:r>
        <w:rPr/>
        <w:t>Jemmali,</w:t>
      </w:r>
      <w:r>
        <w:rPr>
          <w:spacing w:val="-11"/>
        </w:rPr>
        <w:t> </w:t>
      </w:r>
      <w:r>
        <w:rPr/>
        <w:t>2014)</w:t>
      </w:r>
      <w:r>
        <w:rPr>
          <w:spacing w:val="-11"/>
        </w:rPr>
        <w:t> </w:t>
      </w:r>
      <w:r>
        <w:rPr/>
        <w:t>have</w:t>
      </w:r>
      <w:r>
        <w:rPr>
          <w:spacing w:val="-12"/>
        </w:rPr>
        <w:t> </w:t>
      </w:r>
      <w:r>
        <w:rPr/>
        <w:t>shown</w:t>
      </w:r>
      <w:r>
        <w:rPr>
          <w:spacing w:val="-11"/>
        </w:rPr>
        <w:t> </w:t>
      </w:r>
      <w:r>
        <w:rPr/>
        <w:t>that</w:t>
      </w:r>
      <w:r>
        <w:rPr>
          <w:spacing w:val="-11"/>
        </w:rPr>
        <w:t> </w:t>
      </w:r>
      <w:r>
        <w:rPr/>
        <w:t>the</w:t>
      </w:r>
      <w:r>
        <w:rPr>
          <w:spacing w:val="-11"/>
        </w:rPr>
        <w:t> </w:t>
      </w:r>
      <w:r>
        <w:rPr/>
        <w:t>weight </w:t>
      </w:r>
      <w:r>
        <w:rPr>
          <w:position w:val="2"/>
        </w:rPr>
        <w:t>W</w:t>
      </w:r>
      <w:r>
        <w:rPr>
          <w:sz w:val="16"/>
        </w:rPr>
        <w:t>i</w:t>
      </w:r>
      <w:r>
        <w:rPr>
          <w:spacing w:val="18"/>
          <w:sz w:val="16"/>
        </w:rPr>
        <w:t> </w:t>
      </w:r>
      <w:r>
        <w:rPr>
          <w:position w:val="2"/>
        </w:rPr>
        <w:t>for</w:t>
      </w:r>
      <w:r>
        <w:rPr>
          <w:spacing w:val="-2"/>
          <w:position w:val="2"/>
        </w:rPr>
        <w:t> </w:t>
      </w:r>
      <w:r>
        <w:rPr>
          <w:position w:val="2"/>
        </w:rPr>
        <w:t>any</w:t>
      </w:r>
      <w:r>
        <w:rPr>
          <w:spacing w:val="-8"/>
          <w:position w:val="2"/>
        </w:rPr>
        <w:t> </w:t>
      </w:r>
      <w:r>
        <w:rPr>
          <w:position w:val="2"/>
        </w:rPr>
        <w:t>index/component i of the</w:t>
      </w:r>
      <w:r>
        <w:rPr>
          <w:spacing w:val="-2"/>
          <w:position w:val="2"/>
        </w:rPr>
        <w:t> </w:t>
      </w:r>
      <w:r>
        <w:rPr>
          <w:position w:val="2"/>
        </w:rPr>
        <w:t>water</w:t>
      </w:r>
      <w:r>
        <w:rPr>
          <w:spacing w:val="-2"/>
          <w:position w:val="2"/>
        </w:rPr>
        <w:t> </w:t>
      </w:r>
      <w:r>
        <w:rPr>
          <w:position w:val="2"/>
        </w:rPr>
        <w:t>poverty</w:t>
      </w:r>
      <w:r>
        <w:rPr>
          <w:spacing w:val="-3"/>
          <w:position w:val="2"/>
        </w:rPr>
        <w:t> </w:t>
      </w:r>
      <w:r>
        <w:rPr>
          <w:position w:val="2"/>
        </w:rPr>
        <w:t>index</w:t>
      </w:r>
      <w:r>
        <w:rPr>
          <w:spacing w:val="1"/>
          <w:position w:val="2"/>
        </w:rPr>
        <w:t> </w:t>
      </w:r>
      <w:r>
        <w:rPr>
          <w:position w:val="2"/>
        </w:rPr>
        <w:t>can be</w:t>
      </w:r>
      <w:r>
        <w:rPr>
          <w:spacing w:val="-1"/>
          <w:position w:val="2"/>
        </w:rPr>
        <w:t> </w:t>
      </w:r>
      <w:r>
        <w:rPr>
          <w:position w:val="2"/>
        </w:rPr>
        <w:t>derived using</w:t>
      </w:r>
      <w:r>
        <w:rPr>
          <w:spacing w:val="-3"/>
          <w:position w:val="2"/>
        </w:rPr>
        <w:t> </w:t>
      </w:r>
      <w:r>
        <w:rPr>
          <w:position w:val="2"/>
        </w:rPr>
        <w:t>the </w:t>
      </w:r>
      <w:r>
        <w:rPr>
          <w:spacing w:val="-2"/>
          <w:position w:val="2"/>
        </w:rPr>
        <w:t>following</w:t>
      </w:r>
    </w:p>
    <w:p>
      <w:pPr>
        <w:pStyle w:val="BodyText"/>
        <w:spacing w:line="272" w:lineRule="exact"/>
        <w:ind w:left="267"/>
      </w:pPr>
      <w:r>
        <w:rPr>
          <w:spacing w:val="-2"/>
        </w:rPr>
        <w:t>formula:</w:t>
      </w:r>
    </w:p>
    <w:p>
      <w:pPr>
        <w:spacing w:after="0" w:line="272" w:lineRule="exact"/>
        <w:sectPr>
          <w:pgSz w:w="12240" w:h="15840"/>
          <w:pgMar w:header="0" w:footer="1068" w:top="1340" w:bottom="1260" w:left="1720" w:right="680"/>
        </w:sectPr>
      </w:pPr>
    </w:p>
    <w:p>
      <w:pPr>
        <w:spacing w:before="230"/>
        <w:ind w:left="267" w:right="0" w:firstLine="0"/>
        <w:jc w:val="left"/>
        <w:rPr>
          <w:rFonts w:ascii="Cambria Math" w:eastAsia="Cambria Math"/>
          <w:sz w:val="24"/>
        </w:rPr>
      </w:pPr>
      <w:r>
        <w:rPr>
          <w:rFonts w:ascii="Cambria Math" w:eastAsia="Cambria Math"/>
          <w:w w:val="105"/>
          <w:sz w:val="24"/>
        </w:rPr>
        <w:t>𝑊</w:t>
      </w:r>
      <w:r>
        <w:rPr>
          <w:rFonts w:ascii="Cambria Math" w:eastAsia="Cambria Math"/>
          <w:w w:val="105"/>
          <w:sz w:val="24"/>
          <w:vertAlign w:val="subscript"/>
        </w:rPr>
        <w:t>𝑖</w:t>
      </w:r>
      <w:r>
        <w:rPr>
          <w:rFonts w:ascii="Cambria Math" w:eastAsia="Cambria Math"/>
          <w:w w:val="105"/>
          <w:sz w:val="24"/>
          <w:vertAlign w:val="baseline"/>
        </w:rPr>
        <w:t> =</w:t>
      </w:r>
      <w:r>
        <w:rPr>
          <w:rFonts w:ascii="Cambria Math" w:eastAsia="Cambria Math"/>
          <w:w w:val="105"/>
          <w:sz w:val="24"/>
          <w:vertAlign w:val="baseline"/>
        </w:rPr>
        <w:t> </w:t>
      </w:r>
      <w:r>
        <w:rPr>
          <w:rFonts w:ascii="Cambria Math" w:eastAsia="Cambria Math"/>
          <w:spacing w:val="-4"/>
          <w:w w:val="105"/>
          <w:sz w:val="24"/>
          <w:vertAlign w:val="baseline"/>
        </w:rPr>
        <w:t>𝑃𝐶𝐾</w:t>
      </w:r>
      <w:r>
        <w:rPr>
          <w:rFonts w:ascii="Cambria Math" w:eastAsia="Cambria Math"/>
          <w:spacing w:val="-4"/>
          <w:w w:val="105"/>
          <w:sz w:val="24"/>
          <w:vertAlign w:val="subscript"/>
        </w:rPr>
        <w:t>𝑖</w:t>
      </w:r>
    </w:p>
    <w:p>
      <w:pPr>
        <w:spacing w:line="240" w:lineRule="auto" w:before="2"/>
        <w:rPr>
          <w:rFonts w:ascii="Cambria Math"/>
          <w:sz w:val="5"/>
        </w:rPr>
      </w:pPr>
      <w:r>
        <w:rPr/>
        <w:br w:type="column"/>
      </w:r>
      <w:r>
        <w:rPr>
          <w:rFonts w:ascii="Cambria Math"/>
          <w:sz w:val="5"/>
        </w:rPr>
      </w:r>
    </w:p>
    <w:p>
      <w:pPr>
        <w:pStyle w:val="BodyText"/>
        <w:spacing w:line="20" w:lineRule="exact"/>
        <w:ind w:left="507"/>
        <w:rPr>
          <w:rFonts w:ascii="Cambria Math"/>
          <w:sz w:val="2"/>
        </w:rPr>
      </w:pPr>
      <w:r>
        <w:rPr>
          <w:rFonts w:ascii="Cambria Math"/>
          <w:sz w:val="2"/>
        </w:rPr>
        <mc:AlternateContent>
          <mc:Choice Requires="wps">
            <w:drawing>
              <wp:inline distT="0" distB="0" distL="0" distR="0">
                <wp:extent cx="191135" cy="10795"/>
                <wp:effectExtent l="0" t="0" r="0" b="0"/>
                <wp:docPr id="96" name="Group 96"/>
                <wp:cNvGraphicFramePr>
                  <a:graphicFrameLocks/>
                </wp:cNvGraphicFramePr>
                <a:graphic>
                  <a:graphicData uri="http://schemas.microsoft.com/office/word/2010/wordprocessingGroup">
                    <wpg:wgp>
                      <wpg:cNvPr id="96" name="Group 96"/>
                      <wpg:cNvGrpSpPr/>
                      <wpg:grpSpPr>
                        <a:xfrm>
                          <a:off x="0" y="0"/>
                          <a:ext cx="191135" cy="10795"/>
                          <a:chExt cx="191135" cy="10795"/>
                        </a:xfrm>
                      </wpg:grpSpPr>
                      <wps:wsp>
                        <wps:cNvPr id="97" name="Graphic 97"/>
                        <wps:cNvSpPr/>
                        <wps:spPr>
                          <a:xfrm>
                            <a:off x="0" y="0"/>
                            <a:ext cx="191135" cy="10795"/>
                          </a:xfrm>
                          <a:custGeom>
                            <a:avLst/>
                            <a:gdLst/>
                            <a:ahLst/>
                            <a:cxnLst/>
                            <a:rect l="l" t="t" r="r" b="b"/>
                            <a:pathLst>
                              <a:path w="191135" h="10795">
                                <a:moveTo>
                                  <a:pt x="190804" y="0"/>
                                </a:moveTo>
                                <a:lnTo>
                                  <a:pt x="0" y="0"/>
                                </a:lnTo>
                                <a:lnTo>
                                  <a:pt x="0" y="10668"/>
                                </a:lnTo>
                                <a:lnTo>
                                  <a:pt x="190804" y="10668"/>
                                </a:lnTo>
                                <a:lnTo>
                                  <a:pt x="1908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05pt;height:.85pt;mso-position-horizontal-relative:char;mso-position-vertical-relative:line" id="docshapegroup87" coordorigin="0,0" coordsize="301,17">
                <v:rect style="position:absolute;left:0;top:0;width:301;height:17" id="docshape88" filled="true" fillcolor="#000000" stroked="false">
                  <v:fill type="solid"/>
                </v:rect>
              </v:group>
            </w:pict>
          </mc:Fallback>
        </mc:AlternateContent>
      </w:r>
      <w:r>
        <w:rPr>
          <w:rFonts w:ascii="Cambria Math"/>
          <w:sz w:val="2"/>
        </w:rPr>
      </w:r>
    </w:p>
    <w:p>
      <w:pPr>
        <w:spacing w:before="0"/>
        <w:ind w:left="0" w:right="7243" w:firstLine="0"/>
        <w:jc w:val="center"/>
        <w:rPr>
          <w:rFonts w:ascii="Cambria Math" w:hAnsi="Cambria Math" w:eastAsia="Cambria Math"/>
          <w:sz w:val="24"/>
        </w:rPr>
      </w:pPr>
      <w:r>
        <w:rPr>
          <w:rFonts w:ascii="Cambria Math" w:hAnsi="Cambria Math" w:eastAsia="Cambria Math"/>
          <w:spacing w:val="-5"/>
          <w:sz w:val="24"/>
        </w:rPr>
        <w:t>√</w:t>
      </w:r>
      <w:r>
        <w:rPr>
          <w:rFonts w:ascii="Cambria Math" w:hAnsi="Cambria Math" w:eastAsia="Cambria Math"/>
          <w:spacing w:val="-5"/>
          <w:position w:val="1"/>
          <w:sz w:val="24"/>
        </w:rPr>
        <w:t>𝜆𝐾</w:t>
      </w:r>
    </w:p>
    <w:p>
      <w:pPr>
        <w:pStyle w:val="BodyText"/>
        <w:spacing w:line="81" w:lineRule="exact"/>
        <w:ind w:left="121"/>
        <w:rPr>
          <w:rFonts w:ascii="Cambria Math"/>
          <w:sz w:val="8"/>
        </w:rPr>
      </w:pPr>
      <w:r>
        <w:rPr>
          <w:rFonts w:ascii="Cambria Math"/>
          <w:position w:val="-1"/>
          <w:sz w:val="8"/>
        </w:rPr>
        <mc:AlternateContent>
          <mc:Choice Requires="wps">
            <w:drawing>
              <wp:inline distT="0" distB="0" distL="0" distR="0">
                <wp:extent cx="579755" cy="52069"/>
                <wp:effectExtent l="0" t="0" r="0" b="0"/>
                <wp:docPr id="98" name="Group 98"/>
                <wp:cNvGraphicFramePr>
                  <a:graphicFrameLocks/>
                </wp:cNvGraphicFramePr>
                <a:graphic>
                  <a:graphicData uri="http://schemas.microsoft.com/office/word/2010/wordprocessingGroup">
                    <wpg:wgp>
                      <wpg:cNvPr id="98" name="Group 98"/>
                      <wpg:cNvGrpSpPr/>
                      <wpg:grpSpPr>
                        <a:xfrm>
                          <a:off x="0" y="0"/>
                          <a:ext cx="579755" cy="52069"/>
                          <a:chExt cx="579755" cy="52069"/>
                        </a:xfrm>
                      </wpg:grpSpPr>
                      <wps:wsp>
                        <wps:cNvPr id="99" name="Graphic 99"/>
                        <wps:cNvSpPr/>
                        <wps:spPr>
                          <a:xfrm>
                            <a:off x="0" y="0"/>
                            <a:ext cx="579755" cy="52069"/>
                          </a:xfrm>
                          <a:custGeom>
                            <a:avLst/>
                            <a:gdLst/>
                            <a:ahLst/>
                            <a:cxnLst/>
                            <a:rect l="l" t="t" r="r" b="b"/>
                            <a:pathLst>
                              <a:path w="579755" h="52069">
                                <a:moveTo>
                                  <a:pt x="547420" y="41148"/>
                                </a:moveTo>
                                <a:lnTo>
                                  <a:pt x="356616" y="41148"/>
                                </a:lnTo>
                                <a:lnTo>
                                  <a:pt x="356616" y="51816"/>
                                </a:lnTo>
                                <a:lnTo>
                                  <a:pt x="547420" y="51816"/>
                                </a:lnTo>
                                <a:lnTo>
                                  <a:pt x="547420" y="41148"/>
                                </a:lnTo>
                                <a:close/>
                              </a:path>
                              <a:path w="579755" h="52069">
                                <a:moveTo>
                                  <a:pt x="579424" y="0"/>
                                </a:moveTo>
                                <a:lnTo>
                                  <a:pt x="0" y="0"/>
                                </a:lnTo>
                                <a:lnTo>
                                  <a:pt x="0" y="10668"/>
                                </a:lnTo>
                                <a:lnTo>
                                  <a:pt x="579424" y="10668"/>
                                </a:lnTo>
                                <a:lnTo>
                                  <a:pt x="5794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65pt;height:4.1pt;mso-position-horizontal-relative:char;mso-position-vertical-relative:line" id="docshapegroup89" coordorigin="0,0" coordsize="913,82">
                <v:shape style="position:absolute;left:0;top:0;width:913;height:82" id="docshape90" coordorigin="0,0" coordsize="913,82" path="m862,65l562,65,562,82,862,82,862,65xm912,0l0,0,0,17,912,17,912,0xe" filled="true" fillcolor="#000000" stroked="false">
                  <v:path arrowok="t"/>
                  <v:fill type="solid"/>
                </v:shape>
              </v:group>
            </w:pict>
          </mc:Fallback>
        </mc:AlternateContent>
      </w:r>
      <w:r>
        <w:rPr>
          <w:rFonts w:ascii="Cambria Math"/>
          <w:position w:val="-1"/>
          <w:sz w:val="8"/>
        </w:rPr>
      </w:r>
    </w:p>
    <w:p>
      <w:pPr>
        <w:spacing w:before="0"/>
        <w:ind w:left="0" w:right="7243" w:firstLine="0"/>
        <w:jc w:val="center"/>
        <w:rPr>
          <w:rFonts w:ascii="Cambria Math" w:hAnsi="Cambria Math" w:eastAsia="Cambria Math"/>
          <w:sz w:val="24"/>
        </w:rPr>
      </w:pPr>
      <w:r>
        <w:rPr>
          <w:rFonts w:ascii="Cambria Math" w:hAnsi="Cambria Math" w:eastAsia="Cambria Math"/>
          <w:position w:val="2"/>
          <w:sz w:val="24"/>
        </w:rPr>
        <w:t>∑</w:t>
      </w:r>
      <w:r>
        <w:rPr>
          <w:rFonts w:ascii="Cambria Math" w:hAnsi="Cambria Math" w:eastAsia="Cambria Math"/>
          <w:spacing w:val="-12"/>
          <w:position w:val="2"/>
          <w:sz w:val="24"/>
        </w:rPr>
        <w:t> </w:t>
      </w:r>
      <w:r>
        <w:rPr>
          <w:rFonts w:ascii="Cambria Math" w:hAnsi="Cambria Math" w:eastAsia="Cambria Math"/>
          <w:spacing w:val="-4"/>
          <w:position w:val="1"/>
          <w:sz w:val="24"/>
        </w:rPr>
        <w:t>𝑘</w:t>
      </w:r>
      <w:r>
        <w:rPr>
          <w:rFonts w:ascii="Cambria Math" w:hAnsi="Cambria Math" w:eastAsia="Cambria Math"/>
          <w:spacing w:val="-4"/>
          <w:sz w:val="24"/>
        </w:rPr>
        <w:t>√</w:t>
      </w:r>
      <w:r>
        <w:rPr>
          <w:rFonts w:ascii="Cambria Math" w:hAnsi="Cambria Math" w:eastAsia="Cambria Math"/>
          <w:spacing w:val="-4"/>
          <w:position w:val="1"/>
          <w:sz w:val="24"/>
        </w:rPr>
        <w:t>𝜆𝐾</w:t>
      </w:r>
    </w:p>
    <w:p>
      <w:pPr>
        <w:spacing w:after="0"/>
        <w:jc w:val="center"/>
        <w:rPr>
          <w:rFonts w:ascii="Cambria Math" w:hAnsi="Cambria Math" w:eastAsia="Cambria Math"/>
          <w:sz w:val="24"/>
        </w:rPr>
        <w:sectPr>
          <w:pgSz w:w="12240" w:h="15840"/>
          <w:pgMar w:header="0" w:footer="1068" w:top="1400" w:bottom="1260" w:left="1720" w:right="680"/>
          <w:cols w:num="2" w:equalWidth="0">
            <w:col w:w="1405" w:space="40"/>
            <w:col w:w="8395"/>
          </w:cols>
        </w:sectPr>
      </w:pPr>
    </w:p>
    <w:p>
      <w:pPr>
        <w:pStyle w:val="BodyText"/>
        <w:spacing w:line="480" w:lineRule="auto" w:before="219"/>
        <w:ind w:left="267" w:right="727"/>
        <w:jc w:val="both"/>
      </w:pPr>
      <w:r>
        <w:rPr/>
        <w:t>Where </w:t>
      </w:r>
      <w:r>
        <w:rPr>
          <w:rFonts w:ascii="Cambria Math" w:eastAsia="Cambria Math"/>
        </w:rPr>
        <w:t>𝑊</w:t>
      </w:r>
      <w:r>
        <w:rPr>
          <w:rFonts w:ascii="Cambria Math" w:eastAsia="Cambria Math"/>
          <w:vertAlign w:val="subscript"/>
        </w:rPr>
        <w:t>𝑖</w:t>
      </w:r>
      <w:r>
        <w:rPr>
          <w:rFonts w:ascii="Cambria Math" w:eastAsia="Cambria Math"/>
          <w:spacing w:val="40"/>
          <w:vertAlign w:val="baseline"/>
        </w:rPr>
        <w:t> </w:t>
      </w:r>
      <w:r>
        <w:rPr>
          <w:vertAlign w:val="baseline"/>
        </w:rPr>
        <w:t>is the weight assigned to ith component of the water poverty index such as resource,</w:t>
      </w:r>
      <w:r>
        <w:rPr>
          <w:spacing w:val="-4"/>
          <w:vertAlign w:val="baseline"/>
        </w:rPr>
        <w:t> </w:t>
      </w:r>
      <w:r>
        <w:rPr>
          <w:vertAlign w:val="baseline"/>
        </w:rPr>
        <w:t>use,</w:t>
      </w:r>
      <w:r>
        <w:rPr>
          <w:spacing w:val="-2"/>
          <w:vertAlign w:val="baseline"/>
        </w:rPr>
        <w:t> </w:t>
      </w:r>
      <w:r>
        <w:rPr>
          <w:vertAlign w:val="baseline"/>
        </w:rPr>
        <w:t>access,</w:t>
      </w:r>
      <w:r>
        <w:rPr>
          <w:spacing w:val="-4"/>
          <w:vertAlign w:val="baseline"/>
        </w:rPr>
        <w:t> </w:t>
      </w:r>
      <w:r>
        <w:rPr>
          <w:vertAlign w:val="baseline"/>
        </w:rPr>
        <w:t>capacity</w:t>
      </w:r>
      <w:r>
        <w:rPr>
          <w:spacing w:val="-8"/>
          <w:vertAlign w:val="baseline"/>
        </w:rPr>
        <w:t> </w:t>
      </w:r>
      <w:r>
        <w:rPr>
          <w:vertAlign w:val="baseline"/>
        </w:rPr>
        <w:t>or</w:t>
      </w:r>
      <w:r>
        <w:rPr>
          <w:spacing w:val="-4"/>
          <w:vertAlign w:val="baseline"/>
        </w:rPr>
        <w:t> </w:t>
      </w:r>
      <w:r>
        <w:rPr>
          <w:vertAlign w:val="baseline"/>
        </w:rPr>
        <w:t>environment</w:t>
      </w:r>
      <w:r>
        <w:rPr>
          <w:spacing w:val="-1"/>
          <w:vertAlign w:val="baseline"/>
        </w:rPr>
        <w:t> </w:t>
      </w:r>
      <w:r>
        <w:rPr>
          <w:vertAlign w:val="baseline"/>
        </w:rPr>
        <w:t>component?</w:t>
      </w:r>
      <w:r>
        <w:rPr>
          <w:spacing w:val="40"/>
          <w:vertAlign w:val="baseline"/>
        </w:rPr>
        <w:t> </w:t>
      </w:r>
      <w:r>
        <w:rPr>
          <w:rFonts w:ascii="Cambria Math" w:eastAsia="Cambria Math"/>
          <w:vertAlign w:val="baseline"/>
        </w:rPr>
        <w:t>𝑃𝐶𝐾</w:t>
      </w:r>
      <w:r>
        <w:rPr>
          <w:rFonts w:ascii="Cambria Math" w:eastAsia="Cambria Math"/>
          <w:vertAlign w:val="subscript"/>
        </w:rPr>
        <w:t>𝑖</w:t>
      </w:r>
      <w:r>
        <w:rPr>
          <w:rFonts w:ascii="Cambria Math" w:eastAsia="Cambria Math"/>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factor</w:t>
      </w:r>
      <w:r>
        <w:rPr>
          <w:spacing w:val="-4"/>
          <w:vertAlign w:val="baseline"/>
        </w:rPr>
        <w:t> </w:t>
      </w:r>
      <w:r>
        <w:rPr>
          <w:vertAlign w:val="baseline"/>
        </w:rPr>
        <w:t>loading</w:t>
      </w:r>
      <w:r>
        <w:rPr>
          <w:spacing w:val="-5"/>
          <w:vertAlign w:val="baseline"/>
        </w:rPr>
        <w:t> </w:t>
      </w:r>
      <w:r>
        <w:rPr>
          <w:vertAlign w:val="baseline"/>
        </w:rPr>
        <w:t>score associated with the ith component (which can be resource, use, access, capacity or environment</w:t>
      </w:r>
      <w:r>
        <w:rPr>
          <w:spacing w:val="-2"/>
          <w:vertAlign w:val="baseline"/>
        </w:rPr>
        <w:t> </w:t>
      </w:r>
      <w:r>
        <w:rPr>
          <w:vertAlign w:val="baseline"/>
        </w:rPr>
        <w:t>component)</w:t>
      </w:r>
      <w:r>
        <w:rPr>
          <w:spacing w:val="-1"/>
          <w:vertAlign w:val="baseline"/>
        </w:rPr>
        <w:t> </w:t>
      </w:r>
      <w:r>
        <w:rPr>
          <w:vertAlign w:val="baseline"/>
        </w:rPr>
        <w:t>on</w:t>
      </w:r>
      <w:r>
        <w:rPr>
          <w:spacing w:val="-2"/>
          <w:vertAlign w:val="baseline"/>
        </w:rPr>
        <w:t> </w:t>
      </w:r>
      <w:r>
        <w:rPr>
          <w:vertAlign w:val="baseline"/>
        </w:rPr>
        <w:t>principal</w:t>
      </w:r>
      <w:r>
        <w:rPr>
          <w:spacing w:val="-2"/>
          <w:vertAlign w:val="baseline"/>
        </w:rPr>
        <w:t> </w:t>
      </w:r>
      <w:r>
        <w:rPr>
          <w:vertAlign w:val="baseline"/>
        </w:rPr>
        <w:t>component</w:t>
      </w:r>
      <w:r>
        <w:rPr>
          <w:spacing w:val="-2"/>
          <w:vertAlign w:val="baseline"/>
        </w:rPr>
        <w:t> </w:t>
      </w:r>
      <w:r>
        <w:rPr>
          <w:vertAlign w:val="baseline"/>
        </w:rPr>
        <w:t>k,</w:t>
      </w:r>
      <w:r>
        <w:rPr>
          <w:spacing w:val="-2"/>
          <w:vertAlign w:val="baseline"/>
        </w:rPr>
        <w:t> </w:t>
      </w:r>
      <w:r>
        <w:rPr>
          <w:vertAlign w:val="baseline"/>
        </w:rPr>
        <w:t>which</w:t>
      </w:r>
      <w:r>
        <w:rPr>
          <w:spacing w:val="-2"/>
          <w:vertAlign w:val="baseline"/>
        </w:rPr>
        <w:t> </w:t>
      </w:r>
      <w:r>
        <w:rPr>
          <w:vertAlign w:val="baseline"/>
        </w:rPr>
        <w:t>is</w:t>
      </w:r>
      <w:r>
        <w:rPr>
          <w:spacing w:val="-2"/>
          <w:vertAlign w:val="baseline"/>
        </w:rPr>
        <w:t> </w:t>
      </w:r>
      <w:r>
        <w:rPr>
          <w:vertAlign w:val="baseline"/>
        </w:rPr>
        <w:t>called</w:t>
      </w:r>
      <w:r>
        <w:rPr>
          <w:spacing w:val="-2"/>
          <w:vertAlign w:val="baseline"/>
        </w:rPr>
        <w:t> </w:t>
      </w:r>
      <w:r>
        <w:rPr>
          <w:vertAlign w:val="baseline"/>
        </w:rPr>
        <w:t>component</w:t>
      </w:r>
      <w:r>
        <w:rPr>
          <w:spacing w:val="-2"/>
          <w:vertAlign w:val="baseline"/>
        </w:rPr>
        <w:t> </w:t>
      </w:r>
      <w:r>
        <w:rPr>
          <w:vertAlign w:val="baseline"/>
        </w:rPr>
        <w:t>loading. </w:t>
      </w:r>
      <w:r>
        <w:rPr>
          <w:rFonts w:ascii="Cambria Math" w:eastAsia="Cambria Math"/>
          <w:vertAlign w:val="baseline"/>
        </w:rPr>
        <w:t>𝜆𝐾 </w:t>
      </w:r>
      <w:r>
        <w:rPr>
          <w:vertAlign w:val="baseline"/>
        </w:rPr>
        <w:t>is its eigen value. These optimally derived weights were aggregated using the additive (arithmetic/linear aggregation) function.</w:t>
      </w:r>
    </w:p>
    <w:p>
      <w:pPr>
        <w:pStyle w:val="BodyText"/>
        <w:spacing w:line="480" w:lineRule="auto" w:before="273"/>
        <w:ind w:left="267" w:right="725"/>
        <w:jc w:val="both"/>
      </w:pPr>
      <w:r>
        <w:rPr/>
        <w:t>The additive aggregation technique involved summing up of the WPI components to arrive at a single value of Water Poverty Index. Though, Munda and Nardo (2005a) noted that the additive function suffered from compensability problem (likelihood of trade-off in weak performance/value of some indicators for high performance/values of other indicators), its choice was based on its intuitive simplicity and ease of understanding to non-water experts (Garriga</w:t>
      </w:r>
      <w:r>
        <w:rPr>
          <w:spacing w:val="-7"/>
        </w:rPr>
        <w:t> </w:t>
      </w:r>
      <w:r>
        <w:rPr/>
        <w:t>and</w:t>
      </w:r>
      <w:r>
        <w:rPr>
          <w:spacing w:val="-6"/>
        </w:rPr>
        <w:t> </w:t>
      </w:r>
      <w:r>
        <w:rPr/>
        <w:t>Foguet,</w:t>
      </w:r>
      <w:r>
        <w:rPr>
          <w:spacing w:val="-5"/>
        </w:rPr>
        <w:t> </w:t>
      </w:r>
      <w:r>
        <w:rPr/>
        <w:t>2010).</w:t>
      </w:r>
      <w:r>
        <w:rPr>
          <w:spacing w:val="-3"/>
        </w:rPr>
        <w:t> </w:t>
      </w:r>
      <w:r>
        <w:rPr/>
        <w:t>In</w:t>
      </w:r>
      <w:r>
        <w:rPr>
          <w:spacing w:val="-6"/>
        </w:rPr>
        <w:t> </w:t>
      </w:r>
      <w:r>
        <w:rPr/>
        <w:t>numeric</w:t>
      </w:r>
      <w:r>
        <w:rPr>
          <w:spacing w:val="-5"/>
        </w:rPr>
        <w:t> </w:t>
      </w:r>
      <w:r>
        <w:rPr/>
        <w:t>terms,</w:t>
      </w:r>
      <w:r>
        <w:rPr>
          <w:spacing w:val="-5"/>
        </w:rPr>
        <w:t> </w:t>
      </w:r>
      <w:r>
        <w:rPr/>
        <w:t>the</w:t>
      </w:r>
      <w:r>
        <w:rPr>
          <w:spacing w:val="-6"/>
        </w:rPr>
        <w:t> </w:t>
      </w:r>
      <w:r>
        <w:rPr/>
        <w:t>water</w:t>
      </w:r>
      <w:r>
        <w:rPr>
          <w:spacing w:val="-7"/>
        </w:rPr>
        <w:t> </w:t>
      </w:r>
      <w:r>
        <w:rPr/>
        <w:t>poverty</w:t>
      </w:r>
      <w:r>
        <w:rPr>
          <w:spacing w:val="-11"/>
        </w:rPr>
        <w:t> </w:t>
      </w:r>
      <w:r>
        <w:rPr/>
        <w:t>index</w:t>
      </w:r>
      <w:r>
        <w:rPr>
          <w:spacing w:val="-4"/>
        </w:rPr>
        <w:t> </w:t>
      </w:r>
      <w:r>
        <w:rPr/>
        <w:t>in</w:t>
      </w:r>
      <w:r>
        <w:rPr>
          <w:spacing w:val="-5"/>
        </w:rPr>
        <w:t> </w:t>
      </w:r>
      <w:r>
        <w:rPr/>
        <w:t>its</w:t>
      </w:r>
      <w:r>
        <w:rPr>
          <w:spacing w:val="-8"/>
        </w:rPr>
        <w:t> </w:t>
      </w:r>
      <w:r>
        <w:rPr/>
        <w:t>additive</w:t>
      </w:r>
      <w:r>
        <w:rPr>
          <w:spacing w:val="-6"/>
        </w:rPr>
        <w:t> </w:t>
      </w:r>
      <w:r>
        <w:rPr/>
        <w:t>form</w:t>
      </w:r>
      <w:r>
        <w:rPr>
          <w:spacing w:val="-3"/>
        </w:rPr>
        <w:t> </w:t>
      </w:r>
      <w:r>
        <w:rPr/>
        <w:t>is formulated as:</w:t>
      </w:r>
    </w:p>
    <w:p>
      <w:pPr>
        <w:spacing w:before="112"/>
        <w:ind w:left="267" w:right="0" w:firstLine="0"/>
        <w:jc w:val="both"/>
        <w:rPr>
          <w:rFonts w:ascii="Cambria Math" w:hAnsi="Cambria Math" w:eastAsia="Cambria Math"/>
          <w:sz w:val="24"/>
        </w:rPr>
      </w:pPr>
      <w:r>
        <w:rPr>
          <w:rFonts w:ascii="Cambria Math" w:hAnsi="Cambria Math" w:eastAsia="Cambria Math"/>
          <w:spacing w:val="-2"/>
          <w:w w:val="110"/>
          <w:sz w:val="24"/>
        </w:rPr>
        <w:t>𝑊𝑃𝐼</w:t>
      </w:r>
      <w:r>
        <w:rPr>
          <w:rFonts w:ascii="Cambria Math" w:hAnsi="Cambria Math" w:eastAsia="Cambria Math"/>
          <w:spacing w:val="-11"/>
          <w:w w:val="110"/>
          <w:sz w:val="24"/>
        </w:rPr>
        <w:t> </w:t>
      </w:r>
      <w:r>
        <w:rPr>
          <w:rFonts w:ascii="Cambria Math" w:hAnsi="Cambria Math" w:eastAsia="Cambria Math"/>
          <w:spacing w:val="-2"/>
          <w:w w:val="110"/>
          <w:sz w:val="24"/>
        </w:rPr>
        <w:t>=</w:t>
      </w:r>
      <w:r>
        <w:rPr>
          <w:rFonts w:ascii="Cambria Math" w:hAnsi="Cambria Math" w:eastAsia="Cambria Math"/>
          <w:spacing w:val="-1"/>
          <w:w w:val="165"/>
          <w:sz w:val="24"/>
        </w:rPr>
        <w:t> </w:t>
      </w:r>
      <w:r>
        <w:rPr>
          <w:rFonts w:ascii="Cambria Math" w:hAnsi="Cambria Math" w:eastAsia="Cambria Math"/>
          <w:spacing w:val="-2"/>
          <w:w w:val="165"/>
          <w:sz w:val="24"/>
        </w:rPr>
        <w:t>∑</w:t>
      </w:r>
      <w:r>
        <w:rPr>
          <w:rFonts w:ascii="Cambria Math" w:hAnsi="Cambria Math" w:eastAsia="Cambria Math"/>
          <w:spacing w:val="-46"/>
          <w:w w:val="165"/>
          <w:sz w:val="24"/>
        </w:rPr>
        <w:t> </w:t>
      </w:r>
      <w:r>
        <w:rPr>
          <w:rFonts w:ascii="Cambria Math" w:hAnsi="Cambria Math" w:eastAsia="Cambria Math"/>
          <w:spacing w:val="-2"/>
          <w:w w:val="110"/>
          <w:sz w:val="24"/>
        </w:rPr>
        <w:t>𝑊</w:t>
      </w:r>
      <w:r>
        <w:rPr>
          <w:rFonts w:ascii="Cambria Math" w:hAnsi="Cambria Math" w:eastAsia="Cambria Math"/>
          <w:spacing w:val="-2"/>
          <w:w w:val="110"/>
          <w:sz w:val="24"/>
          <w:vertAlign w:val="subscript"/>
        </w:rPr>
        <w:t>𝑖</w:t>
      </w:r>
      <w:r>
        <w:rPr>
          <w:rFonts w:ascii="Cambria Math" w:hAnsi="Cambria Math" w:eastAsia="Cambria Math"/>
          <w:spacing w:val="-13"/>
          <w:w w:val="110"/>
          <w:sz w:val="24"/>
          <w:vertAlign w:val="baseline"/>
        </w:rPr>
        <w:t> </w:t>
      </w:r>
      <w:r>
        <w:rPr>
          <w:rFonts w:ascii="Cambria Math" w:hAnsi="Cambria Math" w:eastAsia="Cambria Math"/>
          <w:spacing w:val="-5"/>
          <w:w w:val="110"/>
          <w:sz w:val="24"/>
          <w:vertAlign w:val="baseline"/>
        </w:rPr>
        <w:t>𝑋</w:t>
      </w:r>
      <w:r>
        <w:rPr>
          <w:rFonts w:ascii="Cambria Math" w:hAnsi="Cambria Math" w:eastAsia="Cambria Math"/>
          <w:spacing w:val="-5"/>
          <w:w w:val="110"/>
          <w:sz w:val="24"/>
          <w:vertAlign w:val="subscript"/>
        </w:rPr>
        <w:t>𝑖</w:t>
      </w:r>
    </w:p>
    <w:p>
      <w:pPr>
        <w:pStyle w:val="BodyText"/>
        <w:spacing w:before="104"/>
        <w:rPr>
          <w:rFonts w:ascii="Cambria Math"/>
        </w:rPr>
      </w:pPr>
    </w:p>
    <w:p>
      <w:pPr>
        <w:pStyle w:val="BodyText"/>
        <w:spacing w:line="480" w:lineRule="auto"/>
        <w:ind w:left="267" w:right="724"/>
        <w:jc w:val="both"/>
      </w:pPr>
      <w:r>
        <w:rPr/>
        <w:t>Where</w:t>
      </w:r>
      <w:r>
        <w:rPr>
          <w:spacing w:val="40"/>
        </w:rPr>
        <w:t> </w:t>
      </w:r>
      <w:r>
        <w:rPr>
          <w:rFonts w:ascii="Cambria Math" w:eastAsia="Cambria Math"/>
        </w:rPr>
        <w:t>𝑊𝑃𝐼 </w:t>
      </w:r>
      <w:r>
        <w:rPr/>
        <w:t>is the water poverty index derived through additive aggregation.</w:t>
      </w:r>
      <w:r>
        <w:rPr>
          <w:spacing w:val="40"/>
        </w:rPr>
        <w:t> </w:t>
      </w:r>
      <w:r>
        <w:rPr>
          <w:rFonts w:ascii="Cambria Math" w:eastAsia="Cambria Math"/>
        </w:rPr>
        <w:t>𝑋</w:t>
      </w:r>
      <w:r>
        <w:rPr>
          <w:rFonts w:ascii="Cambria Math" w:eastAsia="Cambria Math"/>
          <w:vertAlign w:val="subscript"/>
        </w:rPr>
        <w:t>𝑖</w:t>
      </w:r>
      <w:r>
        <w:rPr>
          <w:rFonts w:ascii="Cambria Math" w:eastAsia="Cambria Math"/>
          <w:vertAlign w:val="baseline"/>
        </w:rPr>
        <w:t> </w:t>
      </w:r>
      <w:r>
        <w:rPr>
          <w:vertAlign w:val="baseline"/>
        </w:rPr>
        <w:t>are the water</w:t>
      </w:r>
      <w:r>
        <w:rPr>
          <w:spacing w:val="-1"/>
          <w:vertAlign w:val="baseline"/>
        </w:rPr>
        <w:t> </w:t>
      </w:r>
      <w:r>
        <w:rPr>
          <w:vertAlign w:val="baseline"/>
        </w:rPr>
        <w:t>poverty</w:t>
      </w:r>
      <w:r>
        <w:rPr>
          <w:spacing w:val="-5"/>
          <w:vertAlign w:val="baseline"/>
        </w:rPr>
        <w:t> </w:t>
      </w:r>
      <w:r>
        <w:rPr>
          <w:vertAlign w:val="baseline"/>
        </w:rPr>
        <w:t>index components (Resource, Use, Access, Capacity</w:t>
      </w:r>
      <w:r>
        <w:rPr>
          <w:spacing w:val="-5"/>
          <w:vertAlign w:val="baseline"/>
        </w:rPr>
        <w:t> </w:t>
      </w:r>
      <w:r>
        <w:rPr>
          <w:vertAlign w:val="baseline"/>
        </w:rPr>
        <w:t>and Environment) </w:t>
      </w:r>
      <w:r>
        <w:rPr>
          <w:rFonts w:ascii="Cambria Math" w:eastAsia="Cambria Math"/>
          <w:vertAlign w:val="baseline"/>
        </w:rPr>
        <w:t>𝑊</w:t>
      </w:r>
      <w:r>
        <w:rPr>
          <w:rFonts w:ascii="Cambria Math" w:eastAsia="Cambria Math"/>
          <w:vertAlign w:val="subscript"/>
        </w:rPr>
        <w:t>𝑖</w:t>
      </w:r>
      <w:r>
        <w:rPr>
          <w:rFonts w:ascii="Cambria Math" w:eastAsia="Cambria Math"/>
          <w:spacing w:val="20"/>
          <w:vertAlign w:val="baseline"/>
        </w:rPr>
        <w:t> </w:t>
      </w:r>
      <w:r>
        <w:rPr>
          <w:vertAlign w:val="baseline"/>
        </w:rPr>
        <w:t>is the statistically derived weighted for that component using PCA. It was the derived water poverty</w:t>
      </w:r>
      <w:r>
        <w:rPr>
          <w:spacing w:val="-4"/>
          <w:vertAlign w:val="baseline"/>
        </w:rPr>
        <w:t> </w:t>
      </w:r>
      <w:r>
        <w:rPr>
          <w:vertAlign w:val="baseline"/>
        </w:rPr>
        <w:t>index and respective 5 water poverty</w:t>
      </w:r>
      <w:r>
        <w:rPr>
          <w:spacing w:val="-1"/>
          <w:vertAlign w:val="baseline"/>
        </w:rPr>
        <w:t> </w:t>
      </w:r>
      <w:r>
        <w:rPr>
          <w:vertAlign w:val="baseline"/>
        </w:rPr>
        <w:t>components for each of the 8 neighbourhoods that</w:t>
      </w:r>
      <w:r>
        <w:rPr>
          <w:spacing w:val="-6"/>
          <w:vertAlign w:val="baseline"/>
        </w:rPr>
        <w:t> </w:t>
      </w:r>
      <w:r>
        <w:rPr>
          <w:vertAlign w:val="baseline"/>
        </w:rPr>
        <w:t>served</w:t>
      </w:r>
      <w:r>
        <w:rPr>
          <w:spacing w:val="-6"/>
          <w:vertAlign w:val="baseline"/>
        </w:rPr>
        <w:t> </w:t>
      </w:r>
      <w:r>
        <w:rPr>
          <w:vertAlign w:val="baseline"/>
        </w:rPr>
        <w:t>as</w:t>
      </w:r>
      <w:r>
        <w:rPr>
          <w:spacing w:val="-6"/>
          <w:vertAlign w:val="baseline"/>
        </w:rPr>
        <w:t> </w:t>
      </w:r>
      <w:r>
        <w:rPr>
          <w:vertAlign w:val="baseline"/>
        </w:rPr>
        <w:t>the</w:t>
      </w:r>
      <w:r>
        <w:rPr>
          <w:spacing w:val="-6"/>
          <w:vertAlign w:val="baseline"/>
        </w:rPr>
        <w:t> </w:t>
      </w:r>
      <w:r>
        <w:rPr>
          <w:vertAlign w:val="baseline"/>
        </w:rPr>
        <w:t>output</w:t>
      </w:r>
      <w:r>
        <w:rPr>
          <w:spacing w:val="-5"/>
          <w:vertAlign w:val="baseline"/>
        </w:rPr>
        <w:t> </w:t>
      </w:r>
      <w:r>
        <w:rPr>
          <w:vertAlign w:val="baseline"/>
        </w:rPr>
        <w:t>unit</w:t>
      </w:r>
      <w:r>
        <w:rPr>
          <w:spacing w:val="-5"/>
          <w:vertAlign w:val="baseline"/>
        </w:rPr>
        <w:t> </w:t>
      </w:r>
      <w:r>
        <w:rPr>
          <w:vertAlign w:val="baseline"/>
        </w:rPr>
        <w:t>for</w:t>
      </w:r>
      <w:r>
        <w:rPr>
          <w:spacing w:val="-7"/>
          <w:vertAlign w:val="baseline"/>
        </w:rPr>
        <w:t> </w:t>
      </w:r>
      <w:r>
        <w:rPr>
          <w:vertAlign w:val="baseline"/>
        </w:rPr>
        <w:t>the</w:t>
      </w:r>
      <w:r>
        <w:rPr>
          <w:spacing w:val="-6"/>
          <w:vertAlign w:val="baseline"/>
        </w:rPr>
        <w:t> </w:t>
      </w:r>
      <w:r>
        <w:rPr>
          <w:vertAlign w:val="baseline"/>
        </w:rPr>
        <w:t>water</w:t>
      </w:r>
      <w:r>
        <w:rPr>
          <w:spacing w:val="-6"/>
          <w:vertAlign w:val="baseline"/>
        </w:rPr>
        <w:t> </w:t>
      </w:r>
      <w:r>
        <w:rPr>
          <w:vertAlign w:val="baseline"/>
        </w:rPr>
        <w:t>poverty</w:t>
      </w:r>
      <w:r>
        <w:rPr>
          <w:spacing w:val="-8"/>
          <w:vertAlign w:val="baseline"/>
        </w:rPr>
        <w:t> </w:t>
      </w:r>
      <w:r>
        <w:rPr>
          <w:vertAlign w:val="baseline"/>
        </w:rPr>
        <w:t>analysis</w:t>
      </w:r>
      <w:r>
        <w:rPr>
          <w:spacing w:val="-5"/>
          <w:vertAlign w:val="baseline"/>
        </w:rPr>
        <w:t> </w:t>
      </w:r>
      <w:r>
        <w:rPr>
          <w:vertAlign w:val="baseline"/>
        </w:rPr>
        <w:t>in</w:t>
      </w:r>
      <w:r>
        <w:rPr>
          <w:spacing w:val="-5"/>
          <w:vertAlign w:val="baseline"/>
        </w:rPr>
        <w:t> </w:t>
      </w:r>
      <w:r>
        <w:rPr>
          <w:vertAlign w:val="baseline"/>
        </w:rPr>
        <w:t>this</w:t>
      </w:r>
      <w:r>
        <w:rPr>
          <w:spacing w:val="-6"/>
          <w:vertAlign w:val="baseline"/>
        </w:rPr>
        <w:t> </w:t>
      </w:r>
      <w:r>
        <w:rPr>
          <w:vertAlign w:val="baseline"/>
        </w:rPr>
        <w:t>study.</w:t>
      </w:r>
      <w:r>
        <w:rPr>
          <w:spacing w:val="-3"/>
          <w:vertAlign w:val="baseline"/>
        </w:rPr>
        <w:t> </w:t>
      </w:r>
      <w:r>
        <w:rPr>
          <w:vertAlign w:val="baseline"/>
        </w:rPr>
        <w:t>It</w:t>
      </w:r>
      <w:r>
        <w:rPr>
          <w:spacing w:val="-3"/>
          <w:vertAlign w:val="baseline"/>
        </w:rPr>
        <w:t> </w:t>
      </w:r>
      <w:r>
        <w:rPr>
          <w:vertAlign w:val="baseline"/>
        </w:rPr>
        <w:t>also</w:t>
      </w:r>
      <w:r>
        <w:rPr>
          <w:spacing w:val="-6"/>
          <w:vertAlign w:val="baseline"/>
        </w:rPr>
        <w:t> </w:t>
      </w:r>
      <w:r>
        <w:rPr>
          <w:vertAlign w:val="baseline"/>
        </w:rPr>
        <w:t>provided</w:t>
      </w:r>
      <w:r>
        <w:rPr>
          <w:spacing w:val="-6"/>
          <w:vertAlign w:val="baseline"/>
        </w:rPr>
        <w:t> </w:t>
      </w:r>
      <w:r>
        <w:rPr>
          <w:vertAlign w:val="baseline"/>
        </w:rPr>
        <w:t>the basis</w:t>
      </w:r>
      <w:r>
        <w:rPr>
          <w:spacing w:val="-4"/>
          <w:vertAlign w:val="baseline"/>
        </w:rPr>
        <w:t> </w:t>
      </w:r>
      <w:r>
        <w:rPr>
          <w:vertAlign w:val="baseline"/>
        </w:rPr>
        <w:t>for</w:t>
      </w:r>
      <w:r>
        <w:rPr>
          <w:spacing w:val="-6"/>
          <w:vertAlign w:val="baseline"/>
        </w:rPr>
        <w:t> </w:t>
      </w:r>
      <w:r>
        <w:rPr>
          <w:vertAlign w:val="baseline"/>
        </w:rPr>
        <w:t>the</w:t>
      </w:r>
      <w:r>
        <w:rPr>
          <w:spacing w:val="-2"/>
          <w:vertAlign w:val="baseline"/>
        </w:rPr>
        <w:t> </w:t>
      </w:r>
      <w:r>
        <w:rPr>
          <w:vertAlign w:val="baseline"/>
        </w:rPr>
        <w:t>water</w:t>
      </w:r>
      <w:r>
        <w:rPr>
          <w:spacing w:val="-4"/>
          <w:vertAlign w:val="baseline"/>
        </w:rPr>
        <w:t> </w:t>
      </w:r>
      <w:r>
        <w:rPr>
          <w:vertAlign w:val="baseline"/>
        </w:rPr>
        <w:t>poverty</w:t>
      </w:r>
      <w:r>
        <w:rPr>
          <w:spacing w:val="-7"/>
          <w:vertAlign w:val="baseline"/>
        </w:rPr>
        <w:t> </w:t>
      </w:r>
      <w:r>
        <w:rPr>
          <w:vertAlign w:val="baseline"/>
        </w:rPr>
        <w:t>mapping</w:t>
      </w:r>
      <w:r>
        <w:rPr>
          <w:spacing w:val="-7"/>
          <w:vertAlign w:val="baseline"/>
        </w:rPr>
        <w:t> </w:t>
      </w:r>
      <w:r>
        <w:rPr>
          <w:vertAlign w:val="baseline"/>
        </w:rPr>
        <w:t>using</w:t>
      </w:r>
      <w:r>
        <w:rPr>
          <w:spacing w:val="-7"/>
          <w:vertAlign w:val="baseline"/>
        </w:rPr>
        <w:t> </w:t>
      </w:r>
      <w:r>
        <w:rPr>
          <w:vertAlign w:val="baseline"/>
        </w:rPr>
        <w:t>GIS</w:t>
      </w:r>
      <w:r>
        <w:rPr>
          <w:spacing w:val="-2"/>
          <w:vertAlign w:val="baseline"/>
        </w:rPr>
        <w:t> </w:t>
      </w:r>
      <w:r>
        <w:rPr>
          <w:vertAlign w:val="baseline"/>
        </w:rPr>
        <w:t>and</w:t>
      </w:r>
      <w:r>
        <w:rPr>
          <w:spacing w:val="-3"/>
          <w:vertAlign w:val="baseline"/>
        </w:rPr>
        <w:t> </w:t>
      </w:r>
      <w:r>
        <w:rPr>
          <w:vertAlign w:val="baseline"/>
        </w:rPr>
        <w:t>spider</w:t>
      </w:r>
      <w:r>
        <w:rPr>
          <w:spacing w:val="-6"/>
          <w:vertAlign w:val="baseline"/>
        </w:rPr>
        <w:t> </w:t>
      </w:r>
      <w:r>
        <w:rPr>
          <w:vertAlign w:val="baseline"/>
        </w:rPr>
        <w:t>map</w:t>
      </w:r>
      <w:r>
        <w:rPr>
          <w:spacing w:val="-5"/>
          <w:vertAlign w:val="baseline"/>
        </w:rPr>
        <w:t> </w:t>
      </w:r>
      <w:r>
        <w:rPr>
          <w:vertAlign w:val="baseline"/>
        </w:rPr>
        <w:t>(pentagram)</w:t>
      </w:r>
      <w:r>
        <w:rPr>
          <w:spacing w:val="-2"/>
          <w:vertAlign w:val="baseline"/>
        </w:rPr>
        <w:t> </w:t>
      </w:r>
      <w:r>
        <w:rPr>
          <w:vertAlign w:val="baseline"/>
        </w:rPr>
        <w:t>in</w:t>
      </w:r>
      <w:r>
        <w:rPr>
          <w:spacing w:val="-5"/>
          <w:vertAlign w:val="baseline"/>
        </w:rPr>
        <w:t> </w:t>
      </w:r>
      <w:r>
        <w:rPr>
          <w:vertAlign w:val="baseline"/>
        </w:rPr>
        <w:t>order</w:t>
      </w:r>
      <w:r>
        <w:rPr>
          <w:spacing w:val="-6"/>
          <w:vertAlign w:val="baseline"/>
        </w:rPr>
        <w:t> </w:t>
      </w:r>
      <w:r>
        <w:rPr>
          <w:vertAlign w:val="baseline"/>
        </w:rPr>
        <w:t>to</w:t>
      </w:r>
      <w:r>
        <w:rPr>
          <w:spacing w:val="-4"/>
          <w:vertAlign w:val="baseline"/>
        </w:rPr>
        <w:t> </w:t>
      </w:r>
      <w:r>
        <w:rPr>
          <w:vertAlign w:val="baseline"/>
        </w:rPr>
        <w:t>show the</w:t>
      </w:r>
      <w:r>
        <w:rPr>
          <w:spacing w:val="-3"/>
          <w:vertAlign w:val="baseline"/>
        </w:rPr>
        <w:t> </w:t>
      </w:r>
      <w:r>
        <w:rPr>
          <w:vertAlign w:val="baseline"/>
        </w:rPr>
        <w:t>spatial</w:t>
      </w:r>
      <w:r>
        <w:rPr>
          <w:spacing w:val="-2"/>
          <w:vertAlign w:val="baseline"/>
        </w:rPr>
        <w:t> </w:t>
      </w:r>
      <w:r>
        <w:rPr>
          <w:vertAlign w:val="baseline"/>
        </w:rPr>
        <w:t>manifestation</w:t>
      </w:r>
      <w:r>
        <w:rPr>
          <w:spacing w:val="-2"/>
          <w:vertAlign w:val="baseline"/>
        </w:rPr>
        <w:t> </w:t>
      </w:r>
      <w:r>
        <w:rPr>
          <w:vertAlign w:val="baseline"/>
        </w:rPr>
        <w:t>of</w:t>
      </w:r>
      <w:r>
        <w:rPr>
          <w:spacing w:val="-4"/>
          <w:vertAlign w:val="baseline"/>
        </w:rPr>
        <w:t> </w:t>
      </w:r>
      <w:r>
        <w:rPr>
          <w:vertAlign w:val="baseline"/>
        </w:rPr>
        <w:t>water</w:t>
      </w:r>
      <w:r>
        <w:rPr>
          <w:spacing w:val="-4"/>
          <w:vertAlign w:val="baseline"/>
        </w:rPr>
        <w:t> </w:t>
      </w:r>
      <w:r>
        <w:rPr>
          <w:vertAlign w:val="baseline"/>
        </w:rPr>
        <w:t>poverty</w:t>
      </w:r>
      <w:r>
        <w:rPr>
          <w:spacing w:val="-8"/>
          <w:vertAlign w:val="baseline"/>
        </w:rPr>
        <w:t> </w:t>
      </w:r>
      <w:r>
        <w:rPr>
          <w:vertAlign w:val="baseline"/>
        </w:rPr>
        <w:t>in</w:t>
      </w:r>
      <w:r>
        <w:rPr>
          <w:spacing w:val="-2"/>
          <w:vertAlign w:val="baseline"/>
        </w:rPr>
        <w:t> </w:t>
      </w:r>
      <w:r>
        <w:rPr>
          <w:vertAlign w:val="baseline"/>
        </w:rPr>
        <w:t>the</w:t>
      </w:r>
      <w:r>
        <w:rPr>
          <w:spacing w:val="-3"/>
          <w:vertAlign w:val="baseline"/>
        </w:rPr>
        <w:t> </w:t>
      </w:r>
      <w:r>
        <w:rPr>
          <w:vertAlign w:val="baseline"/>
        </w:rPr>
        <w:t>study</w:t>
      </w:r>
      <w:r>
        <w:rPr>
          <w:spacing w:val="-8"/>
          <w:vertAlign w:val="baseline"/>
        </w:rPr>
        <w:t> </w:t>
      </w:r>
      <w:r>
        <w:rPr>
          <w:vertAlign w:val="baseline"/>
        </w:rPr>
        <w:t>area.</w:t>
      </w:r>
      <w:r>
        <w:rPr>
          <w:spacing w:val="-3"/>
          <w:vertAlign w:val="baseline"/>
        </w:rPr>
        <w:t> </w:t>
      </w:r>
      <w:r>
        <w:rPr>
          <w:vertAlign w:val="baseline"/>
        </w:rPr>
        <w:t>The</w:t>
      </w:r>
      <w:r>
        <w:rPr>
          <w:spacing w:val="-4"/>
          <w:vertAlign w:val="baseline"/>
        </w:rPr>
        <w:t> </w:t>
      </w:r>
      <w:r>
        <w:rPr>
          <w:vertAlign w:val="baseline"/>
        </w:rPr>
        <w:t>derived</w:t>
      </w:r>
      <w:r>
        <w:rPr>
          <w:spacing w:val="-3"/>
          <w:vertAlign w:val="baseline"/>
        </w:rPr>
        <w:t> </w:t>
      </w:r>
      <w:r>
        <w:rPr>
          <w:vertAlign w:val="baseline"/>
        </w:rPr>
        <w:t>water</w:t>
      </w:r>
      <w:r>
        <w:rPr>
          <w:spacing w:val="-4"/>
          <w:vertAlign w:val="baseline"/>
        </w:rPr>
        <w:t> </w:t>
      </w:r>
      <w:r>
        <w:rPr>
          <w:vertAlign w:val="baseline"/>
        </w:rPr>
        <w:t>poverty</w:t>
      </w:r>
      <w:r>
        <w:rPr>
          <w:spacing w:val="-8"/>
          <w:vertAlign w:val="baseline"/>
        </w:rPr>
        <w:t> </w:t>
      </w:r>
      <w:r>
        <w:rPr>
          <w:spacing w:val="-2"/>
          <w:vertAlign w:val="baseline"/>
        </w:rPr>
        <w:t>index</w:t>
      </w:r>
    </w:p>
    <w:p>
      <w:pPr>
        <w:spacing w:after="0" w:line="480" w:lineRule="auto"/>
        <w:jc w:val="both"/>
        <w:sectPr>
          <w:type w:val="continuous"/>
          <w:pgSz w:w="12240" w:h="15840"/>
          <w:pgMar w:header="0" w:footer="1068" w:top="1340" w:bottom="1260" w:left="1720" w:right="680"/>
        </w:sectPr>
      </w:pPr>
    </w:p>
    <w:p>
      <w:pPr>
        <w:pStyle w:val="BodyText"/>
        <w:spacing w:line="480" w:lineRule="auto" w:before="63"/>
        <w:ind w:left="267" w:right="727"/>
        <w:jc w:val="both"/>
      </w:pPr>
      <w:r>
        <w:rPr/>
        <w:t>and</w:t>
      </w:r>
      <w:r>
        <w:rPr>
          <w:spacing w:val="-11"/>
        </w:rPr>
        <w:t> </w:t>
      </w:r>
      <w:r>
        <w:rPr/>
        <w:t>component</w:t>
      </w:r>
      <w:r>
        <w:rPr>
          <w:spacing w:val="-11"/>
        </w:rPr>
        <w:t> </w:t>
      </w:r>
      <w:r>
        <w:rPr/>
        <w:t>values</w:t>
      </w:r>
      <w:r>
        <w:rPr>
          <w:spacing w:val="-8"/>
        </w:rPr>
        <w:t> </w:t>
      </w:r>
      <w:r>
        <w:rPr/>
        <w:t>range</w:t>
      </w:r>
      <w:r>
        <w:rPr>
          <w:spacing w:val="-9"/>
        </w:rPr>
        <w:t> </w:t>
      </w:r>
      <w:r>
        <w:rPr/>
        <w:t>from</w:t>
      </w:r>
      <w:r>
        <w:rPr>
          <w:spacing w:val="-8"/>
        </w:rPr>
        <w:t> </w:t>
      </w:r>
      <w:r>
        <w:rPr/>
        <w:t>0</w:t>
      </w:r>
      <w:r>
        <w:rPr>
          <w:spacing w:val="-11"/>
        </w:rPr>
        <w:t> </w:t>
      </w:r>
      <w:r>
        <w:rPr/>
        <w:t>to100</w:t>
      </w:r>
      <w:r>
        <w:rPr>
          <w:spacing w:val="-9"/>
        </w:rPr>
        <w:t> </w:t>
      </w:r>
      <w:r>
        <w:rPr/>
        <w:t>(this</w:t>
      </w:r>
      <w:r>
        <w:rPr>
          <w:spacing w:val="-10"/>
        </w:rPr>
        <w:t> </w:t>
      </w:r>
      <w:r>
        <w:rPr/>
        <w:t>index</w:t>
      </w:r>
      <w:r>
        <w:rPr>
          <w:spacing w:val="-9"/>
        </w:rPr>
        <w:t> </w:t>
      </w:r>
      <w:r>
        <w:rPr/>
        <w:t>is</w:t>
      </w:r>
      <w:r>
        <w:rPr>
          <w:spacing w:val="-10"/>
        </w:rPr>
        <w:t> </w:t>
      </w:r>
      <w:r>
        <w:rPr/>
        <w:t>different</w:t>
      </w:r>
      <w:r>
        <w:rPr>
          <w:spacing w:val="-8"/>
        </w:rPr>
        <w:t> </w:t>
      </w:r>
      <w:r>
        <w:rPr/>
        <w:t>from</w:t>
      </w:r>
      <w:r>
        <w:rPr>
          <w:spacing w:val="-10"/>
        </w:rPr>
        <w:t> </w:t>
      </w:r>
      <w:r>
        <w:rPr/>
        <w:t>the</w:t>
      </w:r>
      <w:r>
        <w:rPr>
          <w:spacing w:val="-7"/>
        </w:rPr>
        <w:t> </w:t>
      </w:r>
      <w:r>
        <w:rPr/>
        <w:t>normalized</w:t>
      </w:r>
      <w:r>
        <w:rPr>
          <w:spacing w:val="-8"/>
        </w:rPr>
        <w:t> </w:t>
      </w:r>
      <w:r>
        <w:rPr/>
        <w:t>values derived using</w:t>
      </w:r>
      <w:r>
        <w:rPr>
          <w:spacing w:val="-1"/>
        </w:rPr>
        <w:t> </w:t>
      </w:r>
      <w:r>
        <w:rPr/>
        <w:t>the linear scaling method as its weights have been attached and aggregated to arrive at the</w:t>
      </w:r>
      <w:r>
        <w:rPr>
          <w:spacing w:val="-1"/>
        </w:rPr>
        <w:t> </w:t>
      </w:r>
      <w:r>
        <w:rPr/>
        <w:t>index). The</w:t>
      </w:r>
      <w:r>
        <w:rPr>
          <w:spacing w:val="-1"/>
        </w:rPr>
        <w:t> </w:t>
      </w:r>
      <w:r>
        <w:rPr/>
        <w:t>lower</w:t>
      </w:r>
      <w:r>
        <w:rPr>
          <w:spacing w:val="-1"/>
        </w:rPr>
        <w:t> </w:t>
      </w:r>
      <w:r>
        <w:rPr/>
        <w:t>the derived water</w:t>
      </w:r>
      <w:r>
        <w:rPr>
          <w:spacing w:val="-1"/>
        </w:rPr>
        <w:t> </w:t>
      </w:r>
      <w:r>
        <w:rPr/>
        <w:t>poverty</w:t>
      </w:r>
      <w:r>
        <w:rPr>
          <w:spacing w:val="-3"/>
        </w:rPr>
        <w:t> </w:t>
      </w:r>
      <w:r>
        <w:rPr/>
        <w:t>index in a given</w:t>
      </w:r>
      <w:r>
        <w:rPr>
          <w:spacing w:val="-1"/>
        </w:rPr>
        <w:t> </w:t>
      </w:r>
      <w:r>
        <w:rPr/>
        <w:t>neighbourhood in the</w:t>
      </w:r>
      <w:r>
        <w:rPr>
          <w:spacing w:val="-1"/>
        </w:rPr>
        <w:t> </w:t>
      </w:r>
      <w:r>
        <w:rPr/>
        <w:t>study</w:t>
      </w:r>
      <w:r>
        <w:rPr>
          <w:spacing w:val="-5"/>
        </w:rPr>
        <w:t> </w:t>
      </w:r>
      <w:r>
        <w:rPr/>
        <w:t>area, the higher the</w:t>
      </w:r>
      <w:r>
        <w:rPr>
          <w:spacing w:val="-1"/>
        </w:rPr>
        <w:t> </w:t>
      </w:r>
      <w:r>
        <w:rPr/>
        <w:t>extent</w:t>
      </w:r>
      <w:r>
        <w:rPr>
          <w:spacing w:val="-3"/>
        </w:rPr>
        <w:t> </w:t>
      </w:r>
      <w:r>
        <w:rPr/>
        <w:t>of</w:t>
      </w:r>
      <w:r>
        <w:rPr>
          <w:spacing w:val="-1"/>
        </w:rPr>
        <w:t> </w:t>
      </w:r>
      <w:r>
        <w:rPr/>
        <w:t>water</w:t>
      </w:r>
      <w:r>
        <w:rPr>
          <w:spacing w:val="-2"/>
        </w:rPr>
        <w:t> </w:t>
      </w:r>
      <w:r>
        <w:rPr/>
        <w:t>stress and by</w:t>
      </w:r>
      <w:r>
        <w:rPr>
          <w:spacing w:val="-4"/>
        </w:rPr>
        <w:t> </w:t>
      </w:r>
      <w:r>
        <w:rPr/>
        <w:t>extension the</w:t>
      </w:r>
      <w:r>
        <w:rPr>
          <w:spacing w:val="-1"/>
        </w:rPr>
        <w:t> </w:t>
      </w:r>
      <w:r>
        <w:rPr/>
        <w:t>water</w:t>
      </w:r>
      <w:r>
        <w:rPr>
          <w:spacing w:val="-2"/>
        </w:rPr>
        <w:t> </w:t>
      </w:r>
      <w:r>
        <w:rPr/>
        <w:t>poverty</w:t>
      </w:r>
      <w:r>
        <w:rPr>
          <w:spacing w:val="-5"/>
        </w:rPr>
        <w:t> </w:t>
      </w:r>
      <w:r>
        <w:rPr/>
        <w:t>level in that particular neighbourhood.</w:t>
      </w:r>
    </w:p>
    <w:p>
      <w:pPr>
        <w:pStyle w:val="BodyText"/>
        <w:spacing w:before="8"/>
      </w:pPr>
    </w:p>
    <w:p>
      <w:pPr>
        <w:pStyle w:val="Heading1"/>
        <w:numPr>
          <w:ilvl w:val="3"/>
          <w:numId w:val="10"/>
        </w:numPr>
        <w:tabs>
          <w:tab w:pos="986" w:val="left" w:leader="none"/>
        </w:tabs>
        <w:spacing w:line="240" w:lineRule="auto" w:before="0" w:after="0"/>
        <w:ind w:left="986" w:right="0" w:hanging="719"/>
        <w:jc w:val="left"/>
      </w:pPr>
      <w:r>
        <w:rPr/>
        <w:t>Operationalization</w:t>
      </w:r>
      <w:r>
        <w:rPr>
          <w:spacing w:val="-1"/>
        </w:rPr>
        <w:t> </w:t>
      </w:r>
      <w:r>
        <w:rPr/>
        <w:t>of</w:t>
      </w:r>
      <w:r>
        <w:rPr>
          <w:spacing w:val="-1"/>
        </w:rPr>
        <w:t> </w:t>
      </w:r>
      <w:r>
        <w:rPr/>
        <w:t>the</w:t>
      </w:r>
      <w:r>
        <w:rPr>
          <w:spacing w:val="-2"/>
        </w:rPr>
        <w:t> </w:t>
      </w:r>
      <w:r>
        <w:rPr/>
        <w:t>water</w:t>
      </w:r>
      <w:r>
        <w:rPr>
          <w:spacing w:val="-2"/>
        </w:rPr>
        <w:t> </w:t>
      </w:r>
      <w:r>
        <w:rPr/>
        <w:t>poverty </w:t>
      </w:r>
      <w:r>
        <w:rPr>
          <w:spacing w:val="-2"/>
        </w:rPr>
        <w:t>indicators</w:t>
      </w:r>
    </w:p>
    <w:p>
      <w:pPr>
        <w:pStyle w:val="BodyText"/>
        <w:spacing w:before="15"/>
        <w:rPr>
          <w:b/>
        </w:rPr>
      </w:pPr>
    </w:p>
    <w:p>
      <w:pPr>
        <w:pStyle w:val="BodyText"/>
        <w:spacing w:line="480" w:lineRule="auto"/>
        <w:ind w:left="267" w:right="728"/>
        <w:jc w:val="both"/>
      </w:pPr>
      <w:r>
        <w:rPr/>
        <w:t>The</w:t>
      </w:r>
      <w:r>
        <w:rPr>
          <w:spacing w:val="-5"/>
        </w:rPr>
        <w:t> </w:t>
      </w:r>
      <w:r>
        <w:rPr/>
        <w:t>indicators</w:t>
      </w:r>
      <w:r>
        <w:rPr>
          <w:spacing w:val="-1"/>
        </w:rPr>
        <w:t> </w:t>
      </w:r>
      <w:r>
        <w:rPr/>
        <w:t>used</w:t>
      </w:r>
      <w:r>
        <w:rPr>
          <w:spacing w:val="-1"/>
        </w:rPr>
        <w:t> </w:t>
      </w:r>
      <w:r>
        <w:rPr/>
        <w:t>for</w:t>
      </w:r>
      <w:r>
        <w:rPr>
          <w:spacing w:val="-1"/>
        </w:rPr>
        <w:t> </w:t>
      </w:r>
      <w:r>
        <w:rPr/>
        <w:t>water</w:t>
      </w:r>
      <w:r>
        <w:rPr>
          <w:spacing w:val="-3"/>
        </w:rPr>
        <w:t> </w:t>
      </w:r>
      <w:r>
        <w:rPr/>
        <w:t>poverty</w:t>
      </w:r>
      <w:r>
        <w:rPr>
          <w:spacing w:val="-8"/>
        </w:rPr>
        <w:t> </w:t>
      </w:r>
      <w:r>
        <w:rPr/>
        <w:t>measurement are</w:t>
      </w:r>
      <w:r>
        <w:rPr>
          <w:spacing w:val="-4"/>
        </w:rPr>
        <w:t> </w:t>
      </w:r>
      <w:r>
        <w:rPr/>
        <w:t>operationalized</w:t>
      </w:r>
      <w:r>
        <w:rPr>
          <w:spacing w:val="-3"/>
        </w:rPr>
        <w:t> </w:t>
      </w:r>
      <w:r>
        <w:rPr/>
        <w:t>for</w:t>
      </w:r>
      <w:r>
        <w:rPr>
          <w:spacing w:val="-3"/>
        </w:rPr>
        <w:t> </w:t>
      </w:r>
      <w:r>
        <w:rPr/>
        <w:t>normalization</w:t>
      </w:r>
      <w:r>
        <w:rPr>
          <w:spacing w:val="-3"/>
        </w:rPr>
        <w:t> </w:t>
      </w:r>
      <w:r>
        <w:rPr/>
        <w:t>as presented in Table 4.18a and b. The recoding of the indicators was done to provide differences</w:t>
      </w:r>
      <w:r>
        <w:rPr>
          <w:spacing w:val="-1"/>
        </w:rPr>
        <w:t> </w:t>
      </w:r>
      <w:r>
        <w:rPr/>
        <w:t>in</w:t>
      </w:r>
      <w:r>
        <w:rPr>
          <w:spacing w:val="-3"/>
        </w:rPr>
        <w:t> </w:t>
      </w:r>
      <w:r>
        <w:rPr/>
        <w:t>the</w:t>
      </w:r>
      <w:r>
        <w:rPr>
          <w:spacing w:val="-1"/>
        </w:rPr>
        <w:t> </w:t>
      </w:r>
      <w:r>
        <w:rPr/>
        <w:t>rating</w:t>
      </w:r>
      <w:r>
        <w:rPr>
          <w:spacing w:val="-2"/>
        </w:rPr>
        <w:t> </w:t>
      </w:r>
      <w:r>
        <w:rPr/>
        <w:t>of</w:t>
      </w:r>
      <w:r>
        <w:rPr>
          <w:spacing w:val="-4"/>
        </w:rPr>
        <w:t> </w:t>
      </w:r>
      <w:r>
        <w:rPr/>
        <w:t>respondents’</w:t>
      </w:r>
      <w:r>
        <w:rPr>
          <w:spacing w:val="-3"/>
        </w:rPr>
        <w:t> </w:t>
      </w:r>
      <w:r>
        <w:rPr/>
        <w:t>responses</w:t>
      </w:r>
      <w:r>
        <w:rPr>
          <w:spacing w:val="-2"/>
        </w:rPr>
        <w:t> </w:t>
      </w:r>
      <w:r>
        <w:rPr/>
        <w:t>in</w:t>
      </w:r>
      <w:r>
        <w:rPr>
          <w:spacing w:val="-3"/>
        </w:rPr>
        <w:t> </w:t>
      </w:r>
      <w:r>
        <w:rPr/>
        <w:t>the</w:t>
      </w:r>
      <w:r>
        <w:rPr>
          <w:spacing w:val="-4"/>
        </w:rPr>
        <w:t> </w:t>
      </w:r>
      <w:r>
        <w:rPr/>
        <w:t>questionnaire.</w:t>
      </w:r>
      <w:r>
        <w:rPr>
          <w:spacing w:val="-3"/>
        </w:rPr>
        <w:t> </w:t>
      </w:r>
      <w:r>
        <w:rPr/>
        <w:t>The</w:t>
      </w:r>
      <w:r>
        <w:rPr>
          <w:spacing w:val="-4"/>
        </w:rPr>
        <w:t> </w:t>
      </w:r>
      <w:r>
        <w:rPr/>
        <w:t>recoding</w:t>
      </w:r>
      <w:r>
        <w:rPr>
          <w:spacing w:val="-5"/>
        </w:rPr>
        <w:t> </w:t>
      </w:r>
      <w:r>
        <w:rPr/>
        <w:t>of</w:t>
      </w:r>
      <w:r>
        <w:rPr>
          <w:spacing w:val="-2"/>
        </w:rPr>
        <w:t> </w:t>
      </w:r>
      <w:r>
        <w:rPr/>
        <w:t>R2, A4, A5, C6 and U1 were however done differently as follows:</w:t>
      </w:r>
    </w:p>
    <w:p>
      <w:pPr>
        <w:pStyle w:val="ListParagraph"/>
        <w:numPr>
          <w:ilvl w:val="0"/>
          <w:numId w:val="12"/>
        </w:numPr>
        <w:tabs>
          <w:tab w:pos="986" w:val="left" w:leader="none"/>
        </w:tabs>
        <w:spacing w:line="240" w:lineRule="auto" w:before="2" w:after="0"/>
        <w:ind w:left="986" w:right="0" w:hanging="359"/>
        <w:jc w:val="both"/>
        <w:rPr>
          <w:sz w:val="24"/>
        </w:rPr>
      </w:pPr>
      <w:r>
        <w:rPr>
          <w:sz w:val="24"/>
        </w:rPr>
        <w:t>The</w:t>
      </w:r>
      <w:r>
        <w:rPr>
          <w:spacing w:val="-4"/>
          <w:sz w:val="24"/>
        </w:rPr>
        <w:t> </w:t>
      </w:r>
      <w:r>
        <w:rPr>
          <w:sz w:val="24"/>
        </w:rPr>
        <w:t>recoding</w:t>
      </w:r>
      <w:r>
        <w:rPr>
          <w:spacing w:val="-2"/>
          <w:sz w:val="24"/>
        </w:rPr>
        <w:t> </w:t>
      </w:r>
      <w:r>
        <w:rPr>
          <w:sz w:val="24"/>
        </w:rPr>
        <w:t>of R2</w:t>
      </w:r>
      <w:r>
        <w:rPr>
          <w:spacing w:val="1"/>
          <w:sz w:val="24"/>
        </w:rPr>
        <w:t> </w:t>
      </w:r>
      <w:r>
        <w:rPr>
          <w:sz w:val="24"/>
        </w:rPr>
        <w:t>indicator which</w:t>
      </w:r>
      <w:r>
        <w:rPr>
          <w:spacing w:val="1"/>
          <w:sz w:val="24"/>
        </w:rPr>
        <w:t> </w:t>
      </w:r>
      <w:r>
        <w:rPr>
          <w:sz w:val="24"/>
        </w:rPr>
        <w:t>is water</w:t>
      </w:r>
      <w:r>
        <w:rPr>
          <w:spacing w:val="-1"/>
          <w:sz w:val="24"/>
        </w:rPr>
        <w:t> </w:t>
      </w:r>
      <w:r>
        <w:rPr>
          <w:sz w:val="24"/>
        </w:rPr>
        <w:t>supply</w:t>
      </w:r>
      <w:r>
        <w:rPr>
          <w:spacing w:val="-3"/>
          <w:sz w:val="24"/>
        </w:rPr>
        <w:t> </w:t>
      </w:r>
      <w:r>
        <w:rPr>
          <w:sz w:val="24"/>
        </w:rPr>
        <w:t>reliability</w:t>
      </w:r>
      <w:r>
        <w:rPr>
          <w:spacing w:val="-5"/>
          <w:sz w:val="24"/>
        </w:rPr>
        <w:t> </w:t>
      </w:r>
      <w:r>
        <w:rPr>
          <w:sz w:val="24"/>
        </w:rPr>
        <w:t>(hours</w:t>
      </w:r>
      <w:r>
        <w:rPr>
          <w:spacing w:val="1"/>
          <w:sz w:val="24"/>
        </w:rPr>
        <w:t> </w:t>
      </w:r>
      <w:r>
        <w:rPr>
          <w:sz w:val="24"/>
        </w:rPr>
        <w:t>not</w:t>
      </w:r>
      <w:r>
        <w:rPr>
          <w:spacing w:val="1"/>
          <w:sz w:val="24"/>
        </w:rPr>
        <w:t> </w:t>
      </w:r>
      <w:r>
        <w:rPr>
          <w:spacing w:val="-2"/>
          <w:sz w:val="24"/>
        </w:rPr>
        <w:t>operational</w:t>
      </w:r>
    </w:p>
    <w:p>
      <w:pPr>
        <w:pStyle w:val="BodyText"/>
        <w:spacing w:line="307" w:lineRule="exact" w:before="236"/>
        <w:ind w:left="987"/>
        <w:rPr>
          <w:rFonts w:ascii="Cambria Math" w:hAnsi="Cambria Math" w:eastAsia="Cambria Math"/>
          <w:sz w:val="14"/>
        </w:rPr>
      </w:pPr>
      <w:r>
        <w:rPr/>
        <w:t>per</w:t>
      </w:r>
      <w:r>
        <w:rPr>
          <w:spacing w:val="-3"/>
        </w:rPr>
        <w:t> </w:t>
      </w:r>
      <w:r>
        <w:rPr/>
        <w:t>day) was</w:t>
      </w:r>
      <w:r>
        <w:rPr>
          <w:spacing w:val="-1"/>
        </w:rPr>
        <w:t> </w:t>
      </w:r>
      <w:r>
        <w:rPr/>
        <w:t>derived</w:t>
      </w:r>
      <w:r>
        <w:rPr>
          <w:spacing w:val="-1"/>
        </w:rPr>
        <w:t> </w:t>
      </w:r>
      <w:r>
        <w:rPr/>
        <w:t>using:</w:t>
      </w:r>
      <w:r>
        <w:rPr>
          <w:spacing w:val="56"/>
        </w:rPr>
        <w:t> </w:t>
      </w:r>
      <w:r>
        <w:rPr>
          <w:rFonts w:ascii="Cambria Math" w:hAnsi="Cambria Math" w:eastAsia="Cambria Math"/>
        </w:rPr>
        <w:t>𝑅2</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66"/>
        </w:rPr>
        <w:t> </w:t>
      </w:r>
      <w:r>
        <w:rPr>
          <w:rFonts w:ascii="Cambria Math" w:hAnsi="Cambria Math" w:eastAsia="Cambria Math"/>
        </w:rPr>
        <w:t>1</w:t>
      </w:r>
      <w:r>
        <w:rPr>
          <w:rFonts w:ascii="Cambria Math" w:hAnsi="Cambria Math" w:eastAsia="Cambria Math"/>
          <w:spacing w:val="-2"/>
        </w:rPr>
        <w:t> </w:t>
      </w:r>
      <w:r>
        <w:rPr>
          <w:rFonts w:ascii="Cambria Math" w:hAnsi="Cambria Math" w:eastAsia="Cambria Math"/>
        </w:rPr>
        <w:t>−</w:t>
      </w:r>
      <w:r>
        <w:rPr>
          <w:rFonts w:ascii="Cambria Math" w:hAnsi="Cambria Math" w:eastAsia="Cambria Math"/>
          <w:spacing w:val="1"/>
        </w:rPr>
        <w:t> </w:t>
      </w:r>
      <w:r>
        <w:rPr>
          <w:spacing w:val="-19"/>
          <w:position w:val="14"/>
          <w:sz w:val="17"/>
          <w:u w:val="single"/>
        </w:rPr>
        <w:t> </w:t>
      </w:r>
      <w:r>
        <w:rPr>
          <w:rFonts w:ascii="Cambria Math" w:hAnsi="Cambria Math" w:eastAsia="Cambria Math"/>
          <w:spacing w:val="-5"/>
          <w:position w:val="14"/>
          <w:sz w:val="17"/>
          <w:u w:val="single"/>
        </w:rPr>
        <w:t>x</w:t>
      </w:r>
      <w:r>
        <w:rPr>
          <w:rFonts w:ascii="Cambria Math" w:hAnsi="Cambria Math" w:eastAsia="Cambria Math"/>
          <w:spacing w:val="-5"/>
          <w:position w:val="10"/>
          <w:sz w:val="14"/>
          <w:u w:val="single"/>
        </w:rPr>
        <w:t>i</w:t>
      </w:r>
    </w:p>
    <w:p>
      <w:pPr>
        <w:spacing w:line="152" w:lineRule="exact" w:before="0"/>
        <w:ind w:left="479" w:right="470" w:firstLine="0"/>
        <w:jc w:val="center"/>
        <w:rPr>
          <w:rFonts w:ascii="Cambria Math"/>
          <w:sz w:val="17"/>
        </w:rPr>
      </w:pPr>
      <w:r>
        <w:rPr>
          <w:rFonts w:ascii="Cambria Math"/>
          <w:spacing w:val="-5"/>
          <w:w w:val="105"/>
          <w:sz w:val="17"/>
        </w:rPr>
        <w:t>24</w:t>
      </w:r>
    </w:p>
    <w:p>
      <w:pPr>
        <w:pStyle w:val="BodyText"/>
        <w:spacing w:before="42"/>
        <w:rPr>
          <w:rFonts w:ascii="Cambria Math"/>
          <w:sz w:val="17"/>
        </w:rPr>
      </w:pPr>
    </w:p>
    <w:p>
      <w:pPr>
        <w:pStyle w:val="BodyText"/>
        <w:spacing w:line="477" w:lineRule="auto"/>
        <w:ind w:left="267" w:right="730" w:firstLine="59"/>
        <w:jc w:val="both"/>
      </w:pPr>
      <w:r>
        <w:rPr/>
        <w:t>Where </w:t>
      </w:r>
      <w:r>
        <w:rPr>
          <w:rFonts w:ascii="Cambria Math"/>
        </w:rPr>
        <w:t>x</w:t>
      </w:r>
      <w:r>
        <w:rPr>
          <w:rFonts w:ascii="Cambria Math"/>
          <w:vertAlign w:val="subscript"/>
        </w:rPr>
        <w:t>i</w:t>
      </w:r>
      <w:r>
        <w:rPr>
          <w:rFonts w:ascii="Cambria Math"/>
          <w:vertAlign w:val="baseline"/>
        </w:rPr>
        <w:t> </w:t>
      </w:r>
      <w:r>
        <w:rPr>
          <w:vertAlign w:val="baseline"/>
        </w:rPr>
        <w:t>is the number of hours in which water supply is operational in a day (within 24 </w:t>
      </w:r>
      <w:r>
        <w:rPr>
          <w:spacing w:val="-2"/>
          <w:vertAlign w:val="baseline"/>
        </w:rPr>
        <w:t>hours).</w:t>
      </w:r>
    </w:p>
    <w:p>
      <w:pPr>
        <w:pStyle w:val="ListParagraph"/>
        <w:numPr>
          <w:ilvl w:val="0"/>
          <w:numId w:val="12"/>
        </w:numPr>
        <w:tabs>
          <w:tab w:pos="987" w:val="left" w:leader="none"/>
        </w:tabs>
        <w:spacing w:line="475" w:lineRule="auto" w:before="5" w:after="0"/>
        <w:ind w:left="987" w:right="728" w:hanging="360"/>
        <w:jc w:val="both"/>
        <w:rPr>
          <w:sz w:val="24"/>
        </w:rPr>
      </w:pPr>
      <w:r>
        <w:rPr>
          <w:sz w:val="24"/>
        </w:rPr>
        <w:t>A4 indicator (number of one-way trips to water source) which is a continuous scale was converted to a categorical form</w:t>
      </w:r>
      <w:r>
        <w:rPr>
          <w:spacing w:val="-1"/>
          <w:sz w:val="24"/>
        </w:rPr>
        <w:t> </w:t>
      </w:r>
      <w:r>
        <w:rPr>
          <w:sz w:val="24"/>
        </w:rPr>
        <w:t>as follows: ≤ 3 trips takes a</w:t>
      </w:r>
      <w:r>
        <w:rPr>
          <w:spacing w:val="-1"/>
          <w:sz w:val="24"/>
        </w:rPr>
        <w:t> </w:t>
      </w:r>
      <w:r>
        <w:rPr>
          <w:sz w:val="24"/>
        </w:rPr>
        <w:t>score</w:t>
      </w:r>
      <w:r>
        <w:rPr>
          <w:spacing w:val="-1"/>
          <w:sz w:val="24"/>
        </w:rPr>
        <w:t> </w:t>
      </w:r>
      <w:r>
        <w:rPr>
          <w:sz w:val="24"/>
        </w:rPr>
        <w:t>rating</w:t>
      </w:r>
      <w:r>
        <w:rPr>
          <w:spacing w:val="-3"/>
          <w:sz w:val="24"/>
        </w:rPr>
        <w:t> </w:t>
      </w:r>
      <w:r>
        <w:rPr>
          <w:sz w:val="24"/>
        </w:rPr>
        <w:t>of</w:t>
      </w:r>
      <w:r>
        <w:rPr>
          <w:spacing w:val="-1"/>
          <w:sz w:val="24"/>
        </w:rPr>
        <w:t> </w:t>
      </w:r>
      <w:r>
        <w:rPr>
          <w:sz w:val="24"/>
        </w:rPr>
        <w:t>2; 4- 7</w:t>
      </w:r>
      <w:r>
        <w:rPr>
          <w:spacing w:val="-4"/>
          <w:sz w:val="24"/>
        </w:rPr>
        <w:t> </w:t>
      </w:r>
      <w:r>
        <w:rPr>
          <w:sz w:val="24"/>
        </w:rPr>
        <w:t>trips</w:t>
      </w:r>
      <w:r>
        <w:rPr>
          <w:spacing w:val="-3"/>
          <w:sz w:val="24"/>
        </w:rPr>
        <w:t> </w:t>
      </w:r>
      <w:r>
        <w:rPr>
          <w:sz w:val="24"/>
        </w:rPr>
        <w:t>take</w:t>
      </w:r>
      <w:r>
        <w:rPr>
          <w:spacing w:val="-3"/>
          <w:sz w:val="24"/>
        </w:rPr>
        <w:t> </w:t>
      </w:r>
      <w:r>
        <w:rPr>
          <w:sz w:val="24"/>
        </w:rPr>
        <w:t>a</w:t>
      </w:r>
      <w:r>
        <w:rPr>
          <w:spacing w:val="-5"/>
          <w:sz w:val="24"/>
        </w:rPr>
        <w:t> </w:t>
      </w:r>
      <w:r>
        <w:rPr>
          <w:sz w:val="24"/>
        </w:rPr>
        <w:t>score</w:t>
      </w:r>
      <w:r>
        <w:rPr>
          <w:spacing w:val="-6"/>
          <w:sz w:val="24"/>
        </w:rPr>
        <w:t> </w:t>
      </w:r>
      <w:r>
        <w:rPr>
          <w:sz w:val="24"/>
        </w:rPr>
        <w:t>of</w:t>
      </w:r>
      <w:r>
        <w:rPr>
          <w:spacing w:val="-5"/>
          <w:sz w:val="24"/>
        </w:rPr>
        <w:t> </w:t>
      </w:r>
      <w:r>
        <w:rPr>
          <w:sz w:val="24"/>
        </w:rPr>
        <w:t>1,</w:t>
      </w:r>
      <w:r>
        <w:rPr>
          <w:spacing w:val="-1"/>
          <w:sz w:val="24"/>
        </w:rPr>
        <w:t> </w:t>
      </w:r>
      <w:r>
        <w:rPr>
          <w:sz w:val="24"/>
        </w:rPr>
        <w:t>while</w:t>
      </w:r>
      <w:r>
        <w:rPr>
          <w:spacing w:val="-4"/>
          <w:sz w:val="24"/>
        </w:rPr>
        <w:t> </w:t>
      </w:r>
      <w:r>
        <w:rPr>
          <w:sz w:val="24"/>
        </w:rPr>
        <w:t>≥</w:t>
      </w:r>
      <w:r>
        <w:rPr>
          <w:spacing w:val="-4"/>
          <w:sz w:val="24"/>
        </w:rPr>
        <w:t> </w:t>
      </w:r>
      <w:r>
        <w:rPr>
          <w:sz w:val="24"/>
        </w:rPr>
        <w:t>8</w:t>
      </w:r>
      <w:r>
        <w:rPr>
          <w:spacing w:val="-4"/>
          <w:sz w:val="24"/>
        </w:rPr>
        <w:t> </w:t>
      </w:r>
      <w:r>
        <w:rPr>
          <w:sz w:val="24"/>
        </w:rPr>
        <w:t>trips</w:t>
      </w:r>
      <w:r>
        <w:rPr>
          <w:spacing w:val="-3"/>
          <w:sz w:val="24"/>
        </w:rPr>
        <w:t> </w:t>
      </w:r>
      <w:r>
        <w:rPr>
          <w:sz w:val="24"/>
        </w:rPr>
        <w:t>take</w:t>
      </w:r>
      <w:r>
        <w:rPr>
          <w:spacing w:val="-2"/>
          <w:sz w:val="24"/>
        </w:rPr>
        <w:t> </w:t>
      </w:r>
      <w:r>
        <w:rPr>
          <w:sz w:val="24"/>
        </w:rPr>
        <w:t>a</w:t>
      </w:r>
      <w:r>
        <w:rPr>
          <w:spacing w:val="-5"/>
          <w:sz w:val="24"/>
        </w:rPr>
        <w:t> </w:t>
      </w:r>
      <w:r>
        <w:rPr>
          <w:sz w:val="24"/>
        </w:rPr>
        <w:t>score</w:t>
      </w:r>
      <w:r>
        <w:rPr>
          <w:spacing w:val="-6"/>
          <w:sz w:val="24"/>
        </w:rPr>
        <w:t> </w:t>
      </w:r>
      <w:r>
        <w:rPr>
          <w:sz w:val="24"/>
        </w:rPr>
        <w:t>of</w:t>
      </w:r>
      <w:r>
        <w:rPr>
          <w:spacing w:val="-2"/>
          <w:sz w:val="24"/>
        </w:rPr>
        <w:t> </w:t>
      </w:r>
      <w:r>
        <w:rPr>
          <w:sz w:val="24"/>
        </w:rPr>
        <w:t>0</w:t>
      </w:r>
      <w:r>
        <w:rPr>
          <w:spacing w:val="-4"/>
          <w:sz w:val="24"/>
        </w:rPr>
        <w:t> </w:t>
      </w:r>
      <w:r>
        <w:rPr>
          <w:sz w:val="24"/>
        </w:rPr>
        <w:t>(trips</w:t>
      </w:r>
      <w:r>
        <w:rPr>
          <w:spacing w:val="-3"/>
          <w:sz w:val="24"/>
        </w:rPr>
        <w:t> </w:t>
      </w:r>
      <w:r>
        <w:rPr>
          <w:sz w:val="24"/>
        </w:rPr>
        <w:t>of</w:t>
      </w:r>
      <w:r>
        <w:rPr>
          <w:spacing w:val="-5"/>
          <w:sz w:val="24"/>
        </w:rPr>
        <w:t> </w:t>
      </w:r>
      <w:r>
        <w:rPr>
          <w:sz w:val="24"/>
        </w:rPr>
        <w:t>8</w:t>
      </w:r>
      <w:r>
        <w:rPr>
          <w:spacing w:val="-1"/>
          <w:sz w:val="24"/>
        </w:rPr>
        <w:t> </w:t>
      </w:r>
      <w:r>
        <w:rPr>
          <w:sz w:val="24"/>
        </w:rPr>
        <w:t>and</w:t>
      </w:r>
      <w:r>
        <w:rPr>
          <w:spacing w:val="-1"/>
          <w:sz w:val="24"/>
        </w:rPr>
        <w:t> </w:t>
      </w:r>
      <w:r>
        <w:rPr>
          <w:sz w:val="24"/>
        </w:rPr>
        <w:t>above</w:t>
      </w:r>
      <w:r>
        <w:rPr>
          <w:spacing w:val="-5"/>
          <w:sz w:val="24"/>
        </w:rPr>
        <w:t> </w:t>
      </w:r>
      <w:r>
        <w:rPr>
          <w:sz w:val="24"/>
        </w:rPr>
        <w:t>exceed the mean trip of 7 in the study area and signify the highest level of stress).</w:t>
      </w:r>
    </w:p>
    <w:p>
      <w:pPr>
        <w:pStyle w:val="ListParagraph"/>
        <w:numPr>
          <w:ilvl w:val="0"/>
          <w:numId w:val="12"/>
        </w:numPr>
        <w:tabs>
          <w:tab w:pos="987" w:val="left" w:leader="none"/>
        </w:tabs>
        <w:spacing w:line="463" w:lineRule="auto" w:before="4" w:after="0"/>
        <w:ind w:left="987" w:right="725" w:hanging="360"/>
        <w:jc w:val="both"/>
        <w:rPr>
          <w:sz w:val="24"/>
        </w:rPr>
      </w:pPr>
      <w:r>
        <w:rPr>
          <w:sz w:val="24"/>
        </w:rPr>
        <w:t>A5 indicator (presence of water conflict at water points) was recoded to take a reciprocal value such that yes = 0 and No = 1.</w:t>
      </w:r>
    </w:p>
    <w:p>
      <w:pPr>
        <w:pStyle w:val="ListParagraph"/>
        <w:numPr>
          <w:ilvl w:val="0"/>
          <w:numId w:val="12"/>
        </w:numPr>
        <w:tabs>
          <w:tab w:pos="987" w:val="left" w:leader="none"/>
        </w:tabs>
        <w:spacing w:line="470" w:lineRule="auto" w:before="20" w:after="0"/>
        <w:ind w:left="987" w:right="730" w:hanging="360"/>
        <w:jc w:val="both"/>
        <w:rPr>
          <w:sz w:val="24"/>
        </w:rPr>
      </w:pPr>
      <w:r>
        <w:rPr>
          <w:sz w:val="24"/>
        </w:rPr>
        <w:t>C6</w:t>
      </w:r>
      <w:r>
        <w:rPr>
          <w:spacing w:val="-15"/>
          <w:sz w:val="24"/>
        </w:rPr>
        <w:t> </w:t>
      </w:r>
      <w:r>
        <w:rPr>
          <w:sz w:val="24"/>
        </w:rPr>
        <w:t>indicator</w:t>
      </w:r>
      <w:r>
        <w:rPr>
          <w:spacing w:val="-15"/>
          <w:sz w:val="24"/>
        </w:rPr>
        <w:t> </w:t>
      </w:r>
      <w:r>
        <w:rPr>
          <w:sz w:val="24"/>
        </w:rPr>
        <w:t>(household</w:t>
      </w:r>
      <w:r>
        <w:rPr>
          <w:spacing w:val="-15"/>
          <w:sz w:val="24"/>
        </w:rPr>
        <w:t> </w:t>
      </w:r>
      <w:r>
        <w:rPr>
          <w:sz w:val="24"/>
        </w:rPr>
        <w:t>aggregate</w:t>
      </w:r>
      <w:r>
        <w:rPr>
          <w:spacing w:val="-15"/>
          <w:sz w:val="24"/>
        </w:rPr>
        <w:t> </w:t>
      </w:r>
      <w:r>
        <w:rPr>
          <w:sz w:val="24"/>
        </w:rPr>
        <w:t>expenditure</w:t>
      </w:r>
      <w:r>
        <w:rPr>
          <w:spacing w:val="-15"/>
          <w:sz w:val="24"/>
        </w:rPr>
        <w:t> </w:t>
      </w:r>
      <w:r>
        <w:rPr>
          <w:sz w:val="24"/>
        </w:rPr>
        <w:t>on</w:t>
      </w:r>
      <w:r>
        <w:rPr>
          <w:spacing w:val="-15"/>
          <w:sz w:val="24"/>
        </w:rPr>
        <w:t> </w:t>
      </w:r>
      <w:r>
        <w:rPr>
          <w:sz w:val="24"/>
        </w:rPr>
        <w:t>drinking</w:t>
      </w:r>
      <w:r>
        <w:rPr>
          <w:spacing w:val="-15"/>
          <w:sz w:val="24"/>
        </w:rPr>
        <w:t> </w:t>
      </w:r>
      <w:r>
        <w:rPr>
          <w:sz w:val="24"/>
        </w:rPr>
        <w:t>and</w:t>
      </w:r>
      <w:r>
        <w:rPr>
          <w:spacing w:val="-15"/>
          <w:sz w:val="24"/>
        </w:rPr>
        <w:t> </w:t>
      </w:r>
      <w:r>
        <w:rPr>
          <w:sz w:val="24"/>
        </w:rPr>
        <w:t>domestic</w:t>
      </w:r>
      <w:r>
        <w:rPr>
          <w:spacing w:val="-14"/>
          <w:sz w:val="24"/>
        </w:rPr>
        <w:t> </w:t>
      </w:r>
      <w:r>
        <w:rPr>
          <w:sz w:val="24"/>
        </w:rPr>
        <w:t>water).</w:t>
      </w:r>
      <w:r>
        <w:rPr>
          <w:spacing w:val="-15"/>
          <w:sz w:val="24"/>
        </w:rPr>
        <w:t> </w:t>
      </w:r>
      <w:r>
        <w:rPr>
          <w:sz w:val="24"/>
        </w:rPr>
        <w:t>This is the sum of household expenditure on drinking and domestic water to depict the household cost of coping with unreliable public water supply.</w:t>
      </w:r>
    </w:p>
    <w:p>
      <w:pPr>
        <w:spacing w:after="0" w:line="470" w:lineRule="auto"/>
        <w:jc w:val="both"/>
        <w:rPr>
          <w:sz w:val="24"/>
        </w:rPr>
        <w:sectPr>
          <w:pgSz w:w="12240" w:h="15840"/>
          <w:pgMar w:header="0" w:footer="1068" w:top="1340" w:bottom="1260" w:left="1720" w:right="680"/>
        </w:sectPr>
      </w:pPr>
    </w:p>
    <w:p>
      <w:pPr>
        <w:pStyle w:val="ListParagraph"/>
        <w:numPr>
          <w:ilvl w:val="0"/>
          <w:numId w:val="12"/>
        </w:numPr>
        <w:tabs>
          <w:tab w:pos="987" w:val="left" w:leader="none"/>
        </w:tabs>
        <w:spacing w:line="463" w:lineRule="auto" w:before="75" w:after="0"/>
        <w:ind w:left="987" w:right="725" w:hanging="360"/>
        <w:jc w:val="left"/>
        <w:rPr>
          <w:sz w:val="24"/>
        </w:rPr>
      </w:pPr>
      <w:r>
        <w:rPr>
          <w:sz w:val="24"/>
        </w:rPr>
        <w:t>U1 indicator (domestic water consumption per capita per day) was</w:t>
      </w:r>
      <w:r>
        <w:rPr>
          <w:spacing w:val="33"/>
          <w:sz w:val="24"/>
        </w:rPr>
        <w:t> </w:t>
      </w:r>
      <w:r>
        <w:rPr>
          <w:sz w:val="24"/>
        </w:rPr>
        <w:t>recoded</w:t>
      </w:r>
      <w:r>
        <w:rPr>
          <w:spacing w:val="27"/>
          <w:sz w:val="24"/>
        </w:rPr>
        <w:t> </w:t>
      </w:r>
      <w:r>
        <w:rPr>
          <w:sz w:val="24"/>
        </w:rPr>
        <w:t>using</w:t>
      </w:r>
      <w:r>
        <w:rPr>
          <w:spacing w:val="80"/>
          <w:sz w:val="24"/>
        </w:rPr>
        <w:t> </w:t>
      </w:r>
      <w:r>
        <w:rPr>
          <w:sz w:val="24"/>
        </w:rPr>
        <w:t>similar procedure outlined in Sullivan and Jemmali (2014):</w:t>
      </w:r>
    </w:p>
    <w:p>
      <w:pPr>
        <w:spacing w:after="0" w:line="463" w:lineRule="auto"/>
        <w:jc w:val="left"/>
        <w:rPr>
          <w:sz w:val="24"/>
        </w:rPr>
        <w:sectPr>
          <w:pgSz w:w="12240" w:h="15840"/>
          <w:pgMar w:header="0" w:footer="1068" w:top="1320" w:bottom="1260" w:left="1720" w:right="680"/>
        </w:sectPr>
      </w:pPr>
    </w:p>
    <w:p>
      <w:pPr>
        <w:spacing w:line="210" w:lineRule="exact" w:before="0"/>
        <w:ind w:left="1040" w:right="0" w:firstLine="0"/>
        <w:jc w:val="left"/>
        <w:rPr>
          <w:rFonts w:ascii="Cambria Math" w:eastAsia="Cambria Math"/>
          <w:sz w:val="24"/>
        </w:rPr>
      </w:pPr>
      <w:r>
        <w:rPr>
          <w:rFonts w:ascii="Cambria Math" w:eastAsia="Cambria Math"/>
          <w:w w:val="105"/>
          <w:position w:val="14"/>
          <w:sz w:val="17"/>
          <w:u w:val="single"/>
        </w:rPr>
        <w:t>x</w:t>
      </w:r>
      <w:r>
        <w:rPr>
          <w:rFonts w:ascii="Cambria Math" w:eastAsia="Cambria Math"/>
          <w:w w:val="105"/>
          <w:position w:val="10"/>
          <w:sz w:val="14"/>
          <w:u w:val="single"/>
        </w:rPr>
        <w:t>i</w:t>
      </w:r>
      <w:r>
        <w:rPr>
          <w:rFonts w:ascii="Cambria Math" w:eastAsia="Cambria Math"/>
          <w:spacing w:val="25"/>
          <w:w w:val="105"/>
          <w:position w:val="10"/>
          <w:sz w:val="14"/>
        </w:rPr>
        <w:t> </w:t>
      </w:r>
      <w:r>
        <w:rPr>
          <w:rFonts w:ascii="Cambria Math" w:eastAsia="Cambria Math"/>
          <w:w w:val="105"/>
          <w:sz w:val="24"/>
        </w:rPr>
        <w:t>,</w:t>
      </w:r>
      <w:r>
        <w:rPr>
          <w:rFonts w:ascii="Cambria Math" w:eastAsia="Cambria Math"/>
          <w:spacing w:val="-17"/>
          <w:w w:val="105"/>
          <w:sz w:val="24"/>
        </w:rPr>
        <w:t> </w:t>
      </w:r>
      <w:r>
        <w:rPr>
          <w:rFonts w:ascii="Cambria Math" w:eastAsia="Cambria Math"/>
          <w:w w:val="105"/>
          <w:sz w:val="24"/>
        </w:rPr>
        <w:t>where</w:t>
      </w:r>
      <w:r>
        <w:rPr>
          <w:rFonts w:ascii="Cambria Math" w:eastAsia="Cambria Math"/>
          <w:spacing w:val="39"/>
          <w:w w:val="105"/>
          <w:sz w:val="24"/>
        </w:rPr>
        <w:t> </w:t>
      </w:r>
      <w:r>
        <w:rPr>
          <w:rFonts w:ascii="Cambria Math" w:eastAsia="Cambria Math"/>
          <w:spacing w:val="-10"/>
          <w:w w:val="105"/>
          <w:sz w:val="24"/>
        </w:rPr>
        <w:t>𝑥</w:t>
      </w:r>
    </w:p>
    <w:p>
      <w:pPr>
        <w:pStyle w:val="BodyText"/>
        <w:spacing w:line="144" w:lineRule="exact" w:before="66"/>
        <w:ind w:left="101"/>
      </w:pPr>
      <w:r>
        <w:rPr/>
        <w:br w:type="column"/>
      </w:r>
      <w:r>
        <w:rPr>
          <w:rFonts w:ascii="Cambria Math" w:hAnsi="Cambria Math"/>
        </w:rPr>
        <w:t>≤</w:t>
      </w:r>
      <w:r>
        <w:rPr>
          <w:rFonts w:ascii="Cambria Math" w:hAnsi="Cambria Math"/>
          <w:spacing w:val="13"/>
        </w:rPr>
        <w:t> </w:t>
      </w:r>
      <w:r>
        <w:rPr>
          <w:rFonts w:ascii="Cambria Math" w:hAnsi="Cambria Math"/>
        </w:rPr>
        <w:t>50</w:t>
      </w:r>
      <w:r>
        <w:rPr>
          <w:rFonts w:ascii="Cambria Math" w:hAnsi="Cambria Math"/>
          <w:spacing w:val="-1"/>
        </w:rPr>
        <w:t> </w:t>
      </w:r>
      <w:r>
        <w:rPr>
          <w:spacing w:val="-10"/>
        </w:rPr>
        <w:t>.</w:t>
      </w:r>
    </w:p>
    <w:p>
      <w:pPr>
        <w:spacing w:after="0" w:line="144" w:lineRule="exact"/>
        <w:sectPr>
          <w:type w:val="continuous"/>
          <w:pgSz w:w="12240" w:h="15840"/>
          <w:pgMar w:header="0" w:footer="1068" w:top="1340" w:bottom="1260" w:left="1720" w:right="680"/>
          <w:cols w:num="2" w:equalWidth="0">
            <w:col w:w="2251" w:space="40"/>
            <w:col w:w="7549"/>
          </w:cols>
        </w:sectPr>
      </w:pPr>
    </w:p>
    <w:p>
      <w:pPr>
        <w:tabs>
          <w:tab w:pos="2248" w:val="left" w:leader="none"/>
        </w:tabs>
        <w:spacing w:line="242" w:lineRule="exact" w:before="0"/>
        <w:ind w:left="1040" w:right="0" w:firstLine="0"/>
        <w:jc w:val="left"/>
        <w:rPr>
          <w:rFonts w:ascii="Cambria Math" w:eastAsia="Cambria Math"/>
          <w:sz w:val="17"/>
        </w:rPr>
      </w:pPr>
      <w:r>
        <w:rPr>
          <w:rFonts w:ascii="Cambria Math" w:eastAsia="Cambria Math"/>
          <w:spacing w:val="-5"/>
          <w:w w:val="105"/>
          <w:sz w:val="17"/>
        </w:rPr>
        <w:t>50</w:t>
      </w:r>
      <w:r>
        <w:rPr>
          <w:rFonts w:ascii="Cambria Math" w:eastAsia="Cambria Math"/>
          <w:sz w:val="17"/>
        </w:rPr>
        <w:tab/>
      </w:r>
      <w:r>
        <w:rPr>
          <w:rFonts w:ascii="Cambria Math" w:eastAsia="Cambria Math"/>
          <w:spacing w:val="-10"/>
          <w:w w:val="105"/>
          <w:position w:val="7"/>
          <w:sz w:val="17"/>
        </w:rPr>
        <w:t>𝑖</w:t>
      </w:r>
    </w:p>
    <w:p>
      <w:pPr>
        <w:pStyle w:val="BodyText"/>
        <w:spacing w:line="480" w:lineRule="auto" w:before="239"/>
        <w:ind w:left="987"/>
      </w:pPr>
      <w:r>
        <w:rPr/>
        <w:t>This</w:t>
      </w:r>
      <w:r>
        <w:rPr>
          <w:spacing w:val="25"/>
        </w:rPr>
        <w:t> </w:t>
      </w:r>
      <w:r>
        <w:rPr/>
        <w:t>threshold</w:t>
      </w:r>
      <w:r>
        <w:rPr>
          <w:spacing w:val="24"/>
        </w:rPr>
        <w:t> </w:t>
      </w:r>
      <w:r>
        <w:rPr/>
        <w:t>implies that</w:t>
      </w:r>
      <w:r>
        <w:rPr>
          <w:spacing w:val="25"/>
        </w:rPr>
        <w:t> </w:t>
      </w:r>
      <w:r>
        <w:rPr/>
        <w:t>any household</w:t>
      </w:r>
      <w:r>
        <w:rPr>
          <w:spacing w:val="25"/>
        </w:rPr>
        <w:t> </w:t>
      </w:r>
      <w:r>
        <w:rPr/>
        <w:t>with</w:t>
      </w:r>
      <w:r>
        <w:rPr>
          <w:spacing w:val="25"/>
        </w:rPr>
        <w:t> </w:t>
      </w:r>
      <w:r>
        <w:rPr/>
        <w:t>less</w:t>
      </w:r>
      <w:r>
        <w:rPr>
          <w:spacing w:val="24"/>
        </w:rPr>
        <w:t> </w:t>
      </w:r>
      <w:r>
        <w:rPr/>
        <w:t>than</w:t>
      </w:r>
      <w:r>
        <w:rPr>
          <w:spacing w:val="24"/>
        </w:rPr>
        <w:t> </w:t>
      </w:r>
      <w:r>
        <w:rPr/>
        <w:t>50lpcd</w:t>
      </w:r>
      <w:r>
        <w:rPr>
          <w:spacing w:val="24"/>
        </w:rPr>
        <w:t> </w:t>
      </w:r>
      <w:r>
        <w:rPr/>
        <w:t>is</w:t>
      </w:r>
      <w:r>
        <w:rPr>
          <w:spacing w:val="25"/>
        </w:rPr>
        <w:t> </w:t>
      </w:r>
      <w:r>
        <w:rPr/>
        <w:t>suffering from domestic water use.</w:t>
      </w:r>
    </w:p>
    <w:p>
      <w:pPr>
        <w:pStyle w:val="BodyText"/>
        <w:spacing w:line="214" w:lineRule="exact"/>
        <w:ind w:left="1626"/>
        <w:rPr>
          <w:rFonts w:ascii="Cambria Math" w:hAnsi="Cambria Math"/>
        </w:rPr>
      </w:pPr>
      <w:r>
        <w:rPr>
          <w:rFonts w:ascii="Cambria Math" w:hAnsi="Cambria Math"/>
          <w:w w:val="105"/>
        </w:rPr>
        <w:t>x</w:t>
      </w:r>
      <w:r>
        <w:rPr>
          <w:rFonts w:ascii="Cambria Math" w:hAnsi="Cambria Math"/>
          <w:w w:val="105"/>
          <w:vertAlign w:val="subscript"/>
        </w:rPr>
        <w:t>i</w:t>
      </w:r>
      <w:r>
        <w:rPr>
          <w:rFonts w:ascii="Cambria Math" w:hAnsi="Cambria Math"/>
          <w:spacing w:val="6"/>
          <w:w w:val="105"/>
          <w:vertAlign w:val="baseline"/>
        </w:rPr>
        <w:t> </w:t>
      </w:r>
      <w:r>
        <w:rPr>
          <w:rFonts w:ascii="Cambria Math" w:hAnsi="Cambria Math"/>
          <w:w w:val="105"/>
          <w:vertAlign w:val="baseline"/>
        </w:rPr>
        <w:t>−</w:t>
      </w:r>
      <w:r>
        <w:rPr>
          <w:rFonts w:ascii="Cambria Math" w:hAnsi="Cambria Math"/>
          <w:spacing w:val="-4"/>
          <w:w w:val="105"/>
          <w:vertAlign w:val="baseline"/>
        </w:rPr>
        <w:t> </w:t>
      </w:r>
      <w:r>
        <w:rPr>
          <w:rFonts w:ascii="Cambria Math" w:hAnsi="Cambria Math"/>
          <w:spacing w:val="-5"/>
          <w:w w:val="105"/>
          <w:vertAlign w:val="baseline"/>
        </w:rPr>
        <w:t>50</w:t>
      </w:r>
    </w:p>
    <w:p>
      <w:pPr>
        <w:pStyle w:val="BodyText"/>
        <w:spacing w:line="187" w:lineRule="auto"/>
        <w:ind w:left="987"/>
        <w:rPr>
          <w:rFonts w:ascii="Cambria Math" w:hAnsi="Cambria Math" w:eastAsia="Cambria Math"/>
        </w:rPr>
      </w:pPr>
      <w:r>
        <w:rPr/>
        <mc:AlternateContent>
          <mc:Choice Requires="wps">
            <w:drawing>
              <wp:anchor distT="0" distB="0" distL="0" distR="0" allowOverlap="1" layoutInCell="1" locked="0" behindDoc="1" simplePos="0" relativeHeight="482502656">
                <wp:simplePos x="0" y="0"/>
                <wp:positionH relativeFrom="page">
                  <wp:posOffset>1986026</wp:posOffset>
                </wp:positionH>
                <wp:positionV relativeFrom="paragraph">
                  <wp:posOffset>64619</wp:posOffset>
                </wp:positionV>
                <wp:extent cx="747395" cy="1079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747395" cy="10795"/>
                        </a:xfrm>
                        <a:custGeom>
                          <a:avLst/>
                          <a:gdLst/>
                          <a:ahLst/>
                          <a:cxnLst/>
                          <a:rect l="l" t="t" r="r" b="b"/>
                          <a:pathLst>
                            <a:path w="747395" h="10795">
                              <a:moveTo>
                                <a:pt x="747064" y="0"/>
                              </a:moveTo>
                              <a:lnTo>
                                <a:pt x="0" y="0"/>
                              </a:lnTo>
                              <a:lnTo>
                                <a:pt x="0" y="10668"/>
                              </a:lnTo>
                              <a:lnTo>
                                <a:pt x="747064" y="10668"/>
                              </a:lnTo>
                              <a:lnTo>
                                <a:pt x="747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380005pt;margin-top:5.088147pt;width:58.824pt;height:.84pt;mso-position-horizontal-relative:page;mso-position-vertical-relative:paragraph;z-index:-20813824" id="docshape91" filled="true" fillcolor="#000000" stroked="false">
                <v:fill type="solid"/>
                <w10:wrap type="none"/>
              </v:rect>
            </w:pict>
          </mc:Fallback>
        </mc:AlternateContent>
      </w:r>
      <w:r>
        <w:rPr>
          <w:rFonts w:ascii="Cambria Math" w:hAnsi="Cambria Math" w:eastAsia="Cambria Math"/>
        </w:rPr>
        <w:t>1</w:t>
      </w:r>
      <w:r>
        <w:rPr>
          <w:rFonts w:ascii="Cambria Math" w:hAnsi="Cambria Math" w:eastAsia="Cambria Math"/>
          <w:spacing w:val="1"/>
        </w:rPr>
        <w:t> </w:t>
      </w:r>
      <w:r>
        <w:rPr>
          <w:rFonts w:ascii="Cambria Math" w:hAnsi="Cambria Math" w:eastAsia="Cambria Math"/>
        </w:rPr>
        <w:t>− </w:t>
      </w:r>
      <w:r>
        <w:rPr>
          <w:rFonts w:ascii="Cambria Math" w:hAnsi="Cambria Math" w:eastAsia="Cambria Math"/>
          <w:position w:val="-15"/>
        </w:rPr>
        <w:t>𝑋𝑚𝑎𝑥</w:t>
      </w:r>
      <w:r>
        <w:rPr>
          <w:rFonts w:ascii="Cambria Math" w:hAnsi="Cambria Math" w:eastAsia="Cambria Math"/>
          <w:spacing w:val="4"/>
          <w:position w:val="-15"/>
        </w:rPr>
        <w:t> </w:t>
      </w:r>
      <w:r>
        <w:rPr>
          <w:rFonts w:ascii="Cambria Math" w:hAnsi="Cambria Math" w:eastAsia="Cambria Math"/>
          <w:position w:val="-15"/>
        </w:rPr>
        <w:t>−</w:t>
      </w:r>
      <w:r>
        <w:rPr>
          <w:rFonts w:ascii="Cambria Math" w:hAnsi="Cambria Math" w:eastAsia="Cambria Math"/>
          <w:spacing w:val="1"/>
          <w:position w:val="-15"/>
        </w:rPr>
        <w:t> </w:t>
      </w:r>
      <w:r>
        <w:rPr>
          <w:rFonts w:ascii="Cambria Math" w:hAnsi="Cambria Math" w:eastAsia="Cambria Math"/>
          <w:position w:val="-15"/>
        </w:rPr>
        <w:t>50</w:t>
      </w:r>
      <w:r>
        <w:rPr>
          <w:rFonts w:ascii="Cambria Math" w:hAnsi="Cambria Math" w:eastAsia="Cambria Math"/>
          <w:spacing w:val="-13"/>
          <w:position w:val="-15"/>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rPr>
        <w:t>where</w:t>
      </w:r>
      <w:r>
        <w:rPr>
          <w:rFonts w:ascii="Cambria Math" w:hAnsi="Cambria Math" w:eastAsia="Cambria Math"/>
          <w:spacing w:val="52"/>
        </w:rPr>
        <w:t> </w:t>
      </w:r>
      <w:r>
        <w:rPr>
          <w:rFonts w:ascii="Cambria Math" w:hAnsi="Cambria Math" w:eastAsia="Cambria Math"/>
        </w:rPr>
        <w:t>50</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64"/>
        </w:rPr>
        <w:t> </w:t>
      </w:r>
      <w:r>
        <w:rPr>
          <w:rFonts w:ascii="Cambria Math" w:hAnsi="Cambria Math" w:eastAsia="Cambria Math"/>
        </w:rPr>
        <w:t>𝑥</w:t>
      </w:r>
      <w:r>
        <w:rPr>
          <w:rFonts w:ascii="Cambria Math" w:hAnsi="Cambria Math" w:eastAsia="Cambria Math"/>
          <w:vertAlign w:val="subscript"/>
        </w:rPr>
        <w:t>𝑖</w:t>
      </w:r>
      <w:r>
        <w:rPr>
          <w:rFonts w:ascii="Cambria Math" w:hAnsi="Cambria Math" w:eastAsia="Cambria Math"/>
          <w:spacing w:val="30"/>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spacing w:val="-5"/>
          <w:vertAlign w:val="baseline"/>
        </w:rPr>
        <w:t>150</w:t>
      </w:r>
    </w:p>
    <w:p>
      <w:pPr>
        <w:pStyle w:val="BodyText"/>
        <w:spacing w:line="480" w:lineRule="auto" w:before="235"/>
        <w:ind w:left="987" w:right="724"/>
      </w:pPr>
      <w:r>
        <w:rPr/>
        <w:t>This threshold implies that households with 50 – 150lpcd have adequate water for</w:t>
      </w:r>
      <w:r>
        <w:rPr>
          <w:spacing w:val="40"/>
        </w:rPr>
        <w:t> </w:t>
      </w:r>
      <w:r>
        <w:rPr/>
        <w:t>domestic use.</w:t>
      </w:r>
    </w:p>
    <w:p>
      <w:pPr>
        <w:pStyle w:val="BodyText"/>
        <w:spacing w:line="214" w:lineRule="exact"/>
        <w:ind w:left="1693"/>
        <w:rPr>
          <w:rFonts w:ascii="Cambria Math" w:hAnsi="Cambria Math"/>
        </w:rPr>
      </w:pPr>
      <w:r>
        <w:rPr>
          <w:rFonts w:ascii="Cambria Math" w:hAnsi="Cambria Math"/>
          <w:w w:val="105"/>
        </w:rPr>
        <w:t>x</w:t>
      </w:r>
      <w:r>
        <w:rPr>
          <w:rFonts w:ascii="Cambria Math" w:hAnsi="Cambria Math"/>
          <w:w w:val="105"/>
          <w:vertAlign w:val="subscript"/>
        </w:rPr>
        <w:t>i</w:t>
      </w:r>
      <w:r>
        <w:rPr>
          <w:rFonts w:ascii="Cambria Math" w:hAnsi="Cambria Math"/>
          <w:spacing w:val="4"/>
          <w:w w:val="105"/>
          <w:vertAlign w:val="baseline"/>
        </w:rPr>
        <w:t> </w:t>
      </w:r>
      <w:r>
        <w:rPr>
          <w:rFonts w:ascii="Cambria Math" w:hAnsi="Cambria Math"/>
          <w:w w:val="105"/>
          <w:vertAlign w:val="baseline"/>
        </w:rPr>
        <w:t>−</w:t>
      </w:r>
      <w:r>
        <w:rPr>
          <w:rFonts w:ascii="Cambria Math" w:hAnsi="Cambria Math"/>
          <w:spacing w:val="-4"/>
          <w:w w:val="105"/>
          <w:vertAlign w:val="baseline"/>
        </w:rPr>
        <w:t> </w:t>
      </w:r>
      <w:r>
        <w:rPr>
          <w:rFonts w:ascii="Cambria Math" w:hAnsi="Cambria Math"/>
          <w:spacing w:val="-5"/>
          <w:w w:val="105"/>
          <w:vertAlign w:val="baseline"/>
        </w:rPr>
        <w:t>50</w:t>
      </w:r>
    </w:p>
    <w:p>
      <w:pPr>
        <w:pStyle w:val="BodyText"/>
        <w:spacing w:line="187" w:lineRule="auto"/>
        <w:ind w:left="987"/>
        <w:rPr>
          <w:rFonts w:ascii="Cambria Math" w:hAnsi="Cambria Math" w:eastAsia="Cambria Math"/>
        </w:rPr>
      </w:pPr>
      <w:r>
        <w:rPr/>
        <mc:AlternateContent>
          <mc:Choice Requires="wps">
            <w:drawing>
              <wp:anchor distT="0" distB="0" distL="0" distR="0" allowOverlap="1" layoutInCell="1" locked="0" behindDoc="1" simplePos="0" relativeHeight="482503168">
                <wp:simplePos x="0" y="0"/>
                <wp:positionH relativeFrom="page">
                  <wp:posOffset>1986026</wp:posOffset>
                </wp:positionH>
                <wp:positionV relativeFrom="paragraph">
                  <wp:posOffset>64619</wp:posOffset>
                </wp:positionV>
                <wp:extent cx="832485" cy="1079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832485" cy="10795"/>
                        </a:xfrm>
                        <a:custGeom>
                          <a:avLst/>
                          <a:gdLst/>
                          <a:ahLst/>
                          <a:cxnLst/>
                          <a:rect l="l" t="t" r="r" b="b"/>
                          <a:pathLst>
                            <a:path w="832485" h="10795">
                              <a:moveTo>
                                <a:pt x="832408" y="0"/>
                              </a:moveTo>
                              <a:lnTo>
                                <a:pt x="0" y="0"/>
                              </a:lnTo>
                              <a:lnTo>
                                <a:pt x="0" y="10667"/>
                              </a:lnTo>
                              <a:lnTo>
                                <a:pt x="832408" y="10667"/>
                              </a:lnTo>
                              <a:lnTo>
                                <a:pt x="832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380005pt;margin-top:5.088172pt;width:65.544pt;height:.84pt;mso-position-horizontal-relative:page;mso-position-vertical-relative:paragraph;z-index:-20813312" id="docshape92" filled="true" fillcolor="#000000" stroked="false">
                <v:fill type="solid"/>
                <w10:wrap type="none"/>
              </v:rect>
            </w:pict>
          </mc:Fallback>
        </mc:AlternateContent>
      </w:r>
      <w:r>
        <w:rPr>
          <w:rFonts w:ascii="Cambria Math" w:hAnsi="Cambria Math" w:eastAsia="Cambria Math"/>
        </w:rPr>
        <w:t>1</w:t>
      </w:r>
      <w:r>
        <w:rPr>
          <w:rFonts w:ascii="Cambria Math" w:hAnsi="Cambria Math" w:eastAsia="Cambria Math"/>
          <w:spacing w:val="-1"/>
        </w:rPr>
        <w:t> </w:t>
      </w:r>
      <w:r>
        <w:rPr>
          <w:rFonts w:ascii="Cambria Math" w:hAnsi="Cambria Math" w:eastAsia="Cambria Math"/>
        </w:rPr>
        <w:t>− </w:t>
      </w:r>
      <w:r>
        <w:rPr>
          <w:rFonts w:ascii="Cambria Math" w:hAnsi="Cambria Math" w:eastAsia="Cambria Math"/>
          <w:position w:val="-15"/>
        </w:rPr>
        <w:t>𝑋𝑚𝑎𝑥</w:t>
      </w:r>
      <w:r>
        <w:rPr>
          <w:rFonts w:ascii="Cambria Math" w:hAnsi="Cambria Math" w:eastAsia="Cambria Math"/>
          <w:spacing w:val="3"/>
          <w:position w:val="-15"/>
        </w:rPr>
        <w:t> </w:t>
      </w:r>
      <w:r>
        <w:rPr>
          <w:rFonts w:ascii="Cambria Math" w:hAnsi="Cambria Math" w:eastAsia="Cambria Math"/>
          <w:position w:val="-15"/>
        </w:rPr>
        <w:t>− 150</w:t>
      </w:r>
      <w:r>
        <w:rPr>
          <w:rFonts w:ascii="Cambria Math" w:hAnsi="Cambria Math" w:eastAsia="Cambria Math"/>
          <w:spacing w:val="-12"/>
          <w:position w:val="-15"/>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where</w:t>
      </w:r>
      <w:r>
        <w:rPr>
          <w:rFonts w:ascii="Cambria Math" w:hAnsi="Cambria Math" w:eastAsia="Cambria Math"/>
          <w:spacing w:val="53"/>
        </w:rPr>
        <w:t> </w:t>
      </w:r>
      <w:r>
        <w:rPr>
          <w:rFonts w:ascii="Cambria Math" w:hAnsi="Cambria Math" w:eastAsia="Cambria Math"/>
        </w:rPr>
        <w:t>150</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65"/>
        </w:rPr>
        <w:t> </w:t>
      </w:r>
      <w:r>
        <w:rPr>
          <w:rFonts w:ascii="Cambria Math" w:hAnsi="Cambria Math" w:eastAsia="Cambria Math"/>
          <w:spacing w:val="-5"/>
        </w:rPr>
        <w:t>𝑥</w:t>
      </w:r>
      <w:r>
        <w:rPr>
          <w:rFonts w:ascii="Cambria Math" w:hAnsi="Cambria Math" w:eastAsia="Cambria Math"/>
          <w:spacing w:val="-5"/>
          <w:vertAlign w:val="subscript"/>
        </w:rPr>
        <w:t>𝑖</w:t>
      </w:r>
    </w:p>
    <w:p>
      <w:pPr>
        <w:pStyle w:val="BodyText"/>
        <w:spacing w:line="480" w:lineRule="auto" w:before="235"/>
        <w:ind w:left="987" w:right="701"/>
      </w:pPr>
      <w:r>
        <w:rPr/>
        <w:t>This</w:t>
      </w:r>
      <w:r>
        <w:rPr>
          <w:spacing w:val="-8"/>
        </w:rPr>
        <w:t> </w:t>
      </w:r>
      <w:r>
        <w:rPr/>
        <w:t>threshold</w:t>
      </w:r>
      <w:r>
        <w:rPr>
          <w:spacing w:val="-8"/>
        </w:rPr>
        <w:t> </w:t>
      </w:r>
      <w:r>
        <w:rPr/>
        <w:t>implies</w:t>
      </w:r>
      <w:r>
        <w:rPr>
          <w:spacing w:val="-8"/>
        </w:rPr>
        <w:t> </w:t>
      </w:r>
      <w:r>
        <w:rPr/>
        <w:t>that</w:t>
      </w:r>
      <w:r>
        <w:rPr>
          <w:spacing w:val="-8"/>
        </w:rPr>
        <w:t> </w:t>
      </w:r>
      <w:r>
        <w:rPr/>
        <w:t>households</w:t>
      </w:r>
      <w:r>
        <w:rPr>
          <w:spacing w:val="-8"/>
        </w:rPr>
        <w:t> </w:t>
      </w:r>
      <w:r>
        <w:rPr/>
        <w:t>with</w:t>
      </w:r>
      <w:r>
        <w:rPr>
          <w:spacing w:val="-8"/>
        </w:rPr>
        <w:t> </w:t>
      </w:r>
      <w:r>
        <w:rPr/>
        <w:t>more</w:t>
      </w:r>
      <w:r>
        <w:rPr>
          <w:spacing w:val="-7"/>
        </w:rPr>
        <w:t> </w:t>
      </w:r>
      <w:r>
        <w:rPr/>
        <w:t>than</w:t>
      </w:r>
      <w:r>
        <w:rPr>
          <w:spacing w:val="-9"/>
        </w:rPr>
        <w:t> </w:t>
      </w:r>
      <w:r>
        <w:rPr/>
        <w:t>150</w:t>
      </w:r>
      <w:r>
        <w:rPr>
          <w:spacing w:val="-8"/>
        </w:rPr>
        <w:t> </w:t>
      </w:r>
      <w:r>
        <w:rPr/>
        <w:t>lpcd</w:t>
      </w:r>
      <w:r>
        <w:rPr>
          <w:spacing w:val="-9"/>
        </w:rPr>
        <w:t> </w:t>
      </w:r>
      <w:r>
        <w:rPr/>
        <w:t>are</w:t>
      </w:r>
      <w:r>
        <w:rPr>
          <w:spacing w:val="-10"/>
        </w:rPr>
        <w:t> </w:t>
      </w:r>
      <w:r>
        <w:rPr/>
        <w:t>wasteful</w:t>
      </w:r>
      <w:r>
        <w:rPr>
          <w:spacing w:val="-8"/>
        </w:rPr>
        <w:t> </w:t>
      </w:r>
      <w:r>
        <w:rPr/>
        <w:t>in</w:t>
      </w:r>
      <w:r>
        <w:rPr>
          <w:spacing w:val="-8"/>
        </w:rPr>
        <w:t> </w:t>
      </w:r>
      <w:r>
        <w:rPr/>
        <w:t>terms of water for domestic use.</w:t>
      </w:r>
    </w:p>
    <w:p>
      <w:pPr>
        <w:spacing w:after="0" w:line="480" w:lineRule="auto"/>
        <w:sectPr>
          <w:type w:val="continuous"/>
          <w:pgSz w:w="12240" w:h="15840"/>
          <w:pgMar w:header="0" w:footer="1068" w:top="1340" w:bottom="1260" w:left="1720" w:right="680"/>
        </w:sectPr>
      </w:pPr>
    </w:p>
    <w:p>
      <w:pPr>
        <w:pStyle w:val="Heading1"/>
        <w:spacing w:before="68"/>
        <w:ind w:left="127"/>
      </w:pPr>
      <w:r>
        <w:rPr/>
        <w:t>Table</w:t>
      </w:r>
      <w:r>
        <w:rPr>
          <w:spacing w:val="-4"/>
        </w:rPr>
        <w:t> </w:t>
      </w:r>
      <w:r>
        <w:rPr/>
        <w:t>4.18a:</w:t>
      </w:r>
      <w:r>
        <w:rPr>
          <w:spacing w:val="-1"/>
        </w:rPr>
        <w:t> </w:t>
      </w:r>
      <w:r>
        <w:rPr/>
        <w:t>Operationalization</w:t>
      </w:r>
      <w:r>
        <w:rPr>
          <w:spacing w:val="-1"/>
        </w:rPr>
        <w:t> </w:t>
      </w:r>
      <w:r>
        <w:rPr/>
        <w:t>of the</w:t>
      </w:r>
      <w:r>
        <w:rPr>
          <w:spacing w:val="-2"/>
        </w:rPr>
        <w:t> </w:t>
      </w:r>
      <w:r>
        <w:rPr/>
        <w:t>Water</w:t>
      </w:r>
      <w:r>
        <w:rPr>
          <w:spacing w:val="-2"/>
        </w:rPr>
        <w:t> </w:t>
      </w:r>
      <w:r>
        <w:rPr/>
        <w:t>Poverty</w:t>
      </w:r>
      <w:r>
        <w:rPr>
          <w:spacing w:val="-1"/>
        </w:rPr>
        <w:t> </w:t>
      </w:r>
      <w:r>
        <w:rPr/>
        <w:t>Indicators</w:t>
      </w:r>
      <w:r>
        <w:rPr>
          <w:spacing w:val="-1"/>
        </w:rPr>
        <w:t> </w:t>
      </w:r>
      <w:r>
        <w:rPr/>
        <w:t>for</w:t>
      </w:r>
      <w:r>
        <w:rPr>
          <w:spacing w:val="-2"/>
        </w:rPr>
        <w:t> Normalization</w:t>
      </w:r>
    </w:p>
    <w:tbl>
      <w:tblPr>
        <w:tblW w:w="0" w:type="auto"/>
        <w:jc w:val="left"/>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7"/>
        <w:gridCol w:w="3918"/>
        <w:gridCol w:w="1538"/>
        <w:gridCol w:w="823"/>
        <w:gridCol w:w="2874"/>
        <w:gridCol w:w="1326"/>
      </w:tblGrid>
      <w:tr>
        <w:trPr>
          <w:trHeight w:val="275" w:hRule="atLeast"/>
        </w:trPr>
        <w:tc>
          <w:tcPr>
            <w:tcW w:w="1517" w:type="dxa"/>
            <w:tcBorders>
              <w:top w:val="single" w:sz="8" w:space="0" w:color="000000"/>
              <w:bottom w:val="single" w:sz="8" w:space="0" w:color="000000"/>
            </w:tcBorders>
          </w:tcPr>
          <w:p>
            <w:pPr>
              <w:pStyle w:val="TableParagraph"/>
              <w:spacing w:line="246" w:lineRule="exact" w:before="9"/>
              <w:ind w:left="107"/>
              <w:rPr>
                <w:b/>
                <w:sz w:val="24"/>
              </w:rPr>
            </w:pPr>
            <w:r>
              <w:rPr>
                <w:b/>
                <w:spacing w:val="-2"/>
                <w:sz w:val="24"/>
              </w:rPr>
              <w:t>Component</w:t>
            </w:r>
          </w:p>
        </w:tc>
        <w:tc>
          <w:tcPr>
            <w:tcW w:w="3918" w:type="dxa"/>
            <w:tcBorders>
              <w:top w:val="single" w:sz="8" w:space="0" w:color="000000"/>
              <w:bottom w:val="single" w:sz="8" w:space="0" w:color="000000"/>
            </w:tcBorders>
          </w:tcPr>
          <w:p>
            <w:pPr>
              <w:pStyle w:val="TableParagraph"/>
              <w:spacing w:line="246" w:lineRule="exact" w:before="9"/>
              <w:ind w:left="208"/>
              <w:rPr>
                <w:b/>
                <w:sz w:val="24"/>
              </w:rPr>
            </w:pPr>
            <w:r>
              <w:rPr>
                <w:b/>
                <w:spacing w:val="-2"/>
                <w:sz w:val="24"/>
              </w:rPr>
              <w:t>Indicator</w:t>
            </w:r>
          </w:p>
        </w:tc>
        <w:tc>
          <w:tcPr>
            <w:tcW w:w="1538" w:type="dxa"/>
            <w:tcBorders>
              <w:top w:val="single" w:sz="8" w:space="0" w:color="000000"/>
              <w:bottom w:val="single" w:sz="8" w:space="0" w:color="000000"/>
            </w:tcBorders>
          </w:tcPr>
          <w:p>
            <w:pPr>
              <w:pStyle w:val="TableParagraph"/>
              <w:spacing w:line="246" w:lineRule="exact" w:before="9"/>
              <w:ind w:left="97" w:right="1"/>
              <w:jc w:val="center"/>
              <w:rPr>
                <w:b/>
                <w:sz w:val="24"/>
              </w:rPr>
            </w:pPr>
            <w:r>
              <w:rPr>
                <w:b/>
                <w:spacing w:val="-2"/>
                <w:sz w:val="24"/>
              </w:rPr>
              <w:t>Recoding</w:t>
            </w:r>
          </w:p>
        </w:tc>
        <w:tc>
          <w:tcPr>
            <w:tcW w:w="823" w:type="dxa"/>
            <w:tcBorders>
              <w:top w:val="single" w:sz="8" w:space="0" w:color="000000"/>
              <w:bottom w:val="single" w:sz="8" w:space="0" w:color="000000"/>
            </w:tcBorders>
          </w:tcPr>
          <w:p>
            <w:pPr>
              <w:pStyle w:val="TableParagraph"/>
              <w:rPr>
                <w:sz w:val="20"/>
              </w:rPr>
            </w:pPr>
          </w:p>
        </w:tc>
        <w:tc>
          <w:tcPr>
            <w:tcW w:w="2874" w:type="dxa"/>
            <w:tcBorders>
              <w:top w:val="single" w:sz="8" w:space="0" w:color="000000"/>
              <w:bottom w:val="single" w:sz="8" w:space="0" w:color="000000"/>
            </w:tcBorders>
          </w:tcPr>
          <w:p>
            <w:pPr>
              <w:pStyle w:val="TableParagraph"/>
              <w:spacing w:line="246" w:lineRule="exact" w:before="9"/>
              <w:ind w:left="590"/>
              <w:rPr>
                <w:b/>
                <w:sz w:val="24"/>
              </w:rPr>
            </w:pPr>
            <w:r>
              <w:rPr>
                <w:b/>
                <w:spacing w:val="-2"/>
                <w:sz w:val="24"/>
              </w:rPr>
              <w:t>Indicator</w:t>
            </w:r>
          </w:p>
        </w:tc>
        <w:tc>
          <w:tcPr>
            <w:tcW w:w="1326" w:type="dxa"/>
            <w:tcBorders>
              <w:top w:val="single" w:sz="8" w:space="0" w:color="000000"/>
              <w:bottom w:val="single" w:sz="8" w:space="0" w:color="000000"/>
            </w:tcBorders>
          </w:tcPr>
          <w:p>
            <w:pPr>
              <w:pStyle w:val="TableParagraph"/>
              <w:spacing w:line="246" w:lineRule="exact" w:before="9"/>
              <w:ind w:left="41" w:right="104"/>
              <w:jc w:val="center"/>
              <w:rPr>
                <w:b/>
                <w:sz w:val="24"/>
              </w:rPr>
            </w:pPr>
            <w:r>
              <w:rPr>
                <w:b/>
                <w:spacing w:val="-2"/>
                <w:sz w:val="24"/>
              </w:rPr>
              <w:t>Recoding</w:t>
            </w:r>
          </w:p>
        </w:tc>
      </w:tr>
      <w:tr>
        <w:trPr>
          <w:trHeight w:val="277" w:hRule="atLeast"/>
        </w:trPr>
        <w:tc>
          <w:tcPr>
            <w:tcW w:w="1517" w:type="dxa"/>
            <w:tcBorders>
              <w:top w:val="single" w:sz="8" w:space="0" w:color="000000"/>
            </w:tcBorders>
          </w:tcPr>
          <w:p>
            <w:pPr>
              <w:pStyle w:val="TableParagraph"/>
              <w:spacing w:line="245" w:lineRule="exact" w:before="12"/>
              <w:ind w:left="107"/>
              <w:rPr>
                <w:b/>
                <w:sz w:val="24"/>
              </w:rPr>
            </w:pPr>
            <w:r>
              <w:rPr>
                <w:b/>
                <w:spacing w:val="-2"/>
                <w:sz w:val="24"/>
              </w:rPr>
              <w:t>Resource</w:t>
            </w:r>
          </w:p>
        </w:tc>
        <w:tc>
          <w:tcPr>
            <w:tcW w:w="3918" w:type="dxa"/>
            <w:tcBorders>
              <w:top w:val="single" w:sz="8" w:space="0" w:color="000000"/>
            </w:tcBorders>
          </w:tcPr>
          <w:p>
            <w:pPr>
              <w:pStyle w:val="TableParagraph"/>
              <w:spacing w:line="250" w:lineRule="exact" w:before="7"/>
              <w:ind w:left="208"/>
              <w:rPr>
                <w:sz w:val="24"/>
              </w:rPr>
            </w:pPr>
            <w:r>
              <w:rPr>
                <w:sz w:val="24"/>
              </w:rPr>
              <w:t>[R1]:</w:t>
            </w:r>
            <w:r>
              <w:rPr>
                <w:spacing w:val="-3"/>
                <w:sz w:val="24"/>
              </w:rPr>
              <w:t> </w:t>
            </w:r>
            <w:r>
              <w:rPr>
                <w:sz w:val="24"/>
              </w:rPr>
              <w:t>Sufficiency</w:t>
            </w:r>
            <w:r>
              <w:rPr>
                <w:spacing w:val="-6"/>
                <w:sz w:val="24"/>
              </w:rPr>
              <w:t> </w:t>
            </w:r>
            <w:r>
              <w:rPr>
                <w:sz w:val="24"/>
              </w:rPr>
              <w:t>of water </w:t>
            </w:r>
            <w:r>
              <w:rPr>
                <w:spacing w:val="-2"/>
                <w:sz w:val="24"/>
              </w:rPr>
              <w:t>quantity</w:t>
            </w:r>
          </w:p>
        </w:tc>
        <w:tc>
          <w:tcPr>
            <w:tcW w:w="1538" w:type="dxa"/>
            <w:tcBorders>
              <w:top w:val="single" w:sz="8" w:space="0" w:color="000000"/>
            </w:tcBorders>
          </w:tcPr>
          <w:p>
            <w:pPr>
              <w:pStyle w:val="TableParagraph"/>
              <w:rPr>
                <w:sz w:val="20"/>
              </w:rPr>
            </w:pPr>
          </w:p>
        </w:tc>
        <w:tc>
          <w:tcPr>
            <w:tcW w:w="823" w:type="dxa"/>
            <w:tcBorders>
              <w:top w:val="single" w:sz="8" w:space="0" w:color="000000"/>
            </w:tcBorders>
          </w:tcPr>
          <w:p>
            <w:pPr>
              <w:pStyle w:val="TableParagraph"/>
              <w:rPr>
                <w:sz w:val="20"/>
              </w:rPr>
            </w:pPr>
          </w:p>
        </w:tc>
        <w:tc>
          <w:tcPr>
            <w:tcW w:w="2874" w:type="dxa"/>
            <w:tcBorders>
              <w:top w:val="single" w:sz="8" w:space="0" w:color="000000"/>
            </w:tcBorders>
          </w:tcPr>
          <w:p>
            <w:pPr>
              <w:pStyle w:val="TableParagraph"/>
              <w:spacing w:line="250" w:lineRule="exact" w:before="7"/>
              <w:ind w:left="883"/>
              <w:rPr>
                <w:sz w:val="24"/>
              </w:rPr>
            </w:pPr>
            <w:r>
              <w:rPr>
                <w:spacing w:val="-5"/>
                <w:sz w:val="24"/>
              </w:rPr>
              <w:t>Yes</w:t>
            </w:r>
          </w:p>
        </w:tc>
        <w:tc>
          <w:tcPr>
            <w:tcW w:w="1326" w:type="dxa"/>
            <w:tcBorders>
              <w:top w:val="single" w:sz="8" w:space="0" w:color="000000"/>
            </w:tcBorders>
          </w:tcPr>
          <w:p>
            <w:pPr>
              <w:pStyle w:val="TableParagraph"/>
              <w:spacing w:line="250" w:lineRule="exact" w:before="7"/>
              <w:ind w:left="130" w:right="89"/>
              <w:jc w:val="center"/>
              <w:rPr>
                <w:sz w:val="24"/>
              </w:rPr>
            </w:pPr>
            <w:r>
              <w:rPr>
                <w:spacing w:val="-10"/>
                <w:sz w:val="24"/>
              </w:rPr>
              <w:t>1</w:t>
            </w:r>
          </w:p>
        </w:tc>
      </w:tr>
      <w:tr>
        <w:trPr>
          <w:trHeight w:val="273" w:hRule="atLeast"/>
        </w:trPr>
        <w:tc>
          <w:tcPr>
            <w:tcW w:w="1517" w:type="dxa"/>
          </w:tcPr>
          <w:p>
            <w:pPr>
              <w:pStyle w:val="TableParagraph"/>
              <w:rPr>
                <w:sz w:val="20"/>
              </w:rPr>
            </w:pPr>
          </w:p>
        </w:tc>
        <w:tc>
          <w:tcPr>
            <w:tcW w:w="3918" w:type="dxa"/>
          </w:tcPr>
          <w:p>
            <w:pPr>
              <w:pStyle w:val="TableParagraph"/>
              <w:rPr>
                <w:sz w:val="20"/>
              </w:rPr>
            </w:pPr>
          </w:p>
        </w:tc>
        <w:tc>
          <w:tcPr>
            <w:tcW w:w="1538" w:type="dxa"/>
          </w:tcPr>
          <w:p>
            <w:pPr>
              <w:pStyle w:val="TableParagraph"/>
              <w:rPr>
                <w:sz w:val="20"/>
              </w:rPr>
            </w:pPr>
          </w:p>
        </w:tc>
        <w:tc>
          <w:tcPr>
            <w:tcW w:w="823" w:type="dxa"/>
          </w:tcPr>
          <w:p>
            <w:pPr>
              <w:pStyle w:val="TableParagraph"/>
              <w:rPr>
                <w:sz w:val="20"/>
              </w:rPr>
            </w:pPr>
          </w:p>
        </w:tc>
        <w:tc>
          <w:tcPr>
            <w:tcW w:w="2874" w:type="dxa"/>
          </w:tcPr>
          <w:p>
            <w:pPr>
              <w:pStyle w:val="TableParagraph"/>
              <w:spacing w:line="248" w:lineRule="exact" w:before="5"/>
              <w:ind w:left="924"/>
              <w:rPr>
                <w:sz w:val="24"/>
              </w:rPr>
            </w:pPr>
            <w:r>
              <w:rPr>
                <w:spacing w:val="-5"/>
                <w:sz w:val="24"/>
              </w:rPr>
              <w:t>No</w:t>
            </w:r>
          </w:p>
        </w:tc>
        <w:tc>
          <w:tcPr>
            <w:tcW w:w="1326" w:type="dxa"/>
          </w:tcPr>
          <w:p>
            <w:pPr>
              <w:pStyle w:val="TableParagraph"/>
              <w:spacing w:line="248" w:lineRule="exact" w:before="5"/>
              <w:ind w:left="130" w:right="89"/>
              <w:jc w:val="center"/>
              <w:rPr>
                <w:sz w:val="24"/>
              </w:rPr>
            </w:pPr>
            <w:r>
              <w:rPr>
                <w:spacing w:val="-10"/>
                <w:sz w:val="24"/>
              </w:rPr>
              <w:t>0</w:t>
            </w:r>
          </w:p>
        </w:tc>
      </w:tr>
      <w:tr>
        <w:trPr>
          <w:trHeight w:val="275" w:hRule="atLeast"/>
        </w:trPr>
        <w:tc>
          <w:tcPr>
            <w:tcW w:w="1517" w:type="dxa"/>
          </w:tcPr>
          <w:p>
            <w:pPr>
              <w:pStyle w:val="TableParagraph"/>
              <w:rPr>
                <w:sz w:val="20"/>
              </w:rPr>
            </w:pPr>
          </w:p>
        </w:tc>
        <w:tc>
          <w:tcPr>
            <w:tcW w:w="3918" w:type="dxa"/>
          </w:tcPr>
          <w:p>
            <w:pPr>
              <w:pStyle w:val="TableParagraph"/>
              <w:spacing w:line="248" w:lineRule="exact" w:before="8"/>
              <w:ind w:left="208"/>
              <w:rPr>
                <w:i/>
                <w:sz w:val="24"/>
              </w:rPr>
            </w:pPr>
            <w:r>
              <w:rPr>
                <w:i/>
                <w:sz w:val="24"/>
              </w:rPr>
              <w:t>Always</w:t>
            </w:r>
            <w:r>
              <w:rPr>
                <w:i/>
                <w:spacing w:val="-1"/>
                <w:sz w:val="24"/>
              </w:rPr>
              <w:t> </w:t>
            </w:r>
            <w:r>
              <w:rPr>
                <w:i/>
                <w:spacing w:val="-2"/>
                <w:sz w:val="24"/>
              </w:rPr>
              <w:t>sufficient</w:t>
            </w:r>
          </w:p>
        </w:tc>
        <w:tc>
          <w:tcPr>
            <w:tcW w:w="1538" w:type="dxa"/>
          </w:tcPr>
          <w:p>
            <w:pPr>
              <w:pStyle w:val="TableParagraph"/>
              <w:spacing w:line="248" w:lineRule="exact" w:before="8"/>
              <w:ind w:left="97"/>
              <w:jc w:val="center"/>
              <w:rPr>
                <w:sz w:val="24"/>
              </w:rPr>
            </w:pPr>
            <w:r>
              <w:rPr>
                <w:spacing w:val="-10"/>
                <w:sz w:val="24"/>
              </w:rPr>
              <w:t>3</w:t>
            </w:r>
          </w:p>
        </w:tc>
        <w:tc>
          <w:tcPr>
            <w:tcW w:w="823" w:type="dxa"/>
          </w:tcPr>
          <w:p>
            <w:pPr>
              <w:pStyle w:val="TableParagraph"/>
              <w:spacing w:line="248" w:lineRule="exact" w:before="8"/>
              <w:ind w:left="239"/>
              <w:rPr>
                <w:sz w:val="24"/>
              </w:rPr>
            </w:pPr>
            <w:r>
              <w:rPr>
                <w:spacing w:val="-2"/>
                <w:sz w:val="24"/>
              </w:rPr>
              <w:t>[A3]:</w:t>
            </w:r>
          </w:p>
        </w:tc>
        <w:tc>
          <w:tcPr>
            <w:tcW w:w="2874" w:type="dxa"/>
          </w:tcPr>
          <w:p>
            <w:pPr>
              <w:pStyle w:val="TableParagraph"/>
              <w:spacing w:line="248" w:lineRule="exact" w:before="8"/>
              <w:ind w:left="59"/>
              <w:rPr>
                <w:sz w:val="24"/>
              </w:rPr>
            </w:pPr>
            <w:r>
              <w:rPr>
                <w:sz w:val="24"/>
              </w:rPr>
              <w:t>Number</w:t>
            </w:r>
            <w:r>
              <w:rPr>
                <w:spacing w:val="-5"/>
                <w:sz w:val="24"/>
              </w:rPr>
              <w:t> </w:t>
            </w:r>
            <w:r>
              <w:rPr>
                <w:sz w:val="24"/>
              </w:rPr>
              <w:t>of</w:t>
            </w:r>
            <w:r>
              <w:rPr>
                <w:spacing w:val="-1"/>
                <w:sz w:val="24"/>
              </w:rPr>
              <w:t> </w:t>
            </w:r>
            <w:r>
              <w:rPr>
                <w:sz w:val="24"/>
              </w:rPr>
              <w:t>one-way</w:t>
            </w:r>
            <w:r>
              <w:rPr>
                <w:spacing w:val="-4"/>
                <w:sz w:val="24"/>
              </w:rPr>
              <w:t> </w:t>
            </w:r>
            <w:r>
              <w:rPr>
                <w:sz w:val="24"/>
              </w:rPr>
              <w:t>trips </w:t>
            </w:r>
            <w:r>
              <w:rPr>
                <w:spacing w:val="-5"/>
                <w:sz w:val="24"/>
              </w:rPr>
              <w:t>to</w:t>
            </w:r>
          </w:p>
        </w:tc>
        <w:tc>
          <w:tcPr>
            <w:tcW w:w="1326" w:type="dxa"/>
          </w:tcPr>
          <w:p>
            <w:pPr>
              <w:pStyle w:val="TableParagraph"/>
              <w:rPr>
                <w:sz w:val="20"/>
              </w:rPr>
            </w:pPr>
          </w:p>
        </w:tc>
      </w:tr>
      <w:tr>
        <w:trPr>
          <w:trHeight w:val="276" w:hRule="atLeast"/>
        </w:trPr>
        <w:tc>
          <w:tcPr>
            <w:tcW w:w="1517" w:type="dxa"/>
          </w:tcPr>
          <w:p>
            <w:pPr>
              <w:pStyle w:val="TableParagraph"/>
              <w:rPr>
                <w:sz w:val="20"/>
              </w:rPr>
            </w:pPr>
          </w:p>
        </w:tc>
        <w:tc>
          <w:tcPr>
            <w:tcW w:w="3918" w:type="dxa"/>
          </w:tcPr>
          <w:p>
            <w:pPr>
              <w:pStyle w:val="TableParagraph"/>
              <w:rPr>
                <w:sz w:val="20"/>
              </w:rPr>
            </w:pPr>
          </w:p>
        </w:tc>
        <w:tc>
          <w:tcPr>
            <w:tcW w:w="1538" w:type="dxa"/>
          </w:tcPr>
          <w:p>
            <w:pPr>
              <w:pStyle w:val="TableParagraph"/>
              <w:rPr>
                <w:sz w:val="20"/>
              </w:rPr>
            </w:pPr>
          </w:p>
        </w:tc>
        <w:tc>
          <w:tcPr>
            <w:tcW w:w="823" w:type="dxa"/>
          </w:tcPr>
          <w:p>
            <w:pPr>
              <w:pStyle w:val="TableParagraph"/>
              <w:rPr>
                <w:sz w:val="20"/>
              </w:rPr>
            </w:pPr>
          </w:p>
        </w:tc>
        <w:tc>
          <w:tcPr>
            <w:tcW w:w="2874" w:type="dxa"/>
          </w:tcPr>
          <w:p>
            <w:pPr>
              <w:pStyle w:val="TableParagraph"/>
              <w:spacing w:line="248" w:lineRule="exact" w:before="8"/>
              <w:ind w:left="460"/>
              <w:rPr>
                <w:sz w:val="24"/>
              </w:rPr>
            </w:pPr>
            <w:r>
              <w:rPr>
                <w:sz w:val="24"/>
              </w:rPr>
              <w:t>water</w:t>
            </w:r>
            <w:r>
              <w:rPr>
                <w:spacing w:val="-6"/>
                <w:sz w:val="24"/>
              </w:rPr>
              <w:t> </w:t>
            </w:r>
            <w:r>
              <w:rPr>
                <w:spacing w:val="-2"/>
                <w:sz w:val="24"/>
              </w:rPr>
              <w:t>source</w:t>
            </w:r>
          </w:p>
        </w:tc>
        <w:tc>
          <w:tcPr>
            <w:tcW w:w="1326" w:type="dxa"/>
          </w:tcPr>
          <w:p>
            <w:pPr>
              <w:pStyle w:val="TableParagraph"/>
              <w:rPr>
                <w:sz w:val="20"/>
              </w:rPr>
            </w:pPr>
          </w:p>
        </w:tc>
      </w:tr>
      <w:tr>
        <w:trPr>
          <w:trHeight w:val="275" w:hRule="atLeast"/>
        </w:trPr>
        <w:tc>
          <w:tcPr>
            <w:tcW w:w="1517" w:type="dxa"/>
          </w:tcPr>
          <w:p>
            <w:pPr>
              <w:pStyle w:val="TableParagraph"/>
              <w:rPr>
                <w:sz w:val="20"/>
              </w:rPr>
            </w:pPr>
          </w:p>
        </w:tc>
        <w:tc>
          <w:tcPr>
            <w:tcW w:w="3918" w:type="dxa"/>
          </w:tcPr>
          <w:p>
            <w:pPr>
              <w:pStyle w:val="TableParagraph"/>
              <w:spacing w:line="248" w:lineRule="exact" w:before="8"/>
              <w:ind w:left="208"/>
              <w:rPr>
                <w:i/>
                <w:sz w:val="24"/>
              </w:rPr>
            </w:pPr>
            <w:r>
              <w:rPr>
                <w:i/>
                <w:sz w:val="24"/>
              </w:rPr>
              <w:t>Sufficient</w:t>
            </w:r>
            <w:r>
              <w:rPr>
                <w:i/>
                <w:spacing w:val="-1"/>
                <w:sz w:val="24"/>
              </w:rPr>
              <w:t> </w:t>
            </w:r>
            <w:r>
              <w:rPr>
                <w:i/>
                <w:sz w:val="24"/>
              </w:rPr>
              <w:t>for human and </w:t>
            </w:r>
            <w:r>
              <w:rPr>
                <w:i/>
                <w:spacing w:val="-2"/>
                <w:sz w:val="24"/>
              </w:rPr>
              <w:t>livestock</w:t>
            </w:r>
          </w:p>
        </w:tc>
        <w:tc>
          <w:tcPr>
            <w:tcW w:w="1538" w:type="dxa"/>
          </w:tcPr>
          <w:p>
            <w:pPr>
              <w:pStyle w:val="TableParagraph"/>
              <w:spacing w:line="248" w:lineRule="exact" w:before="8"/>
              <w:ind w:left="97"/>
              <w:jc w:val="center"/>
              <w:rPr>
                <w:sz w:val="24"/>
              </w:rPr>
            </w:pPr>
            <w:r>
              <w:rPr>
                <w:spacing w:val="-10"/>
                <w:sz w:val="24"/>
              </w:rPr>
              <w:t>2</w:t>
            </w:r>
          </w:p>
        </w:tc>
        <w:tc>
          <w:tcPr>
            <w:tcW w:w="823" w:type="dxa"/>
          </w:tcPr>
          <w:p>
            <w:pPr>
              <w:pStyle w:val="TableParagraph"/>
              <w:rPr>
                <w:sz w:val="20"/>
              </w:rPr>
            </w:pPr>
          </w:p>
        </w:tc>
        <w:tc>
          <w:tcPr>
            <w:tcW w:w="2874" w:type="dxa"/>
          </w:tcPr>
          <w:p>
            <w:pPr>
              <w:pStyle w:val="TableParagraph"/>
              <w:spacing w:line="248" w:lineRule="exact" w:before="8"/>
              <w:ind w:left="669"/>
              <w:rPr>
                <w:sz w:val="24"/>
              </w:rPr>
            </w:pPr>
            <w:r>
              <w:rPr>
                <w:sz w:val="24"/>
              </w:rPr>
              <w:t>≤ 3 </w:t>
            </w:r>
            <w:r>
              <w:rPr>
                <w:spacing w:val="-2"/>
                <w:sz w:val="24"/>
              </w:rPr>
              <w:t>trips</w:t>
            </w:r>
          </w:p>
        </w:tc>
        <w:tc>
          <w:tcPr>
            <w:tcW w:w="1326" w:type="dxa"/>
          </w:tcPr>
          <w:p>
            <w:pPr>
              <w:pStyle w:val="TableParagraph"/>
              <w:spacing w:line="248" w:lineRule="exact" w:before="8"/>
              <w:ind w:left="130" w:right="89"/>
              <w:jc w:val="center"/>
              <w:rPr>
                <w:sz w:val="24"/>
              </w:rPr>
            </w:pPr>
            <w:r>
              <w:rPr>
                <w:spacing w:val="-10"/>
                <w:sz w:val="24"/>
              </w:rPr>
              <w:t>2</w:t>
            </w:r>
          </w:p>
        </w:tc>
      </w:tr>
      <w:tr>
        <w:trPr>
          <w:trHeight w:val="275" w:hRule="atLeast"/>
        </w:trPr>
        <w:tc>
          <w:tcPr>
            <w:tcW w:w="1517" w:type="dxa"/>
          </w:tcPr>
          <w:p>
            <w:pPr>
              <w:pStyle w:val="TableParagraph"/>
              <w:rPr>
                <w:sz w:val="20"/>
              </w:rPr>
            </w:pPr>
          </w:p>
        </w:tc>
        <w:tc>
          <w:tcPr>
            <w:tcW w:w="3918" w:type="dxa"/>
          </w:tcPr>
          <w:p>
            <w:pPr>
              <w:pStyle w:val="TableParagraph"/>
              <w:spacing w:line="248" w:lineRule="exact" w:before="8"/>
              <w:ind w:left="208"/>
              <w:rPr>
                <w:i/>
                <w:sz w:val="24"/>
              </w:rPr>
            </w:pPr>
            <w:r>
              <w:rPr>
                <w:i/>
                <w:sz w:val="24"/>
              </w:rPr>
              <w:t>Sufficient</w:t>
            </w:r>
            <w:r>
              <w:rPr>
                <w:i/>
                <w:spacing w:val="-1"/>
                <w:sz w:val="24"/>
              </w:rPr>
              <w:t> </w:t>
            </w:r>
            <w:r>
              <w:rPr>
                <w:i/>
                <w:sz w:val="24"/>
              </w:rPr>
              <w:t>for only</w:t>
            </w:r>
            <w:r>
              <w:rPr>
                <w:i/>
                <w:spacing w:val="-1"/>
                <w:sz w:val="24"/>
              </w:rPr>
              <w:t> </w:t>
            </w:r>
            <w:r>
              <w:rPr>
                <w:i/>
                <w:spacing w:val="-2"/>
                <w:sz w:val="24"/>
              </w:rPr>
              <w:t>human</w:t>
            </w:r>
          </w:p>
        </w:tc>
        <w:tc>
          <w:tcPr>
            <w:tcW w:w="1538" w:type="dxa"/>
          </w:tcPr>
          <w:p>
            <w:pPr>
              <w:pStyle w:val="TableParagraph"/>
              <w:spacing w:line="248" w:lineRule="exact" w:before="8"/>
              <w:ind w:left="97"/>
              <w:jc w:val="center"/>
              <w:rPr>
                <w:sz w:val="24"/>
              </w:rPr>
            </w:pPr>
            <w:r>
              <w:rPr>
                <w:spacing w:val="-10"/>
                <w:sz w:val="24"/>
              </w:rPr>
              <w:t>1</w:t>
            </w:r>
          </w:p>
        </w:tc>
        <w:tc>
          <w:tcPr>
            <w:tcW w:w="823" w:type="dxa"/>
          </w:tcPr>
          <w:p>
            <w:pPr>
              <w:pStyle w:val="TableParagraph"/>
              <w:rPr>
                <w:sz w:val="20"/>
              </w:rPr>
            </w:pPr>
          </w:p>
        </w:tc>
        <w:tc>
          <w:tcPr>
            <w:tcW w:w="2874" w:type="dxa"/>
          </w:tcPr>
          <w:p>
            <w:pPr>
              <w:pStyle w:val="TableParagraph"/>
              <w:spacing w:line="248" w:lineRule="exact" w:before="8"/>
              <w:ind w:left="636"/>
              <w:rPr>
                <w:sz w:val="24"/>
              </w:rPr>
            </w:pPr>
            <w:r>
              <w:rPr>
                <w:sz w:val="24"/>
              </w:rPr>
              <w:t>4</w:t>
            </w:r>
            <w:r>
              <w:rPr>
                <w:spacing w:val="-1"/>
                <w:sz w:val="24"/>
              </w:rPr>
              <w:t> </w:t>
            </w:r>
            <w:r>
              <w:rPr>
                <w:sz w:val="24"/>
              </w:rPr>
              <w:t>-7 </w:t>
            </w:r>
            <w:r>
              <w:rPr>
                <w:spacing w:val="-2"/>
                <w:sz w:val="24"/>
              </w:rPr>
              <w:t>trips</w:t>
            </w:r>
          </w:p>
        </w:tc>
        <w:tc>
          <w:tcPr>
            <w:tcW w:w="1326" w:type="dxa"/>
          </w:tcPr>
          <w:p>
            <w:pPr>
              <w:pStyle w:val="TableParagraph"/>
              <w:spacing w:line="248" w:lineRule="exact" w:before="8"/>
              <w:ind w:left="130" w:right="89"/>
              <w:jc w:val="center"/>
              <w:rPr>
                <w:sz w:val="24"/>
              </w:rPr>
            </w:pPr>
            <w:r>
              <w:rPr>
                <w:spacing w:val="-10"/>
                <w:sz w:val="24"/>
              </w:rPr>
              <w:t>1</w:t>
            </w:r>
          </w:p>
        </w:tc>
      </w:tr>
      <w:tr>
        <w:trPr>
          <w:trHeight w:val="270" w:hRule="atLeast"/>
        </w:trPr>
        <w:tc>
          <w:tcPr>
            <w:tcW w:w="1517" w:type="dxa"/>
          </w:tcPr>
          <w:p>
            <w:pPr>
              <w:pStyle w:val="TableParagraph"/>
              <w:rPr>
                <w:sz w:val="20"/>
              </w:rPr>
            </w:pPr>
          </w:p>
        </w:tc>
        <w:tc>
          <w:tcPr>
            <w:tcW w:w="3918" w:type="dxa"/>
          </w:tcPr>
          <w:p>
            <w:pPr>
              <w:pStyle w:val="TableParagraph"/>
              <w:spacing w:line="243" w:lineRule="exact" w:before="8"/>
              <w:ind w:left="208"/>
              <w:rPr>
                <w:i/>
                <w:sz w:val="24"/>
              </w:rPr>
            </w:pPr>
            <w:r>
              <w:rPr>
                <w:i/>
                <w:sz w:val="24"/>
              </w:rPr>
              <w:t>Not</w:t>
            </w:r>
            <w:r>
              <w:rPr>
                <w:i/>
                <w:spacing w:val="-1"/>
                <w:sz w:val="24"/>
              </w:rPr>
              <w:t> </w:t>
            </w:r>
            <w:r>
              <w:rPr>
                <w:i/>
                <w:sz w:val="24"/>
              </w:rPr>
              <w:t>sufficient for human</w:t>
            </w:r>
            <w:r>
              <w:rPr>
                <w:i/>
                <w:spacing w:val="-3"/>
                <w:sz w:val="24"/>
              </w:rPr>
              <w:t> </w:t>
            </w:r>
            <w:r>
              <w:rPr>
                <w:i/>
                <w:spacing w:val="-5"/>
                <w:sz w:val="24"/>
              </w:rPr>
              <w:t>use</w:t>
            </w:r>
          </w:p>
        </w:tc>
        <w:tc>
          <w:tcPr>
            <w:tcW w:w="1538" w:type="dxa"/>
          </w:tcPr>
          <w:p>
            <w:pPr>
              <w:pStyle w:val="TableParagraph"/>
              <w:spacing w:line="243" w:lineRule="exact" w:before="8"/>
              <w:ind w:left="97"/>
              <w:jc w:val="center"/>
              <w:rPr>
                <w:sz w:val="24"/>
              </w:rPr>
            </w:pPr>
            <w:r>
              <w:rPr>
                <w:spacing w:val="-10"/>
                <w:sz w:val="24"/>
              </w:rPr>
              <w:t>0</w:t>
            </w:r>
          </w:p>
        </w:tc>
        <w:tc>
          <w:tcPr>
            <w:tcW w:w="823" w:type="dxa"/>
          </w:tcPr>
          <w:p>
            <w:pPr>
              <w:pStyle w:val="TableParagraph"/>
              <w:rPr>
                <w:sz w:val="20"/>
              </w:rPr>
            </w:pPr>
          </w:p>
        </w:tc>
        <w:tc>
          <w:tcPr>
            <w:tcW w:w="2874" w:type="dxa"/>
          </w:tcPr>
          <w:p>
            <w:pPr>
              <w:pStyle w:val="TableParagraph"/>
              <w:spacing w:line="243" w:lineRule="exact" w:before="8"/>
              <w:ind w:left="700"/>
              <w:rPr>
                <w:sz w:val="24"/>
              </w:rPr>
            </w:pPr>
            <w:r>
              <w:rPr>
                <w:sz w:val="24"/>
              </w:rPr>
              <w:t>≥ </w:t>
            </w:r>
            <w:r>
              <w:rPr>
                <w:spacing w:val="-2"/>
                <w:sz w:val="24"/>
              </w:rPr>
              <w:t>8trips</w:t>
            </w:r>
          </w:p>
        </w:tc>
        <w:tc>
          <w:tcPr>
            <w:tcW w:w="1326" w:type="dxa"/>
          </w:tcPr>
          <w:p>
            <w:pPr>
              <w:pStyle w:val="TableParagraph"/>
              <w:spacing w:line="243" w:lineRule="exact" w:before="8"/>
              <w:ind w:left="130" w:right="89"/>
              <w:jc w:val="center"/>
              <w:rPr>
                <w:sz w:val="24"/>
              </w:rPr>
            </w:pPr>
            <w:r>
              <w:rPr>
                <w:spacing w:val="-10"/>
                <w:sz w:val="24"/>
              </w:rPr>
              <w:t>0</w:t>
            </w:r>
          </w:p>
        </w:tc>
      </w:tr>
    </w:tbl>
    <w:p>
      <w:pPr>
        <w:spacing w:after="0" w:line="243" w:lineRule="exact"/>
        <w:jc w:val="center"/>
        <w:rPr>
          <w:sz w:val="24"/>
        </w:rPr>
        <w:sectPr>
          <w:footerReference w:type="default" r:id="rId37"/>
          <w:pgSz w:w="15840" w:h="12240" w:orient="landscape"/>
          <w:pgMar w:header="0" w:footer="1068" w:top="1340" w:bottom="1260" w:left="1860" w:right="1580"/>
        </w:sectPr>
      </w:pPr>
    </w:p>
    <w:p>
      <w:pPr>
        <w:pStyle w:val="BodyText"/>
        <w:spacing w:before="6"/>
        <w:ind w:left="1853"/>
      </w:pPr>
      <w:r>
        <w:rPr/>
        <w:t>[R2]:</w:t>
      </w:r>
      <w:r>
        <w:rPr>
          <w:spacing w:val="25"/>
        </w:rPr>
        <w:t> </w:t>
      </w:r>
      <w:r>
        <w:rPr/>
        <w:t>Water supply reliability </w:t>
      </w:r>
      <w:r>
        <w:rPr/>
        <w:t>(hours not operational per day)</w:t>
      </w:r>
    </w:p>
    <w:p>
      <w:pPr>
        <w:pStyle w:val="BodyText"/>
      </w:pPr>
    </w:p>
    <w:p>
      <w:pPr>
        <w:pStyle w:val="BodyText"/>
        <w:ind w:left="1853"/>
      </w:pPr>
      <w:r>
        <w:rPr/>
        <w:t>[R3]</w:t>
      </w:r>
      <w:r>
        <w:rPr>
          <w:spacing w:val="31"/>
        </w:rPr>
        <w:t> </w:t>
      </w:r>
      <w:r>
        <w:rPr/>
        <w:t>Perceived</w:t>
      </w:r>
      <w:r>
        <w:rPr>
          <w:spacing w:val="29"/>
        </w:rPr>
        <w:t> </w:t>
      </w:r>
      <w:r>
        <w:rPr/>
        <w:t>variability</w:t>
      </w:r>
      <w:r>
        <w:rPr>
          <w:spacing w:val="27"/>
        </w:rPr>
        <w:t> </w:t>
      </w:r>
      <w:r>
        <w:rPr/>
        <w:t>in</w:t>
      </w:r>
      <w:r>
        <w:rPr>
          <w:spacing w:val="30"/>
        </w:rPr>
        <w:t> </w:t>
      </w:r>
      <w:r>
        <w:rPr/>
        <w:t>rainfall patterns throughout the year</w:t>
      </w:r>
    </w:p>
    <w:p>
      <w:pPr>
        <w:spacing w:line="136" w:lineRule="auto" w:before="3"/>
        <w:ind w:left="737" w:right="0" w:firstLine="0"/>
        <w:jc w:val="left"/>
        <w:rPr>
          <w:rFonts w:ascii="Cambria Math"/>
          <w:sz w:val="14"/>
        </w:rPr>
      </w:pPr>
      <w:r>
        <w:rPr/>
        <w:br w:type="column"/>
      </w:r>
      <w:r>
        <w:rPr>
          <w:w w:val="110"/>
          <w:position w:val="-13"/>
          <w:sz w:val="24"/>
        </w:rPr>
        <w:t>1-</w:t>
      </w:r>
      <w:r>
        <w:rPr>
          <w:spacing w:val="74"/>
          <w:w w:val="110"/>
          <w:position w:val="-13"/>
          <w:sz w:val="24"/>
        </w:rPr>
        <w:t> </w:t>
      </w:r>
      <w:r>
        <w:rPr>
          <w:spacing w:val="-24"/>
          <w:w w:val="110"/>
          <w:sz w:val="17"/>
          <w:u w:val="single"/>
        </w:rPr>
        <w:t> </w:t>
      </w:r>
      <w:r>
        <w:rPr>
          <w:rFonts w:ascii="Cambria Math"/>
          <w:spacing w:val="-5"/>
          <w:w w:val="110"/>
          <w:sz w:val="17"/>
          <w:u w:val="single"/>
        </w:rPr>
        <w:t>x</w:t>
      </w:r>
      <w:r>
        <w:rPr>
          <w:rFonts w:ascii="Cambria Math"/>
          <w:spacing w:val="-5"/>
          <w:w w:val="110"/>
          <w:position w:val="-3"/>
          <w:sz w:val="14"/>
          <w:u w:val="single"/>
        </w:rPr>
        <w:t>i</w:t>
      </w:r>
    </w:p>
    <w:p>
      <w:pPr>
        <w:spacing w:line="188" w:lineRule="exact" w:before="0"/>
        <w:ind w:left="0" w:right="0" w:firstLine="0"/>
        <w:jc w:val="right"/>
        <w:rPr>
          <w:rFonts w:ascii="Cambria Math"/>
          <w:sz w:val="17"/>
        </w:rPr>
      </w:pPr>
      <w:r>
        <w:rPr>
          <w:rFonts w:ascii="Cambria Math"/>
          <w:spacing w:val="-5"/>
          <w:w w:val="105"/>
          <w:sz w:val="17"/>
        </w:rPr>
        <w:t>24</w:t>
      </w:r>
    </w:p>
    <w:p>
      <w:pPr>
        <w:pStyle w:val="BodyText"/>
        <w:spacing w:before="6"/>
        <w:ind w:left="548" w:right="1839" w:firstLine="2"/>
        <w:jc w:val="center"/>
      </w:pPr>
      <w:r>
        <w:rPr/>
        <w:br w:type="column"/>
      </w:r>
      <w:r>
        <w:rPr/>
        <w:t>[A4]: Waiting time for water collection</w:t>
      </w:r>
      <w:r>
        <w:rPr>
          <w:spacing w:val="-9"/>
        </w:rPr>
        <w:t> </w:t>
      </w:r>
      <w:r>
        <w:rPr/>
        <w:t>based</w:t>
      </w:r>
      <w:r>
        <w:rPr>
          <w:spacing w:val="-9"/>
        </w:rPr>
        <w:t> </w:t>
      </w:r>
      <w:r>
        <w:rPr/>
        <w:t>on</w:t>
      </w:r>
      <w:r>
        <w:rPr>
          <w:spacing w:val="-9"/>
        </w:rPr>
        <w:t> </w:t>
      </w:r>
      <w:r>
        <w:rPr/>
        <w:t>one-way</w:t>
      </w:r>
      <w:r>
        <w:rPr>
          <w:spacing w:val="-13"/>
        </w:rPr>
        <w:t> </w:t>
      </w:r>
      <w:r>
        <w:rPr/>
        <w:t>trip </w:t>
      </w:r>
      <w:r>
        <w:rPr>
          <w:spacing w:val="-2"/>
        </w:rPr>
        <w:t>(minutes)</w:t>
      </w:r>
    </w:p>
    <w:p>
      <w:pPr>
        <w:pStyle w:val="BodyText"/>
        <w:ind w:left="207" w:right="1497"/>
        <w:jc w:val="center"/>
      </w:pPr>
      <w:r>
        <w:rPr/>
        <w:t>[A5]:</w:t>
      </w:r>
      <w:r>
        <w:rPr>
          <w:spacing w:val="40"/>
        </w:rPr>
        <w:t> </w:t>
      </w:r>
      <w:r>
        <w:rPr/>
        <w:t>Presence</w:t>
      </w:r>
      <w:r>
        <w:rPr>
          <w:spacing w:val="-8"/>
        </w:rPr>
        <w:t> </w:t>
      </w:r>
      <w:r>
        <w:rPr/>
        <w:t>of</w:t>
      </w:r>
      <w:r>
        <w:rPr>
          <w:spacing w:val="-6"/>
        </w:rPr>
        <w:t> </w:t>
      </w:r>
      <w:r>
        <w:rPr/>
        <w:t>water</w:t>
      </w:r>
      <w:r>
        <w:rPr>
          <w:spacing w:val="-7"/>
        </w:rPr>
        <w:t> </w:t>
      </w:r>
      <w:r>
        <w:rPr/>
        <w:t>conflict</w:t>
      </w:r>
      <w:r>
        <w:rPr>
          <w:spacing w:val="-7"/>
        </w:rPr>
        <w:t> </w:t>
      </w:r>
      <w:r>
        <w:rPr/>
        <w:t>at water points</w:t>
      </w:r>
    </w:p>
    <w:p>
      <w:pPr>
        <w:spacing w:after="0"/>
        <w:jc w:val="center"/>
        <w:sectPr>
          <w:type w:val="continuous"/>
          <w:pgSz w:w="15840" w:h="12240" w:orient="landscape"/>
          <w:pgMar w:header="0" w:footer="1068" w:top="1340" w:bottom="1260" w:left="1860" w:right="1580"/>
          <w:cols w:num="3" w:equalWidth="0">
            <w:col w:w="5505" w:space="40"/>
            <w:col w:w="1295" w:space="39"/>
            <w:col w:w="5521"/>
          </w:cols>
        </w:sectPr>
      </w:pPr>
    </w:p>
    <w:p>
      <w:pPr>
        <w:tabs>
          <w:tab w:pos="6320" w:val="left" w:leader="none"/>
          <w:tab w:pos="8826" w:val="left" w:leader="none"/>
          <w:tab w:pos="11421" w:val="left" w:leader="none"/>
        </w:tabs>
        <w:spacing w:before="0"/>
        <w:ind w:left="1853" w:right="0" w:firstLine="0"/>
        <w:jc w:val="left"/>
        <w:rPr>
          <w:sz w:val="24"/>
        </w:rPr>
      </w:pPr>
      <w:r>
        <w:rPr>
          <w:i/>
          <w:sz w:val="24"/>
        </w:rPr>
        <w:t>Very</w:t>
      </w:r>
      <w:r>
        <w:rPr>
          <w:i/>
          <w:spacing w:val="-3"/>
          <w:sz w:val="24"/>
        </w:rPr>
        <w:t> </w:t>
      </w:r>
      <w:r>
        <w:rPr>
          <w:i/>
          <w:spacing w:val="-4"/>
          <w:sz w:val="24"/>
        </w:rPr>
        <w:t>good</w:t>
      </w:r>
      <w:r>
        <w:rPr>
          <w:i/>
          <w:sz w:val="24"/>
        </w:rPr>
        <w:tab/>
      </w:r>
      <w:r>
        <w:rPr>
          <w:spacing w:val="-10"/>
          <w:sz w:val="24"/>
        </w:rPr>
        <w:t>3</w:t>
      </w:r>
      <w:r>
        <w:rPr>
          <w:sz w:val="24"/>
        </w:rPr>
        <w:tab/>
      </w:r>
      <w:r>
        <w:rPr>
          <w:i/>
          <w:spacing w:val="-5"/>
          <w:sz w:val="24"/>
        </w:rPr>
        <w:t>Yes</w:t>
      </w:r>
      <w:r>
        <w:rPr>
          <w:i/>
          <w:sz w:val="24"/>
        </w:rPr>
        <w:tab/>
      </w:r>
      <w:r>
        <w:rPr>
          <w:spacing w:val="-10"/>
          <w:sz w:val="24"/>
        </w:rPr>
        <w:t>0</w:t>
      </w:r>
    </w:p>
    <w:p>
      <w:pPr>
        <w:tabs>
          <w:tab w:pos="6320" w:val="left" w:leader="none"/>
          <w:tab w:pos="8852" w:val="left" w:leader="none"/>
          <w:tab w:pos="11541" w:val="right" w:leader="none"/>
        </w:tabs>
        <w:spacing w:before="0" w:after="11"/>
        <w:ind w:left="1853" w:right="0" w:firstLine="0"/>
        <w:jc w:val="left"/>
        <w:rPr>
          <w:sz w:val="24"/>
        </w:rPr>
      </w:pPr>
      <w:r>
        <w:rPr>
          <w:i/>
          <w:spacing w:val="-4"/>
          <w:sz w:val="24"/>
        </w:rPr>
        <w:t>Good</w:t>
      </w:r>
      <w:r>
        <w:rPr>
          <w:i/>
          <w:sz w:val="24"/>
        </w:rPr>
        <w:tab/>
      </w:r>
      <w:r>
        <w:rPr>
          <w:spacing w:val="-10"/>
          <w:sz w:val="24"/>
        </w:rPr>
        <w:t>2</w:t>
      </w:r>
      <w:r>
        <w:rPr>
          <w:sz w:val="24"/>
        </w:rPr>
        <w:tab/>
      </w:r>
      <w:r>
        <w:rPr>
          <w:i/>
          <w:spacing w:val="-5"/>
          <w:sz w:val="24"/>
        </w:rPr>
        <w:t>No</w:t>
      </w:r>
      <w:r>
        <w:rPr>
          <w:i/>
          <w:sz w:val="24"/>
        </w:rPr>
        <w:tab/>
      </w:r>
      <w:r>
        <w:rPr>
          <w:spacing w:val="-10"/>
          <w:sz w:val="24"/>
        </w:rPr>
        <w:t>1</w:t>
      </w: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7"/>
        <w:gridCol w:w="1050"/>
        <w:gridCol w:w="995"/>
        <w:gridCol w:w="1129"/>
        <w:gridCol w:w="340"/>
        <w:gridCol w:w="1014"/>
        <w:gridCol w:w="955"/>
        <w:gridCol w:w="4183"/>
        <w:gridCol w:w="536"/>
      </w:tblGrid>
      <w:tr>
        <w:trPr>
          <w:trHeight w:val="823" w:hRule="atLeast"/>
        </w:trPr>
        <w:tc>
          <w:tcPr>
            <w:tcW w:w="2247" w:type="dxa"/>
            <w:gridSpan w:val="2"/>
          </w:tcPr>
          <w:p>
            <w:pPr>
              <w:pStyle w:val="TableParagraph"/>
              <w:spacing w:line="266" w:lineRule="exact"/>
              <w:ind w:right="150"/>
              <w:jc w:val="right"/>
              <w:rPr>
                <w:i/>
                <w:sz w:val="24"/>
              </w:rPr>
            </w:pPr>
            <w:r>
              <w:rPr>
                <w:i/>
                <w:spacing w:val="-4"/>
                <w:sz w:val="24"/>
              </w:rPr>
              <w:t>Fair</w:t>
            </w:r>
          </w:p>
          <w:p>
            <w:pPr>
              <w:pStyle w:val="TableParagraph"/>
              <w:rPr>
                <w:sz w:val="24"/>
              </w:rPr>
            </w:pPr>
          </w:p>
          <w:p>
            <w:pPr>
              <w:pStyle w:val="TableParagraph"/>
              <w:spacing w:line="261" w:lineRule="exact"/>
              <w:ind w:right="97"/>
              <w:jc w:val="right"/>
              <w:rPr>
                <w:i/>
                <w:sz w:val="24"/>
              </w:rPr>
            </w:pPr>
            <w:r>
              <w:rPr>
                <w:i/>
                <w:spacing w:val="-4"/>
                <w:sz w:val="24"/>
              </w:rPr>
              <w:t>Poor</w:t>
            </w:r>
          </w:p>
        </w:tc>
        <w:tc>
          <w:tcPr>
            <w:tcW w:w="995" w:type="dxa"/>
          </w:tcPr>
          <w:p>
            <w:pPr>
              <w:pStyle w:val="TableParagraph"/>
              <w:rPr>
                <w:sz w:val="22"/>
              </w:rPr>
            </w:pPr>
          </w:p>
        </w:tc>
        <w:tc>
          <w:tcPr>
            <w:tcW w:w="1129" w:type="dxa"/>
          </w:tcPr>
          <w:p>
            <w:pPr>
              <w:pStyle w:val="TableParagraph"/>
              <w:rPr>
                <w:sz w:val="22"/>
              </w:rPr>
            </w:pPr>
          </w:p>
        </w:tc>
        <w:tc>
          <w:tcPr>
            <w:tcW w:w="340" w:type="dxa"/>
          </w:tcPr>
          <w:p>
            <w:pPr>
              <w:pStyle w:val="TableParagraph"/>
              <w:rPr>
                <w:sz w:val="22"/>
              </w:rPr>
            </w:pPr>
          </w:p>
        </w:tc>
        <w:tc>
          <w:tcPr>
            <w:tcW w:w="1014" w:type="dxa"/>
          </w:tcPr>
          <w:p>
            <w:pPr>
              <w:pStyle w:val="TableParagraph"/>
              <w:rPr>
                <w:sz w:val="22"/>
              </w:rPr>
            </w:pPr>
          </w:p>
        </w:tc>
        <w:tc>
          <w:tcPr>
            <w:tcW w:w="955" w:type="dxa"/>
          </w:tcPr>
          <w:p>
            <w:pPr>
              <w:pStyle w:val="TableParagraph"/>
              <w:spacing w:line="266" w:lineRule="exact"/>
              <w:ind w:right="13"/>
              <w:jc w:val="center"/>
              <w:rPr>
                <w:sz w:val="24"/>
              </w:rPr>
            </w:pPr>
            <w:r>
              <w:rPr>
                <w:spacing w:val="-10"/>
                <w:sz w:val="24"/>
              </w:rPr>
              <w:t>1</w:t>
            </w:r>
          </w:p>
          <w:p>
            <w:pPr>
              <w:pStyle w:val="TableParagraph"/>
              <w:rPr>
                <w:sz w:val="24"/>
              </w:rPr>
            </w:pPr>
          </w:p>
          <w:p>
            <w:pPr>
              <w:pStyle w:val="TableParagraph"/>
              <w:spacing w:line="261" w:lineRule="exact"/>
              <w:ind w:right="13"/>
              <w:jc w:val="center"/>
              <w:rPr>
                <w:sz w:val="24"/>
              </w:rPr>
            </w:pPr>
            <w:r>
              <w:rPr>
                <w:spacing w:val="-10"/>
                <w:sz w:val="24"/>
              </w:rPr>
              <w:t>0</w:t>
            </w:r>
          </w:p>
        </w:tc>
        <w:tc>
          <w:tcPr>
            <w:tcW w:w="4183" w:type="dxa"/>
          </w:tcPr>
          <w:p>
            <w:pPr>
              <w:pStyle w:val="TableParagraph"/>
              <w:ind w:left="328" w:right="253"/>
              <w:jc w:val="center"/>
              <w:rPr>
                <w:sz w:val="24"/>
              </w:rPr>
            </w:pPr>
            <w:r>
              <w:rPr>
                <w:sz w:val="24"/>
              </w:rPr>
              <w:t>[C1]:</w:t>
            </w:r>
            <w:r>
              <w:rPr>
                <w:spacing w:val="-8"/>
                <w:sz w:val="24"/>
              </w:rPr>
              <w:t> </w:t>
            </w:r>
            <w:r>
              <w:rPr>
                <w:sz w:val="24"/>
              </w:rPr>
              <w:t>Level</w:t>
            </w:r>
            <w:r>
              <w:rPr>
                <w:spacing w:val="-8"/>
                <w:sz w:val="24"/>
              </w:rPr>
              <w:t> </w:t>
            </w:r>
            <w:r>
              <w:rPr>
                <w:sz w:val="24"/>
              </w:rPr>
              <w:t>of</w:t>
            </w:r>
            <w:r>
              <w:rPr>
                <w:spacing w:val="-8"/>
                <w:sz w:val="24"/>
              </w:rPr>
              <w:t> </w:t>
            </w:r>
            <w:r>
              <w:rPr>
                <w:sz w:val="24"/>
              </w:rPr>
              <w:t>financial</w:t>
            </w:r>
            <w:r>
              <w:rPr>
                <w:spacing w:val="-8"/>
                <w:sz w:val="24"/>
              </w:rPr>
              <w:t> </w:t>
            </w:r>
            <w:r>
              <w:rPr>
                <w:sz w:val="24"/>
              </w:rPr>
              <w:t>capacity</w:t>
            </w:r>
            <w:r>
              <w:rPr>
                <w:spacing w:val="-12"/>
                <w:sz w:val="24"/>
              </w:rPr>
              <w:t> </w:t>
            </w:r>
            <w:r>
              <w:rPr>
                <w:sz w:val="24"/>
              </w:rPr>
              <w:t>of the household</w:t>
            </w:r>
          </w:p>
          <w:p>
            <w:pPr>
              <w:pStyle w:val="TableParagraph"/>
              <w:spacing w:line="261" w:lineRule="exact"/>
              <w:ind w:left="328" w:right="258"/>
              <w:jc w:val="center"/>
              <w:rPr>
                <w:sz w:val="24"/>
              </w:rPr>
            </w:pPr>
            <w:r>
              <w:rPr>
                <w:sz w:val="24"/>
              </w:rPr>
              <w:t>[C2]:</w:t>
            </w:r>
            <w:r>
              <w:rPr>
                <w:spacing w:val="-2"/>
                <w:sz w:val="24"/>
              </w:rPr>
              <w:t> </w:t>
            </w:r>
            <w:r>
              <w:rPr>
                <w:sz w:val="24"/>
              </w:rPr>
              <w:t>Household</w:t>
            </w:r>
            <w:r>
              <w:rPr>
                <w:spacing w:val="-1"/>
                <w:sz w:val="24"/>
              </w:rPr>
              <w:t> </w:t>
            </w:r>
            <w:r>
              <w:rPr>
                <w:sz w:val="24"/>
              </w:rPr>
              <w:t>level</w:t>
            </w:r>
            <w:r>
              <w:rPr>
                <w:spacing w:val="-1"/>
                <w:sz w:val="24"/>
              </w:rPr>
              <w:t> </w:t>
            </w:r>
            <w:r>
              <w:rPr>
                <w:spacing w:val="-5"/>
                <w:sz w:val="24"/>
              </w:rPr>
              <w:t>of</w:t>
            </w:r>
          </w:p>
        </w:tc>
        <w:tc>
          <w:tcPr>
            <w:tcW w:w="536" w:type="dxa"/>
          </w:tcPr>
          <w:p>
            <w:pPr>
              <w:pStyle w:val="TableParagraph"/>
              <w:rPr>
                <w:sz w:val="22"/>
              </w:rPr>
            </w:pPr>
          </w:p>
        </w:tc>
      </w:tr>
      <w:tr>
        <w:trPr>
          <w:trHeight w:val="546" w:hRule="atLeast"/>
        </w:trPr>
        <w:tc>
          <w:tcPr>
            <w:tcW w:w="2247" w:type="dxa"/>
            <w:gridSpan w:val="2"/>
          </w:tcPr>
          <w:p>
            <w:pPr>
              <w:pStyle w:val="TableParagraph"/>
              <w:spacing w:line="256" w:lineRule="exact" w:before="271"/>
              <w:ind w:right="69"/>
              <w:jc w:val="right"/>
              <w:rPr>
                <w:sz w:val="24"/>
              </w:rPr>
            </w:pPr>
            <w:r>
              <w:rPr>
                <w:spacing w:val="-2"/>
                <w:sz w:val="24"/>
              </w:rPr>
              <w:t>[R4]:</w:t>
            </w:r>
          </w:p>
        </w:tc>
        <w:tc>
          <w:tcPr>
            <w:tcW w:w="995" w:type="dxa"/>
          </w:tcPr>
          <w:p>
            <w:pPr>
              <w:pStyle w:val="TableParagraph"/>
              <w:spacing w:line="256" w:lineRule="exact" w:before="271"/>
              <w:ind w:left="72"/>
              <w:rPr>
                <w:sz w:val="24"/>
              </w:rPr>
            </w:pPr>
            <w:r>
              <w:rPr>
                <w:spacing w:val="-2"/>
                <w:sz w:val="24"/>
              </w:rPr>
              <w:t>Seasonal</w:t>
            </w:r>
          </w:p>
        </w:tc>
        <w:tc>
          <w:tcPr>
            <w:tcW w:w="1129" w:type="dxa"/>
          </w:tcPr>
          <w:p>
            <w:pPr>
              <w:pStyle w:val="TableParagraph"/>
              <w:spacing w:line="256" w:lineRule="exact" w:before="271"/>
              <w:ind w:left="72"/>
              <w:rPr>
                <w:sz w:val="24"/>
              </w:rPr>
            </w:pPr>
            <w:r>
              <w:rPr>
                <w:spacing w:val="-2"/>
                <w:sz w:val="24"/>
              </w:rPr>
              <w:t>variability</w:t>
            </w:r>
          </w:p>
        </w:tc>
        <w:tc>
          <w:tcPr>
            <w:tcW w:w="340" w:type="dxa"/>
          </w:tcPr>
          <w:p>
            <w:pPr>
              <w:pStyle w:val="TableParagraph"/>
              <w:spacing w:line="256" w:lineRule="exact" w:before="271"/>
              <w:ind w:left="70"/>
              <w:rPr>
                <w:sz w:val="24"/>
              </w:rPr>
            </w:pPr>
            <w:r>
              <w:rPr>
                <w:spacing w:val="-5"/>
                <w:sz w:val="24"/>
              </w:rPr>
              <w:t>of</w:t>
            </w:r>
          </w:p>
        </w:tc>
        <w:tc>
          <w:tcPr>
            <w:tcW w:w="1014" w:type="dxa"/>
          </w:tcPr>
          <w:p>
            <w:pPr>
              <w:pStyle w:val="TableParagraph"/>
              <w:spacing w:line="256" w:lineRule="exact" w:before="271"/>
              <w:ind w:left="73"/>
              <w:rPr>
                <w:sz w:val="24"/>
              </w:rPr>
            </w:pPr>
            <w:r>
              <w:rPr>
                <w:spacing w:val="-2"/>
                <w:sz w:val="24"/>
              </w:rPr>
              <w:t>water</w:t>
            </w:r>
          </w:p>
        </w:tc>
        <w:tc>
          <w:tcPr>
            <w:tcW w:w="955" w:type="dxa"/>
          </w:tcPr>
          <w:p>
            <w:pPr>
              <w:pStyle w:val="TableParagraph"/>
              <w:rPr>
                <w:sz w:val="22"/>
              </w:rPr>
            </w:pPr>
          </w:p>
        </w:tc>
        <w:tc>
          <w:tcPr>
            <w:tcW w:w="4183" w:type="dxa"/>
          </w:tcPr>
          <w:p>
            <w:pPr>
              <w:pStyle w:val="TableParagraph"/>
              <w:spacing w:line="271" w:lineRule="exact"/>
              <w:ind w:left="328" w:right="257"/>
              <w:jc w:val="center"/>
              <w:rPr>
                <w:sz w:val="24"/>
              </w:rPr>
            </w:pPr>
            <w:r>
              <w:rPr>
                <w:spacing w:val="-2"/>
                <w:sz w:val="24"/>
              </w:rPr>
              <w:t>employment</w:t>
            </w:r>
          </w:p>
          <w:p>
            <w:pPr>
              <w:pStyle w:val="TableParagraph"/>
              <w:spacing w:line="256" w:lineRule="exact"/>
              <w:ind w:left="328" w:right="260"/>
              <w:jc w:val="center"/>
              <w:rPr>
                <w:sz w:val="24"/>
              </w:rPr>
            </w:pPr>
            <w:r>
              <w:rPr>
                <w:spacing w:val="-2"/>
                <w:sz w:val="24"/>
              </w:rPr>
              <w:t>Employed</w:t>
            </w:r>
          </w:p>
        </w:tc>
        <w:tc>
          <w:tcPr>
            <w:tcW w:w="536" w:type="dxa"/>
          </w:tcPr>
          <w:p>
            <w:pPr>
              <w:pStyle w:val="TableParagraph"/>
              <w:spacing w:line="256" w:lineRule="exact" w:before="271"/>
              <w:ind w:right="41"/>
              <w:jc w:val="right"/>
              <w:rPr>
                <w:sz w:val="24"/>
              </w:rPr>
            </w:pPr>
            <w:r>
              <w:rPr>
                <w:spacing w:val="-10"/>
                <w:sz w:val="24"/>
              </w:rPr>
              <w:t>1</w:t>
            </w:r>
          </w:p>
        </w:tc>
      </w:tr>
      <w:tr>
        <w:trPr>
          <w:trHeight w:val="557" w:hRule="atLeast"/>
        </w:trPr>
        <w:tc>
          <w:tcPr>
            <w:tcW w:w="1197" w:type="dxa"/>
          </w:tcPr>
          <w:p>
            <w:pPr>
              <w:pStyle w:val="TableParagraph"/>
              <w:rPr>
                <w:sz w:val="22"/>
              </w:rPr>
            </w:pPr>
          </w:p>
        </w:tc>
        <w:tc>
          <w:tcPr>
            <w:tcW w:w="4528" w:type="dxa"/>
            <w:gridSpan w:val="5"/>
          </w:tcPr>
          <w:p>
            <w:pPr>
              <w:pStyle w:val="TableParagraph"/>
              <w:spacing w:line="266" w:lineRule="exact"/>
              <w:ind w:left="470"/>
              <w:rPr>
                <w:sz w:val="24"/>
              </w:rPr>
            </w:pPr>
            <w:r>
              <w:rPr>
                <w:sz w:val="24"/>
              </w:rPr>
              <w:t>supply</w:t>
            </w:r>
            <w:r>
              <w:rPr>
                <w:spacing w:val="-4"/>
                <w:sz w:val="24"/>
              </w:rPr>
              <w:t> </w:t>
            </w:r>
            <w:r>
              <w:rPr>
                <w:sz w:val="24"/>
              </w:rPr>
              <w:t>in</w:t>
            </w:r>
            <w:r>
              <w:rPr>
                <w:spacing w:val="2"/>
                <w:sz w:val="24"/>
              </w:rPr>
              <w:t> </w:t>
            </w:r>
            <w:r>
              <w:rPr>
                <w:sz w:val="24"/>
              </w:rPr>
              <w:t>dry</w:t>
            </w:r>
            <w:r>
              <w:rPr>
                <w:spacing w:val="-3"/>
                <w:sz w:val="24"/>
              </w:rPr>
              <w:t> </w:t>
            </w:r>
            <w:r>
              <w:rPr>
                <w:spacing w:val="-2"/>
                <w:sz w:val="24"/>
              </w:rPr>
              <w:t>season</w:t>
            </w:r>
          </w:p>
          <w:p>
            <w:pPr>
              <w:pStyle w:val="TableParagraph"/>
              <w:spacing w:line="261" w:lineRule="exact"/>
              <w:ind w:left="470"/>
              <w:rPr>
                <w:i/>
                <w:sz w:val="24"/>
              </w:rPr>
            </w:pPr>
            <w:r>
              <w:rPr>
                <w:i/>
                <w:spacing w:val="-4"/>
                <w:sz w:val="24"/>
              </w:rPr>
              <w:t>Much</w:t>
            </w:r>
          </w:p>
        </w:tc>
        <w:tc>
          <w:tcPr>
            <w:tcW w:w="955" w:type="dxa"/>
          </w:tcPr>
          <w:p>
            <w:pPr>
              <w:pStyle w:val="TableParagraph"/>
              <w:spacing w:line="261" w:lineRule="exact" w:before="266"/>
              <w:ind w:right="13"/>
              <w:jc w:val="center"/>
              <w:rPr>
                <w:sz w:val="24"/>
              </w:rPr>
            </w:pPr>
            <w:r>
              <w:rPr>
                <w:spacing w:val="-10"/>
                <w:sz w:val="24"/>
              </w:rPr>
              <w:t>4</w:t>
            </w:r>
          </w:p>
        </w:tc>
        <w:tc>
          <w:tcPr>
            <w:tcW w:w="4183" w:type="dxa"/>
          </w:tcPr>
          <w:p>
            <w:pPr>
              <w:pStyle w:val="TableParagraph"/>
              <w:spacing w:line="261" w:lineRule="exact" w:before="266"/>
              <w:ind w:left="328" w:right="260"/>
              <w:jc w:val="center"/>
              <w:rPr>
                <w:sz w:val="24"/>
              </w:rPr>
            </w:pPr>
            <w:r>
              <w:rPr>
                <w:spacing w:val="-2"/>
                <w:sz w:val="24"/>
              </w:rPr>
              <w:t>Unemployed</w:t>
            </w:r>
          </w:p>
        </w:tc>
        <w:tc>
          <w:tcPr>
            <w:tcW w:w="536" w:type="dxa"/>
          </w:tcPr>
          <w:p>
            <w:pPr>
              <w:pStyle w:val="TableParagraph"/>
              <w:spacing w:line="261" w:lineRule="exact" w:before="266"/>
              <w:ind w:right="41"/>
              <w:jc w:val="right"/>
              <w:rPr>
                <w:sz w:val="24"/>
              </w:rPr>
            </w:pPr>
            <w:r>
              <w:rPr>
                <w:spacing w:val="-10"/>
                <w:sz w:val="24"/>
              </w:rPr>
              <w:t>0</w:t>
            </w:r>
          </w:p>
        </w:tc>
      </w:tr>
      <w:tr>
        <w:trPr>
          <w:trHeight w:val="276" w:hRule="atLeast"/>
        </w:trPr>
        <w:tc>
          <w:tcPr>
            <w:tcW w:w="1197" w:type="dxa"/>
          </w:tcPr>
          <w:p>
            <w:pPr>
              <w:pStyle w:val="TableParagraph"/>
              <w:rPr>
                <w:sz w:val="20"/>
              </w:rPr>
            </w:pPr>
          </w:p>
        </w:tc>
        <w:tc>
          <w:tcPr>
            <w:tcW w:w="4528" w:type="dxa"/>
            <w:gridSpan w:val="5"/>
          </w:tcPr>
          <w:p>
            <w:pPr>
              <w:pStyle w:val="TableParagraph"/>
              <w:spacing w:line="256" w:lineRule="exact"/>
              <w:ind w:left="470"/>
              <w:rPr>
                <w:i/>
                <w:sz w:val="24"/>
              </w:rPr>
            </w:pPr>
            <w:r>
              <w:rPr>
                <w:i/>
                <w:spacing w:val="-2"/>
                <w:sz w:val="24"/>
              </w:rPr>
              <w:t>Enough</w:t>
            </w:r>
          </w:p>
        </w:tc>
        <w:tc>
          <w:tcPr>
            <w:tcW w:w="955" w:type="dxa"/>
          </w:tcPr>
          <w:p>
            <w:pPr>
              <w:pStyle w:val="TableParagraph"/>
              <w:spacing w:line="256" w:lineRule="exact"/>
              <w:ind w:right="13"/>
              <w:jc w:val="center"/>
              <w:rPr>
                <w:sz w:val="24"/>
              </w:rPr>
            </w:pPr>
            <w:r>
              <w:rPr>
                <w:spacing w:val="-10"/>
                <w:sz w:val="24"/>
              </w:rPr>
              <w:t>3</w:t>
            </w:r>
          </w:p>
        </w:tc>
        <w:tc>
          <w:tcPr>
            <w:tcW w:w="4183" w:type="dxa"/>
          </w:tcPr>
          <w:p>
            <w:pPr>
              <w:pStyle w:val="TableParagraph"/>
              <w:spacing w:line="256" w:lineRule="exact"/>
              <w:ind w:left="328" w:right="260"/>
              <w:jc w:val="center"/>
              <w:rPr>
                <w:sz w:val="24"/>
              </w:rPr>
            </w:pPr>
            <w:r>
              <w:rPr>
                <w:sz w:val="24"/>
              </w:rPr>
              <w:t>[C3]:</w:t>
            </w:r>
            <w:r>
              <w:rPr>
                <w:spacing w:val="-2"/>
                <w:sz w:val="24"/>
              </w:rPr>
              <w:t> </w:t>
            </w:r>
            <w:r>
              <w:rPr>
                <w:sz w:val="24"/>
              </w:rPr>
              <w:t>Literacy</w:t>
            </w:r>
            <w:r>
              <w:rPr>
                <w:spacing w:val="-5"/>
                <w:sz w:val="24"/>
              </w:rPr>
              <w:t> </w:t>
            </w:r>
            <w:r>
              <w:rPr>
                <w:sz w:val="24"/>
              </w:rPr>
              <w:t>level</w:t>
            </w:r>
            <w:r>
              <w:rPr>
                <w:spacing w:val="-1"/>
                <w:sz w:val="24"/>
              </w:rPr>
              <w:t> </w:t>
            </w:r>
            <w:r>
              <w:rPr>
                <w:sz w:val="24"/>
              </w:rPr>
              <w:t>in</w:t>
            </w:r>
            <w:r>
              <w:rPr>
                <w:spacing w:val="-1"/>
                <w:sz w:val="24"/>
              </w:rPr>
              <w:t> </w:t>
            </w:r>
            <w:r>
              <w:rPr>
                <w:spacing w:val="-2"/>
                <w:sz w:val="24"/>
              </w:rPr>
              <w:t>household</w:t>
            </w:r>
          </w:p>
        </w:tc>
        <w:tc>
          <w:tcPr>
            <w:tcW w:w="536" w:type="dxa"/>
          </w:tcPr>
          <w:p>
            <w:pPr>
              <w:pStyle w:val="TableParagraph"/>
              <w:rPr>
                <w:sz w:val="20"/>
              </w:rPr>
            </w:pPr>
          </w:p>
        </w:tc>
      </w:tr>
      <w:tr>
        <w:trPr>
          <w:trHeight w:val="275" w:hRule="atLeast"/>
        </w:trPr>
        <w:tc>
          <w:tcPr>
            <w:tcW w:w="1197" w:type="dxa"/>
          </w:tcPr>
          <w:p>
            <w:pPr>
              <w:pStyle w:val="TableParagraph"/>
              <w:rPr>
                <w:sz w:val="20"/>
              </w:rPr>
            </w:pPr>
          </w:p>
        </w:tc>
        <w:tc>
          <w:tcPr>
            <w:tcW w:w="4528" w:type="dxa"/>
            <w:gridSpan w:val="5"/>
          </w:tcPr>
          <w:p>
            <w:pPr>
              <w:pStyle w:val="TableParagraph"/>
              <w:spacing w:line="256" w:lineRule="exact"/>
              <w:ind w:left="470"/>
              <w:rPr>
                <w:i/>
                <w:sz w:val="24"/>
              </w:rPr>
            </w:pPr>
            <w:r>
              <w:rPr>
                <w:i/>
                <w:sz w:val="24"/>
              </w:rPr>
              <w:t>Little</w:t>
            </w:r>
            <w:r>
              <w:rPr>
                <w:i/>
                <w:spacing w:val="-1"/>
                <w:sz w:val="24"/>
              </w:rPr>
              <w:t> </w:t>
            </w:r>
            <w:r>
              <w:rPr>
                <w:i/>
                <w:sz w:val="24"/>
              </w:rPr>
              <w:t>but not </w:t>
            </w:r>
            <w:r>
              <w:rPr>
                <w:i/>
                <w:spacing w:val="-2"/>
                <w:sz w:val="24"/>
              </w:rPr>
              <w:t>enough</w:t>
            </w:r>
          </w:p>
        </w:tc>
        <w:tc>
          <w:tcPr>
            <w:tcW w:w="955" w:type="dxa"/>
          </w:tcPr>
          <w:p>
            <w:pPr>
              <w:pStyle w:val="TableParagraph"/>
              <w:spacing w:line="256" w:lineRule="exact"/>
              <w:ind w:right="13"/>
              <w:jc w:val="center"/>
              <w:rPr>
                <w:sz w:val="24"/>
              </w:rPr>
            </w:pPr>
            <w:r>
              <w:rPr>
                <w:spacing w:val="-10"/>
                <w:sz w:val="24"/>
              </w:rPr>
              <w:t>2</w:t>
            </w:r>
          </w:p>
        </w:tc>
        <w:tc>
          <w:tcPr>
            <w:tcW w:w="4183" w:type="dxa"/>
          </w:tcPr>
          <w:p>
            <w:pPr>
              <w:pStyle w:val="TableParagraph"/>
              <w:spacing w:line="256" w:lineRule="exact"/>
              <w:ind w:left="328" w:right="258"/>
              <w:jc w:val="center"/>
              <w:rPr>
                <w:i/>
                <w:sz w:val="24"/>
              </w:rPr>
            </w:pPr>
            <w:r>
              <w:rPr>
                <w:i/>
                <w:sz w:val="24"/>
              </w:rPr>
              <w:t>Tertiary</w:t>
            </w:r>
            <w:r>
              <w:rPr>
                <w:i/>
                <w:spacing w:val="-2"/>
                <w:sz w:val="24"/>
              </w:rPr>
              <w:t> education</w:t>
            </w:r>
          </w:p>
        </w:tc>
        <w:tc>
          <w:tcPr>
            <w:tcW w:w="536" w:type="dxa"/>
          </w:tcPr>
          <w:p>
            <w:pPr>
              <w:pStyle w:val="TableParagraph"/>
              <w:spacing w:line="256" w:lineRule="exact"/>
              <w:ind w:right="41"/>
              <w:jc w:val="right"/>
              <w:rPr>
                <w:sz w:val="24"/>
              </w:rPr>
            </w:pPr>
            <w:r>
              <w:rPr>
                <w:spacing w:val="-10"/>
                <w:sz w:val="24"/>
              </w:rPr>
              <w:t>4</w:t>
            </w:r>
          </w:p>
        </w:tc>
      </w:tr>
      <w:tr>
        <w:trPr>
          <w:trHeight w:val="276" w:hRule="atLeast"/>
        </w:trPr>
        <w:tc>
          <w:tcPr>
            <w:tcW w:w="1197" w:type="dxa"/>
          </w:tcPr>
          <w:p>
            <w:pPr>
              <w:pStyle w:val="TableParagraph"/>
              <w:rPr>
                <w:sz w:val="20"/>
              </w:rPr>
            </w:pPr>
          </w:p>
        </w:tc>
        <w:tc>
          <w:tcPr>
            <w:tcW w:w="4528" w:type="dxa"/>
            <w:gridSpan w:val="5"/>
          </w:tcPr>
          <w:p>
            <w:pPr>
              <w:pStyle w:val="TableParagraph"/>
              <w:spacing w:line="256" w:lineRule="exact"/>
              <w:ind w:left="470"/>
              <w:rPr>
                <w:i/>
                <w:sz w:val="24"/>
              </w:rPr>
            </w:pPr>
            <w:r>
              <w:rPr>
                <w:i/>
                <w:sz w:val="24"/>
              </w:rPr>
              <w:t>Very</w:t>
            </w:r>
            <w:r>
              <w:rPr>
                <w:i/>
                <w:spacing w:val="-3"/>
                <w:sz w:val="24"/>
              </w:rPr>
              <w:t> </w:t>
            </w:r>
            <w:r>
              <w:rPr>
                <w:i/>
                <w:spacing w:val="-2"/>
                <w:sz w:val="24"/>
              </w:rPr>
              <w:t>little</w:t>
            </w:r>
          </w:p>
        </w:tc>
        <w:tc>
          <w:tcPr>
            <w:tcW w:w="955" w:type="dxa"/>
          </w:tcPr>
          <w:p>
            <w:pPr>
              <w:pStyle w:val="TableParagraph"/>
              <w:spacing w:line="256" w:lineRule="exact"/>
              <w:ind w:right="13"/>
              <w:jc w:val="center"/>
              <w:rPr>
                <w:sz w:val="24"/>
              </w:rPr>
            </w:pPr>
            <w:r>
              <w:rPr>
                <w:spacing w:val="-10"/>
                <w:sz w:val="24"/>
              </w:rPr>
              <w:t>1</w:t>
            </w:r>
          </w:p>
        </w:tc>
        <w:tc>
          <w:tcPr>
            <w:tcW w:w="4183" w:type="dxa"/>
          </w:tcPr>
          <w:p>
            <w:pPr>
              <w:pStyle w:val="TableParagraph"/>
              <w:spacing w:line="256" w:lineRule="exact"/>
              <w:ind w:left="328" w:right="257"/>
              <w:jc w:val="center"/>
              <w:rPr>
                <w:i/>
                <w:sz w:val="24"/>
              </w:rPr>
            </w:pPr>
            <w:r>
              <w:rPr>
                <w:i/>
                <w:sz w:val="24"/>
              </w:rPr>
              <w:t>Secondary</w:t>
            </w:r>
            <w:r>
              <w:rPr>
                <w:i/>
                <w:spacing w:val="-3"/>
                <w:sz w:val="24"/>
              </w:rPr>
              <w:t> </w:t>
            </w:r>
            <w:r>
              <w:rPr>
                <w:i/>
                <w:spacing w:val="-2"/>
                <w:sz w:val="24"/>
              </w:rPr>
              <w:t>education</w:t>
            </w:r>
          </w:p>
        </w:tc>
        <w:tc>
          <w:tcPr>
            <w:tcW w:w="536" w:type="dxa"/>
          </w:tcPr>
          <w:p>
            <w:pPr>
              <w:pStyle w:val="TableParagraph"/>
              <w:spacing w:line="256" w:lineRule="exact"/>
              <w:ind w:right="41"/>
              <w:jc w:val="right"/>
              <w:rPr>
                <w:sz w:val="24"/>
              </w:rPr>
            </w:pPr>
            <w:r>
              <w:rPr>
                <w:spacing w:val="-10"/>
                <w:sz w:val="24"/>
              </w:rPr>
              <w:t>3</w:t>
            </w:r>
          </w:p>
        </w:tc>
      </w:tr>
      <w:tr>
        <w:trPr>
          <w:trHeight w:val="276" w:hRule="atLeast"/>
        </w:trPr>
        <w:tc>
          <w:tcPr>
            <w:tcW w:w="1197" w:type="dxa"/>
          </w:tcPr>
          <w:p>
            <w:pPr>
              <w:pStyle w:val="TableParagraph"/>
              <w:rPr>
                <w:sz w:val="20"/>
              </w:rPr>
            </w:pPr>
          </w:p>
        </w:tc>
        <w:tc>
          <w:tcPr>
            <w:tcW w:w="4528" w:type="dxa"/>
            <w:gridSpan w:val="5"/>
          </w:tcPr>
          <w:p>
            <w:pPr>
              <w:pStyle w:val="TableParagraph"/>
              <w:spacing w:line="256" w:lineRule="exact"/>
              <w:ind w:left="470"/>
              <w:rPr>
                <w:i/>
                <w:sz w:val="24"/>
              </w:rPr>
            </w:pPr>
            <w:r>
              <w:rPr>
                <w:i/>
                <w:spacing w:val="-4"/>
                <w:sz w:val="24"/>
              </w:rPr>
              <w:t>None</w:t>
            </w:r>
          </w:p>
        </w:tc>
        <w:tc>
          <w:tcPr>
            <w:tcW w:w="955" w:type="dxa"/>
          </w:tcPr>
          <w:p>
            <w:pPr>
              <w:pStyle w:val="TableParagraph"/>
              <w:spacing w:line="256" w:lineRule="exact"/>
              <w:ind w:right="13"/>
              <w:jc w:val="center"/>
              <w:rPr>
                <w:sz w:val="24"/>
              </w:rPr>
            </w:pPr>
            <w:r>
              <w:rPr>
                <w:spacing w:val="-10"/>
                <w:sz w:val="24"/>
              </w:rPr>
              <w:t>0</w:t>
            </w:r>
          </w:p>
        </w:tc>
        <w:tc>
          <w:tcPr>
            <w:tcW w:w="4183" w:type="dxa"/>
          </w:tcPr>
          <w:p>
            <w:pPr>
              <w:pStyle w:val="TableParagraph"/>
              <w:spacing w:line="256" w:lineRule="exact"/>
              <w:ind w:left="328" w:right="259"/>
              <w:jc w:val="center"/>
              <w:rPr>
                <w:i/>
                <w:sz w:val="24"/>
              </w:rPr>
            </w:pPr>
            <w:r>
              <w:rPr>
                <w:i/>
                <w:sz w:val="24"/>
              </w:rPr>
              <w:t>Primary</w:t>
            </w:r>
            <w:r>
              <w:rPr>
                <w:i/>
                <w:spacing w:val="-1"/>
                <w:sz w:val="24"/>
              </w:rPr>
              <w:t> </w:t>
            </w:r>
            <w:r>
              <w:rPr>
                <w:i/>
                <w:spacing w:val="-2"/>
                <w:sz w:val="24"/>
              </w:rPr>
              <w:t>education</w:t>
            </w:r>
          </w:p>
        </w:tc>
        <w:tc>
          <w:tcPr>
            <w:tcW w:w="536" w:type="dxa"/>
          </w:tcPr>
          <w:p>
            <w:pPr>
              <w:pStyle w:val="TableParagraph"/>
              <w:spacing w:line="256" w:lineRule="exact"/>
              <w:ind w:right="41"/>
              <w:jc w:val="right"/>
              <w:rPr>
                <w:sz w:val="24"/>
              </w:rPr>
            </w:pPr>
            <w:r>
              <w:rPr>
                <w:spacing w:val="-10"/>
                <w:sz w:val="24"/>
              </w:rPr>
              <w:t>2</w:t>
            </w:r>
          </w:p>
        </w:tc>
      </w:tr>
      <w:tr>
        <w:trPr>
          <w:trHeight w:val="828" w:hRule="atLeast"/>
        </w:trPr>
        <w:tc>
          <w:tcPr>
            <w:tcW w:w="1197" w:type="dxa"/>
          </w:tcPr>
          <w:p>
            <w:pPr>
              <w:pStyle w:val="TableParagraph"/>
              <w:ind w:left="50"/>
              <w:rPr>
                <w:b/>
                <w:sz w:val="24"/>
              </w:rPr>
            </w:pPr>
            <w:r>
              <w:rPr>
                <w:b/>
                <w:spacing w:val="-2"/>
                <w:sz w:val="24"/>
              </w:rPr>
              <w:t>Access</w:t>
            </w:r>
          </w:p>
        </w:tc>
        <w:tc>
          <w:tcPr>
            <w:tcW w:w="4528" w:type="dxa"/>
            <w:gridSpan w:val="5"/>
          </w:tcPr>
          <w:p>
            <w:pPr>
              <w:pStyle w:val="TableParagraph"/>
              <w:ind w:left="470"/>
              <w:rPr>
                <w:sz w:val="24"/>
              </w:rPr>
            </w:pPr>
            <w:r>
              <w:rPr>
                <w:sz w:val="24"/>
              </w:rPr>
              <w:t>[A1]:</w:t>
            </w:r>
            <w:r>
              <w:rPr>
                <w:spacing w:val="-15"/>
                <w:sz w:val="24"/>
              </w:rPr>
              <w:t> </w:t>
            </w:r>
            <w:r>
              <w:rPr>
                <w:sz w:val="24"/>
              </w:rPr>
              <w:t>Household</w:t>
            </w:r>
            <w:r>
              <w:rPr>
                <w:spacing w:val="-15"/>
                <w:sz w:val="24"/>
              </w:rPr>
              <w:t> </w:t>
            </w:r>
            <w:r>
              <w:rPr>
                <w:sz w:val="24"/>
              </w:rPr>
              <w:t>with</w:t>
            </w:r>
            <w:r>
              <w:rPr>
                <w:spacing w:val="-15"/>
                <w:sz w:val="24"/>
              </w:rPr>
              <w:t> </w:t>
            </w:r>
            <w:r>
              <w:rPr>
                <w:sz w:val="24"/>
              </w:rPr>
              <w:t>access</w:t>
            </w:r>
            <w:r>
              <w:rPr>
                <w:spacing w:val="-15"/>
                <w:sz w:val="24"/>
              </w:rPr>
              <w:t> </w:t>
            </w:r>
            <w:r>
              <w:rPr>
                <w:sz w:val="24"/>
              </w:rPr>
              <w:t>to</w:t>
            </w:r>
            <w:r>
              <w:rPr>
                <w:spacing w:val="-15"/>
                <w:sz w:val="24"/>
              </w:rPr>
              <w:t> </w:t>
            </w:r>
            <w:r>
              <w:rPr>
                <w:sz w:val="24"/>
              </w:rPr>
              <w:t>public water supply</w:t>
            </w:r>
          </w:p>
          <w:p>
            <w:pPr>
              <w:pStyle w:val="TableParagraph"/>
              <w:spacing w:line="261" w:lineRule="exact"/>
              <w:ind w:left="470"/>
              <w:rPr>
                <w:i/>
                <w:sz w:val="24"/>
              </w:rPr>
            </w:pPr>
            <w:r>
              <w:rPr>
                <w:i/>
                <w:spacing w:val="-5"/>
                <w:sz w:val="24"/>
              </w:rPr>
              <w:t>Yes</w:t>
            </w:r>
          </w:p>
        </w:tc>
        <w:tc>
          <w:tcPr>
            <w:tcW w:w="955" w:type="dxa"/>
          </w:tcPr>
          <w:p>
            <w:pPr>
              <w:pStyle w:val="TableParagraph"/>
              <w:spacing w:before="271"/>
              <w:rPr>
                <w:sz w:val="24"/>
              </w:rPr>
            </w:pPr>
          </w:p>
          <w:p>
            <w:pPr>
              <w:pStyle w:val="TableParagraph"/>
              <w:spacing w:line="261" w:lineRule="exact"/>
              <w:ind w:right="13"/>
              <w:jc w:val="center"/>
              <w:rPr>
                <w:sz w:val="24"/>
              </w:rPr>
            </w:pPr>
            <w:r>
              <w:rPr>
                <w:spacing w:val="-10"/>
                <w:sz w:val="24"/>
              </w:rPr>
              <w:t>1</w:t>
            </w:r>
          </w:p>
        </w:tc>
        <w:tc>
          <w:tcPr>
            <w:tcW w:w="4183" w:type="dxa"/>
          </w:tcPr>
          <w:p>
            <w:pPr>
              <w:pStyle w:val="TableParagraph"/>
              <w:spacing w:line="271" w:lineRule="exact"/>
              <w:ind w:left="328" w:right="257"/>
              <w:jc w:val="center"/>
              <w:rPr>
                <w:i/>
                <w:sz w:val="24"/>
              </w:rPr>
            </w:pPr>
            <w:r>
              <w:rPr>
                <w:i/>
                <w:sz w:val="24"/>
              </w:rPr>
              <w:t>Quranic/Adult </w:t>
            </w:r>
            <w:r>
              <w:rPr>
                <w:i/>
                <w:spacing w:val="-2"/>
                <w:sz w:val="24"/>
              </w:rPr>
              <w:t>education</w:t>
            </w:r>
          </w:p>
          <w:p>
            <w:pPr>
              <w:pStyle w:val="TableParagraph"/>
              <w:rPr>
                <w:sz w:val="24"/>
              </w:rPr>
            </w:pPr>
          </w:p>
          <w:p>
            <w:pPr>
              <w:pStyle w:val="TableParagraph"/>
              <w:spacing w:line="261" w:lineRule="exact"/>
              <w:ind w:left="328" w:right="256"/>
              <w:jc w:val="center"/>
              <w:rPr>
                <w:i/>
                <w:sz w:val="24"/>
              </w:rPr>
            </w:pPr>
            <w:r>
              <w:rPr>
                <w:i/>
                <w:spacing w:val="-4"/>
                <w:sz w:val="24"/>
              </w:rPr>
              <w:t>None</w:t>
            </w:r>
          </w:p>
        </w:tc>
        <w:tc>
          <w:tcPr>
            <w:tcW w:w="536" w:type="dxa"/>
          </w:tcPr>
          <w:p>
            <w:pPr>
              <w:pStyle w:val="TableParagraph"/>
              <w:spacing w:line="271" w:lineRule="exact"/>
              <w:ind w:right="41"/>
              <w:jc w:val="right"/>
              <w:rPr>
                <w:sz w:val="24"/>
              </w:rPr>
            </w:pPr>
            <w:r>
              <w:rPr>
                <w:spacing w:val="-10"/>
                <w:sz w:val="24"/>
              </w:rPr>
              <w:t>1</w:t>
            </w:r>
          </w:p>
          <w:p>
            <w:pPr>
              <w:pStyle w:val="TableParagraph"/>
              <w:rPr>
                <w:sz w:val="24"/>
              </w:rPr>
            </w:pPr>
          </w:p>
          <w:p>
            <w:pPr>
              <w:pStyle w:val="TableParagraph"/>
              <w:spacing w:line="261" w:lineRule="exact"/>
              <w:ind w:right="41"/>
              <w:jc w:val="right"/>
              <w:rPr>
                <w:sz w:val="24"/>
              </w:rPr>
            </w:pPr>
            <w:r>
              <w:rPr>
                <w:spacing w:val="-10"/>
                <w:sz w:val="24"/>
              </w:rPr>
              <w:t>0</w:t>
            </w:r>
          </w:p>
        </w:tc>
      </w:tr>
      <w:tr>
        <w:trPr>
          <w:trHeight w:val="546" w:hRule="atLeast"/>
        </w:trPr>
        <w:tc>
          <w:tcPr>
            <w:tcW w:w="1197" w:type="dxa"/>
          </w:tcPr>
          <w:p>
            <w:pPr>
              <w:pStyle w:val="TableParagraph"/>
              <w:rPr>
                <w:sz w:val="22"/>
              </w:rPr>
            </w:pPr>
          </w:p>
        </w:tc>
        <w:tc>
          <w:tcPr>
            <w:tcW w:w="4528" w:type="dxa"/>
            <w:gridSpan w:val="5"/>
          </w:tcPr>
          <w:p>
            <w:pPr>
              <w:pStyle w:val="TableParagraph"/>
              <w:spacing w:line="271" w:lineRule="exact"/>
              <w:ind w:left="470"/>
              <w:rPr>
                <w:i/>
                <w:sz w:val="24"/>
              </w:rPr>
            </w:pPr>
            <w:r>
              <w:rPr>
                <w:i/>
                <w:spacing w:val="-5"/>
                <w:sz w:val="24"/>
              </w:rPr>
              <w:t>No</w:t>
            </w:r>
          </w:p>
          <w:p>
            <w:pPr>
              <w:pStyle w:val="TableParagraph"/>
              <w:spacing w:line="256" w:lineRule="exact"/>
              <w:ind w:left="470"/>
              <w:rPr>
                <w:sz w:val="24"/>
              </w:rPr>
            </w:pPr>
            <w:r>
              <w:rPr>
                <w:sz w:val="24"/>
              </w:rPr>
              <w:t>[A2]:</w:t>
            </w:r>
            <w:r>
              <w:rPr>
                <w:spacing w:val="6"/>
                <w:sz w:val="24"/>
              </w:rPr>
              <w:t> </w:t>
            </w:r>
            <w:r>
              <w:rPr>
                <w:sz w:val="24"/>
              </w:rPr>
              <w:t>Household</w:t>
            </w:r>
            <w:r>
              <w:rPr>
                <w:spacing w:val="6"/>
                <w:sz w:val="24"/>
              </w:rPr>
              <w:t> </w:t>
            </w:r>
            <w:r>
              <w:rPr>
                <w:sz w:val="24"/>
              </w:rPr>
              <w:t>with</w:t>
            </w:r>
            <w:r>
              <w:rPr>
                <w:spacing w:val="6"/>
                <w:sz w:val="24"/>
              </w:rPr>
              <w:t> </w:t>
            </w:r>
            <w:r>
              <w:rPr>
                <w:sz w:val="24"/>
              </w:rPr>
              <w:t>access</w:t>
            </w:r>
            <w:r>
              <w:rPr>
                <w:spacing w:val="6"/>
                <w:sz w:val="24"/>
              </w:rPr>
              <w:t> </w:t>
            </w:r>
            <w:r>
              <w:rPr>
                <w:sz w:val="24"/>
              </w:rPr>
              <w:t>to</w:t>
            </w:r>
            <w:r>
              <w:rPr>
                <w:spacing w:val="8"/>
                <w:sz w:val="24"/>
              </w:rPr>
              <w:t> </w:t>
            </w:r>
            <w:r>
              <w:rPr>
                <w:spacing w:val="-2"/>
                <w:sz w:val="24"/>
              </w:rPr>
              <w:t>water</w:t>
            </w:r>
          </w:p>
        </w:tc>
        <w:tc>
          <w:tcPr>
            <w:tcW w:w="955" w:type="dxa"/>
          </w:tcPr>
          <w:p>
            <w:pPr>
              <w:pStyle w:val="TableParagraph"/>
              <w:spacing w:line="271" w:lineRule="exact"/>
              <w:ind w:right="13"/>
              <w:jc w:val="center"/>
              <w:rPr>
                <w:sz w:val="24"/>
              </w:rPr>
            </w:pPr>
            <w:r>
              <w:rPr>
                <w:spacing w:val="-10"/>
                <w:sz w:val="24"/>
              </w:rPr>
              <w:t>0</w:t>
            </w:r>
          </w:p>
        </w:tc>
        <w:tc>
          <w:tcPr>
            <w:tcW w:w="4183" w:type="dxa"/>
          </w:tcPr>
          <w:p>
            <w:pPr>
              <w:pStyle w:val="TableParagraph"/>
              <w:rPr>
                <w:sz w:val="22"/>
              </w:rPr>
            </w:pPr>
          </w:p>
        </w:tc>
        <w:tc>
          <w:tcPr>
            <w:tcW w:w="536" w:type="dxa"/>
          </w:tcPr>
          <w:p>
            <w:pPr>
              <w:pStyle w:val="TableParagraph"/>
              <w:rPr>
                <w:sz w:val="22"/>
              </w:rPr>
            </w:pPr>
          </w:p>
        </w:tc>
      </w:tr>
    </w:tbl>
    <w:p>
      <w:pPr>
        <w:pStyle w:val="BodyText"/>
        <w:tabs>
          <w:tab w:pos="1853" w:val="left" w:leader="none"/>
          <w:tab w:pos="12121" w:val="left" w:leader="none"/>
        </w:tabs>
        <w:spacing w:before="3"/>
        <w:ind w:left="113"/>
      </w:pPr>
      <w:r>
        <w:rPr>
          <w:u w:val="single"/>
        </w:rPr>
        <w:tab/>
      </w:r>
      <w:r>
        <w:rPr>
          <w:spacing w:val="-2"/>
          <w:u w:val="single"/>
        </w:rPr>
        <w:t>treatment</w:t>
      </w:r>
      <w:r>
        <w:rPr>
          <w:u w:val="single"/>
        </w:rPr>
        <w:tab/>
      </w:r>
    </w:p>
    <w:p>
      <w:pPr>
        <w:spacing w:after="0"/>
        <w:sectPr>
          <w:type w:val="continuous"/>
          <w:pgSz w:w="15840" w:h="12240" w:orient="landscape"/>
          <w:pgMar w:header="0" w:footer="1068" w:top="1340" w:bottom="1260" w:left="1860" w:right="1580"/>
        </w:sectPr>
      </w:pPr>
    </w:p>
    <w:p>
      <w:pPr>
        <w:pStyle w:val="Heading1"/>
        <w:spacing w:before="68" w:after="4"/>
        <w:ind w:left="127"/>
      </w:pPr>
      <w:r>
        <w:rPr/>
        <w:t>Table</w:t>
      </w:r>
      <w:r>
        <w:rPr>
          <w:spacing w:val="-4"/>
        </w:rPr>
        <w:t> </w:t>
      </w:r>
      <w:r>
        <w:rPr/>
        <w:t>4.18b:</w:t>
      </w:r>
      <w:r>
        <w:rPr>
          <w:spacing w:val="-1"/>
        </w:rPr>
        <w:t> </w:t>
      </w:r>
      <w:r>
        <w:rPr/>
        <w:t>Operationalization</w:t>
      </w:r>
      <w:r>
        <w:rPr>
          <w:spacing w:val="-2"/>
        </w:rPr>
        <w:t> </w:t>
      </w:r>
      <w:r>
        <w:rPr/>
        <w:t>of the</w:t>
      </w:r>
      <w:r>
        <w:rPr>
          <w:spacing w:val="-2"/>
        </w:rPr>
        <w:t> </w:t>
      </w:r>
      <w:r>
        <w:rPr/>
        <w:t>Water</w:t>
      </w:r>
      <w:r>
        <w:rPr>
          <w:spacing w:val="-2"/>
        </w:rPr>
        <w:t> </w:t>
      </w:r>
      <w:r>
        <w:rPr/>
        <w:t>Poverty</w:t>
      </w:r>
      <w:r>
        <w:rPr>
          <w:spacing w:val="-2"/>
        </w:rPr>
        <w:t> </w:t>
      </w:r>
      <w:r>
        <w:rPr/>
        <w:t>Indicators</w:t>
      </w:r>
      <w:r>
        <w:rPr>
          <w:spacing w:val="-1"/>
        </w:rPr>
        <w:t> </w:t>
      </w:r>
      <w:r>
        <w:rPr/>
        <w:t>for</w:t>
      </w:r>
      <w:r>
        <w:rPr>
          <w:spacing w:val="-2"/>
        </w:rPr>
        <w:t> Normalization</w:t>
      </w:r>
    </w:p>
    <w:tbl>
      <w:tblPr>
        <w:tblW w:w="0" w:type="auto"/>
        <w:jc w:val="left"/>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3"/>
        <w:gridCol w:w="4266"/>
        <w:gridCol w:w="1177"/>
        <w:gridCol w:w="1468"/>
        <w:gridCol w:w="2548"/>
        <w:gridCol w:w="1176"/>
      </w:tblGrid>
      <w:tr>
        <w:trPr>
          <w:trHeight w:val="313" w:hRule="atLeast"/>
        </w:trPr>
        <w:tc>
          <w:tcPr>
            <w:tcW w:w="1423" w:type="dxa"/>
            <w:tcBorders>
              <w:top w:val="single" w:sz="4" w:space="0" w:color="000000"/>
              <w:bottom w:val="single" w:sz="4" w:space="0" w:color="000000"/>
            </w:tcBorders>
          </w:tcPr>
          <w:p>
            <w:pPr>
              <w:pStyle w:val="TableParagraph"/>
              <w:spacing w:before="15"/>
              <w:ind w:left="115"/>
              <w:rPr>
                <w:b/>
                <w:sz w:val="24"/>
              </w:rPr>
            </w:pPr>
            <w:r>
              <w:rPr>
                <w:b/>
                <w:spacing w:val="-2"/>
                <w:sz w:val="24"/>
              </w:rPr>
              <w:t>Component</w:t>
            </w:r>
          </w:p>
        </w:tc>
        <w:tc>
          <w:tcPr>
            <w:tcW w:w="4266" w:type="dxa"/>
            <w:tcBorders>
              <w:top w:val="single" w:sz="4" w:space="0" w:color="000000"/>
              <w:bottom w:val="single" w:sz="4" w:space="0" w:color="000000"/>
            </w:tcBorders>
          </w:tcPr>
          <w:p>
            <w:pPr>
              <w:pStyle w:val="TableParagraph"/>
              <w:spacing w:before="15"/>
              <w:ind w:left="108"/>
              <w:rPr>
                <w:b/>
                <w:sz w:val="24"/>
              </w:rPr>
            </w:pPr>
            <w:r>
              <w:rPr>
                <w:b/>
                <w:spacing w:val="-2"/>
                <w:sz w:val="24"/>
              </w:rPr>
              <w:t>Indicator</w:t>
            </w:r>
          </w:p>
        </w:tc>
        <w:tc>
          <w:tcPr>
            <w:tcW w:w="1177" w:type="dxa"/>
            <w:tcBorders>
              <w:top w:val="single" w:sz="4" w:space="0" w:color="000000"/>
              <w:bottom w:val="single" w:sz="4" w:space="0" w:color="000000"/>
            </w:tcBorders>
          </w:tcPr>
          <w:p>
            <w:pPr>
              <w:pStyle w:val="TableParagraph"/>
              <w:spacing w:before="15"/>
              <w:ind w:left="3" w:right="1"/>
              <w:jc w:val="center"/>
              <w:rPr>
                <w:b/>
                <w:sz w:val="24"/>
              </w:rPr>
            </w:pPr>
            <w:r>
              <w:rPr>
                <w:b/>
                <w:spacing w:val="-2"/>
                <w:sz w:val="24"/>
              </w:rPr>
              <w:t>Recoding</w:t>
            </w:r>
          </w:p>
        </w:tc>
        <w:tc>
          <w:tcPr>
            <w:tcW w:w="1468" w:type="dxa"/>
            <w:tcBorders>
              <w:top w:val="single" w:sz="4" w:space="0" w:color="000000"/>
              <w:bottom w:val="single" w:sz="4" w:space="0" w:color="000000"/>
            </w:tcBorders>
          </w:tcPr>
          <w:p>
            <w:pPr>
              <w:pStyle w:val="TableParagraph"/>
              <w:spacing w:before="15"/>
              <w:ind w:left="2" w:right="49"/>
              <w:jc w:val="center"/>
              <w:rPr>
                <w:b/>
                <w:sz w:val="24"/>
              </w:rPr>
            </w:pPr>
            <w:r>
              <w:rPr>
                <w:b/>
                <w:spacing w:val="-2"/>
                <w:sz w:val="24"/>
              </w:rPr>
              <w:t>Component</w:t>
            </w:r>
          </w:p>
        </w:tc>
        <w:tc>
          <w:tcPr>
            <w:tcW w:w="2548" w:type="dxa"/>
            <w:tcBorders>
              <w:top w:val="single" w:sz="4" w:space="0" w:color="000000"/>
              <w:bottom w:val="single" w:sz="4" w:space="0" w:color="000000"/>
            </w:tcBorders>
          </w:tcPr>
          <w:p>
            <w:pPr>
              <w:pStyle w:val="TableParagraph"/>
              <w:spacing w:before="15"/>
              <w:ind w:left="110"/>
              <w:rPr>
                <w:b/>
                <w:sz w:val="24"/>
              </w:rPr>
            </w:pPr>
            <w:r>
              <w:rPr>
                <w:b/>
                <w:spacing w:val="-2"/>
                <w:sz w:val="24"/>
              </w:rPr>
              <w:t>Indicator</w:t>
            </w:r>
          </w:p>
        </w:tc>
        <w:tc>
          <w:tcPr>
            <w:tcW w:w="1176" w:type="dxa"/>
            <w:tcBorders>
              <w:top w:val="single" w:sz="4" w:space="0" w:color="000000"/>
              <w:bottom w:val="single" w:sz="4" w:space="0" w:color="000000"/>
            </w:tcBorders>
          </w:tcPr>
          <w:p>
            <w:pPr>
              <w:pStyle w:val="TableParagraph"/>
              <w:spacing w:before="15"/>
              <w:ind w:left="7" w:right="1"/>
              <w:jc w:val="center"/>
              <w:rPr>
                <w:b/>
                <w:sz w:val="24"/>
              </w:rPr>
            </w:pPr>
            <w:r>
              <w:rPr>
                <w:b/>
                <w:spacing w:val="-2"/>
                <w:sz w:val="24"/>
              </w:rPr>
              <w:t>Recoding</w:t>
            </w:r>
          </w:p>
        </w:tc>
      </w:tr>
      <w:tr>
        <w:trPr>
          <w:trHeight w:val="919" w:hRule="atLeast"/>
        </w:trPr>
        <w:tc>
          <w:tcPr>
            <w:tcW w:w="1423" w:type="dxa"/>
            <w:tcBorders>
              <w:top w:val="single" w:sz="4" w:space="0" w:color="000000"/>
            </w:tcBorders>
          </w:tcPr>
          <w:p>
            <w:pPr>
              <w:pStyle w:val="TableParagraph"/>
              <w:rPr>
                <w:sz w:val="24"/>
              </w:rPr>
            </w:pPr>
          </w:p>
        </w:tc>
        <w:tc>
          <w:tcPr>
            <w:tcW w:w="4266" w:type="dxa"/>
            <w:tcBorders>
              <w:top w:val="single" w:sz="4" w:space="0" w:color="000000"/>
            </w:tcBorders>
          </w:tcPr>
          <w:p>
            <w:pPr>
              <w:pStyle w:val="TableParagraph"/>
              <w:spacing w:line="268" w:lineRule="exact"/>
              <w:ind w:left="108"/>
              <w:rPr>
                <w:sz w:val="24"/>
              </w:rPr>
            </w:pPr>
            <w:r>
              <w:rPr>
                <w:sz w:val="24"/>
              </w:rPr>
              <w:t>[C4]:</w:t>
            </w:r>
            <w:r>
              <w:rPr>
                <w:spacing w:val="-4"/>
                <w:sz w:val="24"/>
              </w:rPr>
              <w:t> </w:t>
            </w:r>
            <w:r>
              <w:rPr>
                <w:sz w:val="24"/>
              </w:rPr>
              <w:t>Frequency</w:t>
            </w:r>
            <w:r>
              <w:rPr>
                <w:spacing w:val="-5"/>
                <w:sz w:val="24"/>
              </w:rPr>
              <w:t> </w:t>
            </w:r>
            <w:r>
              <w:rPr>
                <w:sz w:val="24"/>
              </w:rPr>
              <w:t>of</w:t>
            </w:r>
            <w:r>
              <w:rPr>
                <w:spacing w:val="-1"/>
                <w:sz w:val="24"/>
              </w:rPr>
              <w:t> </w:t>
            </w:r>
            <w:r>
              <w:rPr>
                <w:sz w:val="24"/>
              </w:rPr>
              <w:t>water related</w:t>
            </w:r>
            <w:r>
              <w:rPr>
                <w:spacing w:val="-1"/>
                <w:sz w:val="24"/>
              </w:rPr>
              <w:t> </w:t>
            </w:r>
            <w:r>
              <w:rPr>
                <w:spacing w:val="-2"/>
                <w:sz w:val="24"/>
              </w:rPr>
              <w:t>illness</w:t>
            </w:r>
          </w:p>
        </w:tc>
        <w:tc>
          <w:tcPr>
            <w:tcW w:w="1177" w:type="dxa"/>
            <w:tcBorders>
              <w:top w:val="single" w:sz="4" w:space="0" w:color="000000"/>
            </w:tcBorders>
          </w:tcPr>
          <w:p>
            <w:pPr>
              <w:pStyle w:val="TableParagraph"/>
              <w:rPr>
                <w:sz w:val="24"/>
              </w:rPr>
            </w:pPr>
          </w:p>
        </w:tc>
        <w:tc>
          <w:tcPr>
            <w:tcW w:w="1468" w:type="dxa"/>
            <w:tcBorders>
              <w:top w:val="single" w:sz="4" w:space="0" w:color="000000"/>
            </w:tcBorders>
          </w:tcPr>
          <w:p>
            <w:pPr>
              <w:pStyle w:val="TableParagraph"/>
              <w:spacing w:line="268" w:lineRule="exact"/>
              <w:ind w:left="49" w:right="47"/>
              <w:jc w:val="center"/>
              <w:rPr>
                <w:sz w:val="24"/>
              </w:rPr>
            </w:pPr>
            <w:r>
              <w:rPr>
                <w:spacing w:val="-2"/>
                <w:sz w:val="24"/>
              </w:rPr>
              <w:t>Environment</w:t>
            </w:r>
          </w:p>
        </w:tc>
        <w:tc>
          <w:tcPr>
            <w:tcW w:w="2548" w:type="dxa"/>
            <w:tcBorders>
              <w:top w:val="single" w:sz="4" w:space="0" w:color="000000"/>
            </w:tcBorders>
          </w:tcPr>
          <w:p>
            <w:pPr>
              <w:pStyle w:val="TableParagraph"/>
              <w:tabs>
                <w:tab w:pos="1403" w:val="left" w:leader="none"/>
              </w:tabs>
              <w:ind w:left="110" w:right="104"/>
              <w:jc w:val="both"/>
              <w:rPr>
                <w:sz w:val="24"/>
              </w:rPr>
            </w:pPr>
            <w:r>
              <w:rPr>
                <w:spacing w:val="-2"/>
                <w:sz w:val="24"/>
              </w:rPr>
              <w:t>[E1]:</w:t>
            </w:r>
            <w:r>
              <w:rPr>
                <w:sz w:val="24"/>
              </w:rPr>
              <w:tab/>
            </w:r>
            <w:r>
              <w:rPr>
                <w:spacing w:val="-2"/>
                <w:sz w:val="24"/>
              </w:rPr>
              <w:t>Household </w:t>
            </w:r>
            <w:r>
              <w:rPr>
                <w:sz w:val="24"/>
              </w:rPr>
              <w:t>perceived</w:t>
            </w:r>
            <w:r>
              <w:rPr>
                <w:spacing w:val="-12"/>
                <w:sz w:val="24"/>
              </w:rPr>
              <w:t> </w:t>
            </w:r>
            <w:r>
              <w:rPr>
                <w:sz w:val="24"/>
              </w:rPr>
              <w:t>assessment</w:t>
            </w:r>
            <w:r>
              <w:rPr>
                <w:spacing w:val="-14"/>
                <w:sz w:val="24"/>
              </w:rPr>
              <w:t> </w:t>
            </w:r>
            <w:r>
              <w:rPr>
                <w:sz w:val="24"/>
              </w:rPr>
              <w:t>of water quality</w:t>
            </w:r>
          </w:p>
        </w:tc>
        <w:tc>
          <w:tcPr>
            <w:tcW w:w="1176" w:type="dxa"/>
            <w:tcBorders>
              <w:top w:val="single" w:sz="4" w:space="0" w:color="000000"/>
            </w:tcBorders>
          </w:tcPr>
          <w:p>
            <w:pPr>
              <w:pStyle w:val="TableParagraph"/>
              <w:rPr>
                <w:sz w:val="24"/>
              </w:rPr>
            </w:pPr>
          </w:p>
        </w:tc>
      </w:tr>
      <w:tr>
        <w:trPr>
          <w:trHeight w:val="390" w:hRule="atLeast"/>
        </w:trPr>
        <w:tc>
          <w:tcPr>
            <w:tcW w:w="1423" w:type="dxa"/>
          </w:tcPr>
          <w:p>
            <w:pPr>
              <w:pStyle w:val="TableParagraph"/>
              <w:rPr>
                <w:sz w:val="24"/>
              </w:rPr>
            </w:pPr>
          </w:p>
        </w:tc>
        <w:tc>
          <w:tcPr>
            <w:tcW w:w="4266" w:type="dxa"/>
          </w:tcPr>
          <w:p>
            <w:pPr>
              <w:pStyle w:val="TableParagraph"/>
              <w:spacing w:before="89"/>
              <w:ind w:left="108"/>
              <w:rPr>
                <w:i/>
                <w:sz w:val="24"/>
              </w:rPr>
            </w:pPr>
            <w:r>
              <w:rPr>
                <w:i/>
                <w:spacing w:val="-2"/>
                <w:sz w:val="24"/>
              </w:rPr>
              <w:t>Frequently</w:t>
            </w:r>
          </w:p>
        </w:tc>
        <w:tc>
          <w:tcPr>
            <w:tcW w:w="1177" w:type="dxa"/>
          </w:tcPr>
          <w:p>
            <w:pPr>
              <w:pStyle w:val="TableParagraph"/>
              <w:spacing w:before="89"/>
              <w:ind w:left="3"/>
              <w:jc w:val="center"/>
              <w:rPr>
                <w:sz w:val="24"/>
              </w:rPr>
            </w:pPr>
            <w:r>
              <w:rPr>
                <w:spacing w:val="-10"/>
                <w:sz w:val="24"/>
              </w:rPr>
              <w:t>2</w:t>
            </w:r>
          </w:p>
        </w:tc>
        <w:tc>
          <w:tcPr>
            <w:tcW w:w="1468" w:type="dxa"/>
          </w:tcPr>
          <w:p>
            <w:pPr>
              <w:pStyle w:val="TableParagraph"/>
              <w:rPr>
                <w:sz w:val="24"/>
              </w:rPr>
            </w:pPr>
          </w:p>
        </w:tc>
        <w:tc>
          <w:tcPr>
            <w:tcW w:w="2548" w:type="dxa"/>
          </w:tcPr>
          <w:p>
            <w:pPr>
              <w:pStyle w:val="TableParagraph"/>
              <w:spacing w:before="89"/>
              <w:ind w:left="110"/>
              <w:rPr>
                <w:i/>
                <w:sz w:val="24"/>
              </w:rPr>
            </w:pPr>
            <w:r>
              <w:rPr>
                <w:i/>
                <w:sz w:val="24"/>
              </w:rPr>
              <w:t>Very</w:t>
            </w:r>
            <w:r>
              <w:rPr>
                <w:i/>
                <w:spacing w:val="-3"/>
                <w:sz w:val="24"/>
              </w:rPr>
              <w:t> </w:t>
            </w:r>
            <w:r>
              <w:rPr>
                <w:i/>
                <w:spacing w:val="-4"/>
                <w:sz w:val="24"/>
              </w:rPr>
              <w:t>good</w:t>
            </w:r>
          </w:p>
        </w:tc>
        <w:tc>
          <w:tcPr>
            <w:tcW w:w="1176" w:type="dxa"/>
          </w:tcPr>
          <w:p>
            <w:pPr>
              <w:pStyle w:val="TableParagraph"/>
              <w:spacing w:before="89"/>
              <w:ind w:left="7"/>
              <w:jc w:val="center"/>
              <w:rPr>
                <w:sz w:val="24"/>
              </w:rPr>
            </w:pPr>
            <w:r>
              <w:rPr>
                <w:spacing w:val="-10"/>
                <w:sz w:val="24"/>
              </w:rPr>
              <w:t>4</w:t>
            </w:r>
          </w:p>
        </w:tc>
      </w:tr>
      <w:tr>
        <w:trPr>
          <w:trHeight w:val="314" w:hRule="atLeast"/>
        </w:trPr>
        <w:tc>
          <w:tcPr>
            <w:tcW w:w="1423" w:type="dxa"/>
          </w:tcPr>
          <w:p>
            <w:pPr>
              <w:pStyle w:val="TableParagraph"/>
              <w:rPr>
                <w:sz w:val="22"/>
              </w:rPr>
            </w:pPr>
          </w:p>
        </w:tc>
        <w:tc>
          <w:tcPr>
            <w:tcW w:w="4266" w:type="dxa"/>
          </w:tcPr>
          <w:p>
            <w:pPr>
              <w:pStyle w:val="TableParagraph"/>
              <w:spacing w:before="14"/>
              <w:ind w:left="108"/>
              <w:rPr>
                <w:i/>
                <w:sz w:val="24"/>
              </w:rPr>
            </w:pPr>
            <w:r>
              <w:rPr>
                <w:i/>
                <w:spacing w:val="-2"/>
                <w:sz w:val="24"/>
              </w:rPr>
              <w:t>Occasionally</w:t>
            </w:r>
          </w:p>
        </w:tc>
        <w:tc>
          <w:tcPr>
            <w:tcW w:w="1177" w:type="dxa"/>
          </w:tcPr>
          <w:p>
            <w:pPr>
              <w:pStyle w:val="TableParagraph"/>
              <w:spacing w:before="14"/>
              <w:ind w:left="3"/>
              <w:jc w:val="center"/>
              <w:rPr>
                <w:sz w:val="24"/>
              </w:rPr>
            </w:pPr>
            <w:r>
              <w:rPr>
                <w:spacing w:val="-10"/>
                <w:sz w:val="24"/>
              </w:rPr>
              <w:t>1</w:t>
            </w:r>
          </w:p>
        </w:tc>
        <w:tc>
          <w:tcPr>
            <w:tcW w:w="1468" w:type="dxa"/>
          </w:tcPr>
          <w:p>
            <w:pPr>
              <w:pStyle w:val="TableParagraph"/>
              <w:rPr>
                <w:sz w:val="22"/>
              </w:rPr>
            </w:pPr>
          </w:p>
        </w:tc>
        <w:tc>
          <w:tcPr>
            <w:tcW w:w="2548" w:type="dxa"/>
          </w:tcPr>
          <w:p>
            <w:pPr>
              <w:pStyle w:val="TableParagraph"/>
              <w:spacing w:before="14"/>
              <w:ind w:left="110"/>
              <w:rPr>
                <w:i/>
                <w:sz w:val="24"/>
              </w:rPr>
            </w:pPr>
            <w:r>
              <w:rPr>
                <w:i/>
                <w:spacing w:val="-4"/>
                <w:sz w:val="24"/>
              </w:rPr>
              <w:t>Good</w:t>
            </w:r>
          </w:p>
        </w:tc>
        <w:tc>
          <w:tcPr>
            <w:tcW w:w="1176" w:type="dxa"/>
          </w:tcPr>
          <w:p>
            <w:pPr>
              <w:pStyle w:val="TableParagraph"/>
              <w:spacing w:before="14"/>
              <w:ind w:left="7"/>
              <w:jc w:val="center"/>
              <w:rPr>
                <w:sz w:val="24"/>
              </w:rPr>
            </w:pPr>
            <w:r>
              <w:rPr>
                <w:spacing w:val="-10"/>
                <w:sz w:val="24"/>
              </w:rPr>
              <w:t>3</w:t>
            </w:r>
          </w:p>
        </w:tc>
      </w:tr>
      <w:tr>
        <w:trPr>
          <w:trHeight w:val="315" w:hRule="atLeast"/>
        </w:trPr>
        <w:tc>
          <w:tcPr>
            <w:tcW w:w="1423" w:type="dxa"/>
          </w:tcPr>
          <w:p>
            <w:pPr>
              <w:pStyle w:val="TableParagraph"/>
              <w:rPr>
                <w:sz w:val="24"/>
              </w:rPr>
            </w:pPr>
          </w:p>
        </w:tc>
        <w:tc>
          <w:tcPr>
            <w:tcW w:w="4266" w:type="dxa"/>
          </w:tcPr>
          <w:p>
            <w:pPr>
              <w:pStyle w:val="TableParagraph"/>
              <w:spacing w:before="14"/>
              <w:ind w:left="108"/>
              <w:rPr>
                <w:i/>
                <w:sz w:val="24"/>
              </w:rPr>
            </w:pPr>
            <w:r>
              <w:rPr>
                <w:i/>
                <w:spacing w:val="-2"/>
                <w:sz w:val="24"/>
              </w:rPr>
              <w:t>Never</w:t>
            </w:r>
          </w:p>
        </w:tc>
        <w:tc>
          <w:tcPr>
            <w:tcW w:w="1177" w:type="dxa"/>
          </w:tcPr>
          <w:p>
            <w:pPr>
              <w:pStyle w:val="TableParagraph"/>
              <w:spacing w:before="14"/>
              <w:ind w:left="3"/>
              <w:jc w:val="center"/>
              <w:rPr>
                <w:sz w:val="24"/>
              </w:rPr>
            </w:pPr>
            <w:r>
              <w:rPr>
                <w:spacing w:val="-10"/>
                <w:sz w:val="24"/>
              </w:rPr>
              <w:t>0</w:t>
            </w:r>
          </w:p>
        </w:tc>
        <w:tc>
          <w:tcPr>
            <w:tcW w:w="1468" w:type="dxa"/>
          </w:tcPr>
          <w:p>
            <w:pPr>
              <w:pStyle w:val="TableParagraph"/>
              <w:rPr>
                <w:sz w:val="24"/>
              </w:rPr>
            </w:pPr>
          </w:p>
        </w:tc>
        <w:tc>
          <w:tcPr>
            <w:tcW w:w="2548" w:type="dxa"/>
          </w:tcPr>
          <w:p>
            <w:pPr>
              <w:pStyle w:val="TableParagraph"/>
              <w:spacing w:before="14"/>
              <w:ind w:left="110"/>
              <w:rPr>
                <w:i/>
                <w:sz w:val="24"/>
              </w:rPr>
            </w:pPr>
            <w:r>
              <w:rPr>
                <w:i/>
                <w:spacing w:val="-4"/>
                <w:sz w:val="24"/>
              </w:rPr>
              <w:t>Fair</w:t>
            </w:r>
          </w:p>
        </w:tc>
        <w:tc>
          <w:tcPr>
            <w:tcW w:w="1176" w:type="dxa"/>
          </w:tcPr>
          <w:p>
            <w:pPr>
              <w:pStyle w:val="TableParagraph"/>
              <w:spacing w:before="14"/>
              <w:ind w:left="7"/>
              <w:jc w:val="center"/>
              <w:rPr>
                <w:sz w:val="24"/>
              </w:rPr>
            </w:pPr>
            <w:r>
              <w:rPr>
                <w:spacing w:val="-10"/>
                <w:sz w:val="24"/>
              </w:rPr>
              <w:t>2</w:t>
            </w:r>
          </w:p>
        </w:tc>
      </w:tr>
      <w:tr>
        <w:trPr>
          <w:trHeight w:val="606" w:hRule="atLeast"/>
        </w:trPr>
        <w:tc>
          <w:tcPr>
            <w:tcW w:w="1423" w:type="dxa"/>
          </w:tcPr>
          <w:p>
            <w:pPr>
              <w:pStyle w:val="TableParagraph"/>
              <w:rPr>
                <w:sz w:val="24"/>
              </w:rPr>
            </w:pPr>
          </w:p>
        </w:tc>
        <w:tc>
          <w:tcPr>
            <w:tcW w:w="4266" w:type="dxa"/>
          </w:tcPr>
          <w:p>
            <w:pPr>
              <w:pStyle w:val="TableParagraph"/>
              <w:spacing w:before="15"/>
              <w:ind w:left="108"/>
              <w:rPr>
                <w:sz w:val="24"/>
              </w:rPr>
            </w:pPr>
            <w:r>
              <w:rPr>
                <w:sz w:val="24"/>
              </w:rPr>
              <w:t>[C5]:</w:t>
            </w:r>
            <w:r>
              <w:rPr>
                <w:spacing w:val="29"/>
                <w:sz w:val="24"/>
              </w:rPr>
              <w:t> </w:t>
            </w:r>
            <w:r>
              <w:rPr>
                <w:sz w:val="24"/>
              </w:rPr>
              <w:t>Household</w:t>
            </w:r>
            <w:r>
              <w:rPr>
                <w:spacing w:val="29"/>
                <w:sz w:val="24"/>
              </w:rPr>
              <w:t> </w:t>
            </w:r>
            <w:r>
              <w:rPr>
                <w:sz w:val="24"/>
              </w:rPr>
              <w:t>with</w:t>
            </w:r>
            <w:r>
              <w:rPr>
                <w:spacing w:val="26"/>
                <w:sz w:val="24"/>
              </w:rPr>
              <w:t> </w:t>
            </w:r>
            <w:r>
              <w:rPr>
                <w:sz w:val="24"/>
              </w:rPr>
              <w:t>at</w:t>
            </w:r>
            <w:r>
              <w:rPr>
                <w:spacing w:val="26"/>
                <w:sz w:val="24"/>
              </w:rPr>
              <w:t> </w:t>
            </w:r>
            <w:r>
              <w:rPr>
                <w:sz w:val="24"/>
              </w:rPr>
              <w:t>least</w:t>
            </w:r>
            <w:r>
              <w:rPr>
                <w:spacing w:val="29"/>
                <w:sz w:val="24"/>
              </w:rPr>
              <w:t> </w:t>
            </w:r>
            <w:r>
              <w:rPr>
                <w:sz w:val="24"/>
              </w:rPr>
              <w:t>a</w:t>
            </w:r>
            <w:r>
              <w:rPr>
                <w:spacing w:val="27"/>
                <w:sz w:val="24"/>
              </w:rPr>
              <w:t> </w:t>
            </w:r>
            <w:r>
              <w:rPr>
                <w:sz w:val="24"/>
              </w:rPr>
              <w:t>member with knowledge of hygiene</w:t>
            </w:r>
          </w:p>
        </w:tc>
        <w:tc>
          <w:tcPr>
            <w:tcW w:w="1177" w:type="dxa"/>
          </w:tcPr>
          <w:p>
            <w:pPr>
              <w:pStyle w:val="TableParagraph"/>
              <w:rPr>
                <w:sz w:val="24"/>
              </w:rPr>
            </w:pPr>
          </w:p>
        </w:tc>
        <w:tc>
          <w:tcPr>
            <w:tcW w:w="1468" w:type="dxa"/>
          </w:tcPr>
          <w:p>
            <w:pPr>
              <w:pStyle w:val="TableParagraph"/>
              <w:rPr>
                <w:sz w:val="24"/>
              </w:rPr>
            </w:pPr>
          </w:p>
        </w:tc>
        <w:tc>
          <w:tcPr>
            <w:tcW w:w="2548" w:type="dxa"/>
          </w:tcPr>
          <w:p>
            <w:pPr>
              <w:pStyle w:val="TableParagraph"/>
              <w:spacing w:before="15"/>
              <w:ind w:left="110"/>
              <w:rPr>
                <w:i/>
                <w:sz w:val="24"/>
              </w:rPr>
            </w:pPr>
            <w:r>
              <w:rPr>
                <w:i/>
                <w:spacing w:val="-4"/>
                <w:sz w:val="24"/>
              </w:rPr>
              <w:t>Poor</w:t>
            </w:r>
          </w:p>
        </w:tc>
        <w:tc>
          <w:tcPr>
            <w:tcW w:w="1176" w:type="dxa"/>
          </w:tcPr>
          <w:p>
            <w:pPr>
              <w:pStyle w:val="TableParagraph"/>
              <w:spacing w:before="15"/>
              <w:ind w:left="7"/>
              <w:jc w:val="center"/>
              <w:rPr>
                <w:sz w:val="24"/>
              </w:rPr>
            </w:pPr>
            <w:r>
              <w:rPr>
                <w:spacing w:val="-10"/>
                <w:sz w:val="24"/>
              </w:rPr>
              <w:t>1</w:t>
            </w:r>
          </w:p>
        </w:tc>
      </w:tr>
      <w:tr>
        <w:trPr>
          <w:trHeight w:val="328" w:hRule="atLeast"/>
        </w:trPr>
        <w:tc>
          <w:tcPr>
            <w:tcW w:w="1423" w:type="dxa"/>
          </w:tcPr>
          <w:p>
            <w:pPr>
              <w:pStyle w:val="TableParagraph"/>
              <w:rPr>
                <w:sz w:val="24"/>
              </w:rPr>
            </w:pPr>
          </w:p>
        </w:tc>
        <w:tc>
          <w:tcPr>
            <w:tcW w:w="4266" w:type="dxa"/>
          </w:tcPr>
          <w:p>
            <w:pPr>
              <w:pStyle w:val="TableParagraph"/>
              <w:spacing w:before="28"/>
              <w:ind w:left="108"/>
              <w:rPr>
                <w:i/>
                <w:sz w:val="24"/>
              </w:rPr>
            </w:pPr>
            <w:r>
              <w:rPr>
                <w:i/>
                <w:spacing w:val="-5"/>
                <w:sz w:val="24"/>
              </w:rPr>
              <w:t>Yes</w:t>
            </w:r>
          </w:p>
        </w:tc>
        <w:tc>
          <w:tcPr>
            <w:tcW w:w="1177" w:type="dxa"/>
          </w:tcPr>
          <w:p>
            <w:pPr>
              <w:pStyle w:val="TableParagraph"/>
              <w:spacing w:before="28"/>
              <w:ind w:left="3"/>
              <w:jc w:val="center"/>
              <w:rPr>
                <w:sz w:val="24"/>
              </w:rPr>
            </w:pPr>
            <w:r>
              <w:rPr>
                <w:spacing w:val="-10"/>
                <w:sz w:val="24"/>
              </w:rPr>
              <w:t>1</w:t>
            </w:r>
          </w:p>
        </w:tc>
        <w:tc>
          <w:tcPr>
            <w:tcW w:w="1468" w:type="dxa"/>
          </w:tcPr>
          <w:p>
            <w:pPr>
              <w:pStyle w:val="TableParagraph"/>
              <w:rPr>
                <w:sz w:val="24"/>
              </w:rPr>
            </w:pPr>
          </w:p>
        </w:tc>
        <w:tc>
          <w:tcPr>
            <w:tcW w:w="2548" w:type="dxa"/>
          </w:tcPr>
          <w:p>
            <w:pPr>
              <w:pStyle w:val="TableParagraph"/>
              <w:spacing w:before="28"/>
              <w:ind w:left="110"/>
              <w:rPr>
                <w:i/>
                <w:sz w:val="24"/>
              </w:rPr>
            </w:pPr>
            <w:r>
              <w:rPr>
                <w:i/>
                <w:sz w:val="24"/>
              </w:rPr>
              <w:t>Very</w:t>
            </w:r>
            <w:r>
              <w:rPr>
                <w:i/>
                <w:spacing w:val="-3"/>
                <w:sz w:val="24"/>
              </w:rPr>
              <w:t> </w:t>
            </w:r>
            <w:r>
              <w:rPr>
                <w:i/>
                <w:spacing w:val="-4"/>
                <w:sz w:val="24"/>
              </w:rPr>
              <w:t>poor</w:t>
            </w:r>
          </w:p>
        </w:tc>
        <w:tc>
          <w:tcPr>
            <w:tcW w:w="1176" w:type="dxa"/>
          </w:tcPr>
          <w:p>
            <w:pPr>
              <w:pStyle w:val="TableParagraph"/>
              <w:spacing w:before="28"/>
              <w:ind w:left="7"/>
              <w:jc w:val="center"/>
              <w:rPr>
                <w:sz w:val="24"/>
              </w:rPr>
            </w:pPr>
            <w:r>
              <w:rPr>
                <w:spacing w:val="-10"/>
                <w:sz w:val="24"/>
              </w:rPr>
              <w:t>0</w:t>
            </w:r>
          </w:p>
        </w:tc>
      </w:tr>
      <w:tr>
        <w:trPr>
          <w:trHeight w:val="586" w:hRule="atLeast"/>
        </w:trPr>
        <w:tc>
          <w:tcPr>
            <w:tcW w:w="1423" w:type="dxa"/>
          </w:tcPr>
          <w:p>
            <w:pPr>
              <w:pStyle w:val="TableParagraph"/>
              <w:rPr>
                <w:sz w:val="24"/>
              </w:rPr>
            </w:pPr>
          </w:p>
        </w:tc>
        <w:tc>
          <w:tcPr>
            <w:tcW w:w="4266" w:type="dxa"/>
          </w:tcPr>
          <w:p>
            <w:pPr>
              <w:pStyle w:val="TableParagraph"/>
              <w:spacing w:before="14"/>
              <w:ind w:left="108"/>
              <w:rPr>
                <w:i/>
                <w:sz w:val="24"/>
              </w:rPr>
            </w:pPr>
            <w:r>
              <w:rPr>
                <w:i/>
                <w:spacing w:val="-5"/>
                <w:sz w:val="24"/>
              </w:rPr>
              <w:t>No</w:t>
            </w:r>
          </w:p>
        </w:tc>
        <w:tc>
          <w:tcPr>
            <w:tcW w:w="1177" w:type="dxa"/>
          </w:tcPr>
          <w:p>
            <w:pPr>
              <w:pStyle w:val="TableParagraph"/>
              <w:spacing w:before="14"/>
              <w:ind w:left="3"/>
              <w:jc w:val="center"/>
              <w:rPr>
                <w:sz w:val="24"/>
              </w:rPr>
            </w:pPr>
            <w:r>
              <w:rPr>
                <w:spacing w:val="-10"/>
                <w:sz w:val="24"/>
              </w:rPr>
              <w:t>0</w:t>
            </w:r>
          </w:p>
        </w:tc>
        <w:tc>
          <w:tcPr>
            <w:tcW w:w="1468" w:type="dxa"/>
          </w:tcPr>
          <w:p>
            <w:pPr>
              <w:pStyle w:val="TableParagraph"/>
              <w:rPr>
                <w:sz w:val="24"/>
              </w:rPr>
            </w:pPr>
          </w:p>
        </w:tc>
        <w:tc>
          <w:tcPr>
            <w:tcW w:w="2548" w:type="dxa"/>
          </w:tcPr>
          <w:p>
            <w:pPr>
              <w:pStyle w:val="TableParagraph"/>
              <w:tabs>
                <w:tab w:pos="997" w:val="left" w:leader="none"/>
                <w:tab w:pos="2240" w:val="left" w:leader="none"/>
              </w:tabs>
              <w:spacing w:before="14"/>
              <w:ind w:left="110" w:right="105"/>
              <w:rPr>
                <w:sz w:val="24"/>
              </w:rPr>
            </w:pPr>
            <w:r>
              <w:rPr>
                <w:spacing w:val="-2"/>
                <w:sz w:val="24"/>
              </w:rPr>
              <w:t>[E2]:</w:t>
            </w:r>
            <w:r>
              <w:rPr>
                <w:sz w:val="24"/>
              </w:rPr>
              <w:tab/>
            </w:r>
            <w:r>
              <w:rPr>
                <w:spacing w:val="-2"/>
                <w:sz w:val="24"/>
              </w:rPr>
              <w:t>Presence</w:t>
            </w:r>
            <w:r>
              <w:rPr>
                <w:sz w:val="24"/>
              </w:rPr>
              <w:tab/>
            </w:r>
            <w:r>
              <w:rPr>
                <w:spacing w:val="-6"/>
                <w:sz w:val="24"/>
              </w:rPr>
              <w:t>of </w:t>
            </w:r>
            <w:r>
              <w:rPr>
                <w:sz w:val="24"/>
              </w:rPr>
              <w:t>sanitation facilities</w:t>
            </w:r>
          </w:p>
        </w:tc>
        <w:tc>
          <w:tcPr>
            <w:tcW w:w="1176" w:type="dxa"/>
          </w:tcPr>
          <w:p>
            <w:pPr>
              <w:pStyle w:val="TableParagraph"/>
              <w:rPr>
                <w:sz w:val="24"/>
              </w:rPr>
            </w:pPr>
          </w:p>
        </w:tc>
      </w:tr>
      <w:tr>
        <w:trPr>
          <w:trHeight w:val="843" w:hRule="atLeast"/>
        </w:trPr>
        <w:tc>
          <w:tcPr>
            <w:tcW w:w="1423" w:type="dxa"/>
          </w:tcPr>
          <w:p>
            <w:pPr>
              <w:pStyle w:val="TableParagraph"/>
              <w:rPr>
                <w:sz w:val="24"/>
              </w:rPr>
            </w:pPr>
          </w:p>
        </w:tc>
        <w:tc>
          <w:tcPr>
            <w:tcW w:w="4266" w:type="dxa"/>
          </w:tcPr>
          <w:p>
            <w:pPr>
              <w:pStyle w:val="TableParagraph"/>
              <w:spacing w:line="270" w:lineRule="atLeast"/>
              <w:ind w:left="108" w:right="106"/>
              <w:jc w:val="both"/>
              <w:rPr>
                <w:sz w:val="24"/>
              </w:rPr>
            </w:pPr>
            <w:r>
              <w:rPr>
                <w:sz w:val="24"/>
              </w:rPr>
              <w:t>[C6]:</w:t>
            </w:r>
            <w:r>
              <w:rPr>
                <w:spacing w:val="-15"/>
                <w:sz w:val="24"/>
              </w:rPr>
              <w:t> </w:t>
            </w:r>
            <w:r>
              <w:rPr>
                <w:sz w:val="24"/>
              </w:rPr>
              <w:t>Household</w:t>
            </w:r>
            <w:r>
              <w:rPr>
                <w:spacing w:val="-15"/>
                <w:sz w:val="24"/>
              </w:rPr>
              <w:t> </w:t>
            </w:r>
            <w:r>
              <w:rPr>
                <w:sz w:val="24"/>
              </w:rPr>
              <w:t>aggregate</w:t>
            </w:r>
            <w:r>
              <w:rPr>
                <w:spacing w:val="-15"/>
                <w:sz w:val="24"/>
              </w:rPr>
              <w:t> </w:t>
            </w:r>
            <w:r>
              <w:rPr>
                <w:sz w:val="24"/>
              </w:rPr>
              <w:t>expenditure</w:t>
            </w:r>
            <w:r>
              <w:rPr>
                <w:spacing w:val="-15"/>
                <w:sz w:val="24"/>
              </w:rPr>
              <w:t> </w:t>
            </w:r>
            <w:r>
              <w:rPr>
                <w:sz w:val="24"/>
              </w:rPr>
              <w:t>on drinking</w:t>
            </w:r>
            <w:r>
              <w:rPr>
                <w:spacing w:val="-11"/>
                <w:sz w:val="24"/>
              </w:rPr>
              <w:t> </w:t>
            </w:r>
            <w:r>
              <w:rPr>
                <w:sz w:val="24"/>
              </w:rPr>
              <w:t>water,</w:t>
            </w:r>
            <w:r>
              <w:rPr>
                <w:spacing w:val="-8"/>
                <w:sz w:val="24"/>
              </w:rPr>
              <w:t> </w:t>
            </w:r>
            <w:r>
              <w:rPr>
                <w:sz w:val="24"/>
              </w:rPr>
              <w:t>domestic</w:t>
            </w:r>
            <w:r>
              <w:rPr>
                <w:spacing w:val="-7"/>
                <w:sz w:val="24"/>
              </w:rPr>
              <w:t> </w:t>
            </w:r>
            <w:r>
              <w:rPr>
                <w:sz w:val="24"/>
              </w:rPr>
              <w:t>and</w:t>
            </w:r>
            <w:r>
              <w:rPr>
                <w:spacing w:val="-8"/>
                <w:sz w:val="24"/>
              </w:rPr>
              <w:t> </w:t>
            </w:r>
            <w:r>
              <w:rPr>
                <w:sz w:val="24"/>
              </w:rPr>
              <w:t>public</w:t>
            </w:r>
            <w:r>
              <w:rPr>
                <w:spacing w:val="-9"/>
                <w:sz w:val="24"/>
              </w:rPr>
              <w:t> </w:t>
            </w:r>
            <w:r>
              <w:rPr>
                <w:sz w:val="24"/>
              </w:rPr>
              <w:t>water </w:t>
            </w:r>
            <w:r>
              <w:rPr>
                <w:spacing w:val="-2"/>
                <w:sz w:val="24"/>
              </w:rPr>
              <w:t>supply</w:t>
            </w:r>
          </w:p>
        </w:tc>
        <w:tc>
          <w:tcPr>
            <w:tcW w:w="1177" w:type="dxa"/>
          </w:tcPr>
          <w:p>
            <w:pPr>
              <w:pStyle w:val="TableParagraph"/>
              <w:rPr>
                <w:sz w:val="24"/>
              </w:rPr>
            </w:pPr>
          </w:p>
        </w:tc>
        <w:tc>
          <w:tcPr>
            <w:tcW w:w="1468" w:type="dxa"/>
          </w:tcPr>
          <w:p>
            <w:pPr>
              <w:pStyle w:val="TableParagraph"/>
              <w:rPr>
                <w:sz w:val="24"/>
              </w:rPr>
            </w:pPr>
          </w:p>
        </w:tc>
        <w:tc>
          <w:tcPr>
            <w:tcW w:w="2548" w:type="dxa"/>
          </w:tcPr>
          <w:p>
            <w:pPr>
              <w:pStyle w:val="TableParagraph"/>
              <w:spacing w:before="10"/>
              <w:ind w:left="110"/>
              <w:rPr>
                <w:sz w:val="24"/>
              </w:rPr>
            </w:pPr>
            <w:r>
              <w:rPr>
                <w:spacing w:val="-5"/>
                <w:sz w:val="24"/>
              </w:rPr>
              <w:t>Yes</w:t>
            </w:r>
          </w:p>
        </w:tc>
        <w:tc>
          <w:tcPr>
            <w:tcW w:w="1176" w:type="dxa"/>
          </w:tcPr>
          <w:p>
            <w:pPr>
              <w:pStyle w:val="TableParagraph"/>
              <w:spacing w:before="10"/>
              <w:ind w:left="7"/>
              <w:jc w:val="center"/>
              <w:rPr>
                <w:sz w:val="24"/>
              </w:rPr>
            </w:pPr>
            <w:r>
              <w:rPr>
                <w:spacing w:val="-10"/>
                <w:sz w:val="24"/>
              </w:rPr>
              <w:t>1</w:t>
            </w:r>
          </w:p>
        </w:tc>
      </w:tr>
      <w:tr>
        <w:trPr>
          <w:trHeight w:val="627" w:hRule="atLeast"/>
        </w:trPr>
        <w:tc>
          <w:tcPr>
            <w:tcW w:w="1423" w:type="dxa"/>
          </w:tcPr>
          <w:p>
            <w:pPr>
              <w:pStyle w:val="TableParagraph"/>
              <w:rPr>
                <w:sz w:val="24"/>
              </w:rPr>
            </w:pPr>
          </w:p>
        </w:tc>
        <w:tc>
          <w:tcPr>
            <w:tcW w:w="4266" w:type="dxa"/>
          </w:tcPr>
          <w:p>
            <w:pPr>
              <w:pStyle w:val="TableParagraph"/>
              <w:ind w:left="108" w:right="101"/>
              <w:rPr>
                <w:sz w:val="24"/>
              </w:rPr>
            </w:pPr>
            <w:r>
              <w:rPr>
                <w:sz w:val="24"/>
              </w:rPr>
              <w:t>[C7]:</w:t>
            </w:r>
            <w:r>
              <w:rPr>
                <w:spacing w:val="-15"/>
                <w:sz w:val="24"/>
              </w:rPr>
              <w:t> </w:t>
            </w:r>
            <w:r>
              <w:rPr>
                <w:sz w:val="24"/>
              </w:rPr>
              <w:t>Presence</w:t>
            </w:r>
            <w:r>
              <w:rPr>
                <w:spacing w:val="-15"/>
                <w:sz w:val="24"/>
              </w:rPr>
              <w:t> </w:t>
            </w:r>
            <w:r>
              <w:rPr>
                <w:sz w:val="24"/>
              </w:rPr>
              <w:t>of</w:t>
            </w:r>
            <w:r>
              <w:rPr>
                <w:spacing w:val="-15"/>
                <w:sz w:val="24"/>
              </w:rPr>
              <w:t> </w:t>
            </w:r>
            <w:r>
              <w:rPr>
                <w:sz w:val="24"/>
              </w:rPr>
              <w:t>water</w:t>
            </w:r>
            <w:r>
              <w:rPr>
                <w:spacing w:val="-15"/>
                <w:sz w:val="24"/>
              </w:rPr>
              <w:t> </w:t>
            </w:r>
            <w:r>
              <w:rPr>
                <w:sz w:val="24"/>
              </w:rPr>
              <w:t>point</w:t>
            </w:r>
            <w:r>
              <w:rPr>
                <w:spacing w:val="-15"/>
                <w:sz w:val="24"/>
              </w:rPr>
              <w:t> </w:t>
            </w:r>
            <w:r>
              <w:rPr>
                <w:sz w:val="24"/>
              </w:rPr>
              <w:t>management </w:t>
            </w:r>
            <w:r>
              <w:rPr>
                <w:spacing w:val="-2"/>
                <w:sz w:val="24"/>
              </w:rPr>
              <w:t>committee</w:t>
            </w:r>
          </w:p>
        </w:tc>
        <w:tc>
          <w:tcPr>
            <w:tcW w:w="1177" w:type="dxa"/>
          </w:tcPr>
          <w:p>
            <w:pPr>
              <w:pStyle w:val="TableParagraph"/>
              <w:rPr>
                <w:sz w:val="24"/>
              </w:rPr>
            </w:pPr>
          </w:p>
        </w:tc>
        <w:tc>
          <w:tcPr>
            <w:tcW w:w="1468" w:type="dxa"/>
          </w:tcPr>
          <w:p>
            <w:pPr>
              <w:pStyle w:val="TableParagraph"/>
              <w:rPr>
                <w:sz w:val="24"/>
              </w:rPr>
            </w:pPr>
          </w:p>
        </w:tc>
        <w:tc>
          <w:tcPr>
            <w:tcW w:w="2548" w:type="dxa"/>
          </w:tcPr>
          <w:p>
            <w:pPr>
              <w:pStyle w:val="TableParagraph"/>
              <w:spacing w:line="271" w:lineRule="exact"/>
              <w:ind w:left="110"/>
              <w:rPr>
                <w:sz w:val="24"/>
              </w:rPr>
            </w:pPr>
            <w:r>
              <w:rPr>
                <w:spacing w:val="-5"/>
                <w:sz w:val="24"/>
              </w:rPr>
              <w:t>No</w:t>
            </w:r>
          </w:p>
        </w:tc>
        <w:tc>
          <w:tcPr>
            <w:tcW w:w="1176" w:type="dxa"/>
          </w:tcPr>
          <w:p>
            <w:pPr>
              <w:pStyle w:val="TableParagraph"/>
              <w:spacing w:line="271" w:lineRule="exact"/>
              <w:ind w:left="7"/>
              <w:jc w:val="center"/>
              <w:rPr>
                <w:sz w:val="24"/>
              </w:rPr>
            </w:pPr>
            <w:r>
              <w:rPr>
                <w:spacing w:val="-10"/>
                <w:sz w:val="24"/>
              </w:rPr>
              <w:t>0</w:t>
            </w:r>
          </w:p>
        </w:tc>
      </w:tr>
      <w:tr>
        <w:trPr>
          <w:trHeight w:val="370" w:hRule="atLeast"/>
        </w:trPr>
        <w:tc>
          <w:tcPr>
            <w:tcW w:w="1423" w:type="dxa"/>
          </w:tcPr>
          <w:p>
            <w:pPr>
              <w:pStyle w:val="TableParagraph"/>
              <w:rPr>
                <w:sz w:val="24"/>
              </w:rPr>
            </w:pPr>
          </w:p>
        </w:tc>
        <w:tc>
          <w:tcPr>
            <w:tcW w:w="4266" w:type="dxa"/>
          </w:tcPr>
          <w:p>
            <w:pPr>
              <w:pStyle w:val="TableParagraph"/>
              <w:spacing w:before="70"/>
              <w:ind w:left="108"/>
              <w:rPr>
                <w:sz w:val="24"/>
              </w:rPr>
            </w:pPr>
            <w:r>
              <w:rPr>
                <w:spacing w:val="-5"/>
                <w:sz w:val="24"/>
              </w:rPr>
              <w:t>Yes</w:t>
            </w:r>
          </w:p>
        </w:tc>
        <w:tc>
          <w:tcPr>
            <w:tcW w:w="5193" w:type="dxa"/>
            <w:gridSpan w:val="3"/>
          </w:tcPr>
          <w:p>
            <w:pPr>
              <w:pStyle w:val="TableParagraph"/>
              <w:spacing w:before="70"/>
              <w:ind w:left="530"/>
              <w:rPr>
                <w:sz w:val="24"/>
              </w:rPr>
            </w:pPr>
            <w:r>
              <w:rPr>
                <w:spacing w:val="-10"/>
                <w:sz w:val="24"/>
              </w:rPr>
              <w:t>1</w:t>
            </w:r>
          </w:p>
        </w:tc>
        <w:tc>
          <w:tcPr>
            <w:tcW w:w="1176" w:type="dxa"/>
          </w:tcPr>
          <w:p>
            <w:pPr>
              <w:pStyle w:val="TableParagraph"/>
              <w:rPr>
                <w:sz w:val="24"/>
              </w:rPr>
            </w:pPr>
          </w:p>
        </w:tc>
      </w:tr>
      <w:tr>
        <w:trPr>
          <w:trHeight w:val="314" w:hRule="atLeast"/>
        </w:trPr>
        <w:tc>
          <w:tcPr>
            <w:tcW w:w="1423" w:type="dxa"/>
          </w:tcPr>
          <w:p>
            <w:pPr>
              <w:pStyle w:val="TableParagraph"/>
              <w:rPr>
                <w:sz w:val="22"/>
              </w:rPr>
            </w:pPr>
          </w:p>
        </w:tc>
        <w:tc>
          <w:tcPr>
            <w:tcW w:w="4266" w:type="dxa"/>
          </w:tcPr>
          <w:p>
            <w:pPr>
              <w:pStyle w:val="TableParagraph"/>
              <w:spacing w:before="14"/>
              <w:ind w:left="108"/>
              <w:rPr>
                <w:sz w:val="24"/>
              </w:rPr>
            </w:pPr>
            <w:r>
              <w:rPr>
                <w:spacing w:val="-5"/>
                <w:sz w:val="24"/>
              </w:rPr>
              <w:t>No</w:t>
            </w:r>
          </w:p>
        </w:tc>
        <w:tc>
          <w:tcPr>
            <w:tcW w:w="5193" w:type="dxa"/>
            <w:gridSpan w:val="3"/>
          </w:tcPr>
          <w:p>
            <w:pPr>
              <w:pStyle w:val="TableParagraph"/>
              <w:spacing w:before="14"/>
              <w:ind w:left="530"/>
              <w:rPr>
                <w:sz w:val="24"/>
              </w:rPr>
            </w:pPr>
            <w:r>
              <w:rPr>
                <w:spacing w:val="-10"/>
                <w:sz w:val="24"/>
              </w:rPr>
              <w:t>0</w:t>
            </w:r>
          </w:p>
        </w:tc>
        <w:tc>
          <w:tcPr>
            <w:tcW w:w="1176" w:type="dxa"/>
          </w:tcPr>
          <w:p>
            <w:pPr>
              <w:pStyle w:val="TableParagraph"/>
              <w:rPr>
                <w:sz w:val="22"/>
              </w:rPr>
            </w:pPr>
          </w:p>
        </w:tc>
      </w:tr>
      <w:tr>
        <w:trPr>
          <w:trHeight w:val="604" w:hRule="atLeast"/>
        </w:trPr>
        <w:tc>
          <w:tcPr>
            <w:tcW w:w="1423" w:type="dxa"/>
          </w:tcPr>
          <w:p>
            <w:pPr>
              <w:pStyle w:val="TableParagraph"/>
              <w:spacing w:before="191"/>
              <w:ind w:left="175"/>
              <w:rPr>
                <w:b/>
                <w:sz w:val="24"/>
              </w:rPr>
            </w:pPr>
            <w:r>
              <w:rPr>
                <w:b/>
                <w:spacing w:val="-5"/>
                <w:sz w:val="24"/>
              </w:rPr>
              <w:t>Use</w:t>
            </w:r>
          </w:p>
        </w:tc>
        <w:tc>
          <w:tcPr>
            <w:tcW w:w="4266" w:type="dxa"/>
          </w:tcPr>
          <w:p>
            <w:pPr>
              <w:pStyle w:val="TableParagraph"/>
              <w:spacing w:before="14"/>
              <w:ind w:left="108"/>
              <w:rPr>
                <w:sz w:val="24"/>
              </w:rPr>
            </w:pPr>
            <w:r>
              <w:rPr>
                <w:sz w:val="24"/>
              </w:rPr>
              <w:t>[U1]:</w:t>
            </w:r>
            <w:r>
              <w:rPr>
                <w:spacing w:val="40"/>
                <w:sz w:val="24"/>
              </w:rPr>
              <w:t> </w:t>
            </w:r>
            <w:r>
              <w:rPr>
                <w:sz w:val="24"/>
              </w:rPr>
              <w:t>Domestic</w:t>
            </w:r>
            <w:r>
              <w:rPr>
                <w:spacing w:val="40"/>
                <w:sz w:val="24"/>
              </w:rPr>
              <w:t> </w:t>
            </w:r>
            <w:r>
              <w:rPr>
                <w:sz w:val="24"/>
              </w:rPr>
              <w:t>water</w:t>
            </w:r>
            <w:r>
              <w:rPr>
                <w:spacing w:val="40"/>
                <w:sz w:val="24"/>
              </w:rPr>
              <w:t> </w:t>
            </w:r>
            <w:r>
              <w:rPr>
                <w:sz w:val="24"/>
              </w:rPr>
              <w:t>consumption</w:t>
            </w:r>
            <w:r>
              <w:rPr>
                <w:spacing w:val="40"/>
                <w:sz w:val="24"/>
              </w:rPr>
              <w:t> </w:t>
            </w:r>
            <w:r>
              <w:rPr>
                <w:sz w:val="24"/>
              </w:rPr>
              <w:t>per capita per day</w:t>
            </w:r>
          </w:p>
        </w:tc>
        <w:tc>
          <w:tcPr>
            <w:tcW w:w="5193" w:type="dxa"/>
            <w:gridSpan w:val="3"/>
          </w:tcPr>
          <w:p>
            <w:pPr>
              <w:pStyle w:val="TableParagraph"/>
              <w:rPr>
                <w:sz w:val="24"/>
              </w:rPr>
            </w:pPr>
          </w:p>
        </w:tc>
        <w:tc>
          <w:tcPr>
            <w:tcW w:w="1176" w:type="dxa"/>
          </w:tcPr>
          <w:p>
            <w:pPr>
              <w:pStyle w:val="TableParagraph"/>
              <w:rPr>
                <w:sz w:val="24"/>
              </w:rPr>
            </w:pPr>
          </w:p>
        </w:tc>
      </w:tr>
      <w:tr>
        <w:trPr>
          <w:trHeight w:val="382" w:hRule="atLeast"/>
        </w:trPr>
        <w:tc>
          <w:tcPr>
            <w:tcW w:w="1423" w:type="dxa"/>
          </w:tcPr>
          <w:p>
            <w:pPr>
              <w:pStyle w:val="TableParagraph"/>
              <w:rPr>
                <w:sz w:val="24"/>
              </w:rPr>
            </w:pPr>
          </w:p>
        </w:tc>
        <w:tc>
          <w:tcPr>
            <w:tcW w:w="4266" w:type="dxa"/>
          </w:tcPr>
          <w:p>
            <w:pPr>
              <w:pStyle w:val="TableParagraph"/>
              <w:spacing w:before="28"/>
              <w:ind w:left="108"/>
              <w:rPr>
                <w:sz w:val="24"/>
              </w:rPr>
            </w:pPr>
            <w:r>
              <w:rPr>
                <w:sz w:val="24"/>
              </w:rPr>
              <w:t>[U2]:</w:t>
            </w:r>
            <w:r>
              <w:rPr>
                <w:spacing w:val="-2"/>
                <w:sz w:val="24"/>
              </w:rPr>
              <w:t> </w:t>
            </w:r>
            <w:r>
              <w:rPr>
                <w:sz w:val="24"/>
              </w:rPr>
              <w:t>Water</w:t>
            </w:r>
            <w:r>
              <w:rPr>
                <w:spacing w:val="-2"/>
                <w:sz w:val="24"/>
              </w:rPr>
              <w:t> </w:t>
            </w:r>
            <w:r>
              <w:rPr>
                <w:sz w:val="24"/>
              </w:rPr>
              <w:t>for</w:t>
            </w:r>
            <w:r>
              <w:rPr>
                <w:spacing w:val="-2"/>
                <w:sz w:val="24"/>
              </w:rPr>
              <w:t> </w:t>
            </w:r>
            <w:r>
              <w:rPr>
                <w:sz w:val="24"/>
              </w:rPr>
              <w:t>green use/ watering</w:t>
            </w:r>
            <w:r>
              <w:rPr>
                <w:spacing w:val="-3"/>
                <w:sz w:val="24"/>
              </w:rPr>
              <w:t> </w:t>
            </w:r>
            <w:r>
              <w:rPr>
                <w:spacing w:val="-4"/>
                <w:sz w:val="24"/>
              </w:rPr>
              <w:t>crop</w:t>
            </w:r>
          </w:p>
        </w:tc>
        <w:tc>
          <w:tcPr>
            <w:tcW w:w="5193" w:type="dxa"/>
            <w:gridSpan w:val="3"/>
          </w:tcPr>
          <w:p>
            <w:pPr>
              <w:pStyle w:val="TableParagraph"/>
              <w:rPr>
                <w:sz w:val="24"/>
              </w:rPr>
            </w:pPr>
          </w:p>
        </w:tc>
        <w:tc>
          <w:tcPr>
            <w:tcW w:w="1176" w:type="dxa"/>
          </w:tcPr>
          <w:p>
            <w:pPr>
              <w:pStyle w:val="TableParagraph"/>
              <w:rPr>
                <w:sz w:val="24"/>
              </w:rPr>
            </w:pPr>
          </w:p>
        </w:tc>
      </w:tr>
      <w:tr>
        <w:trPr>
          <w:trHeight w:val="1022" w:hRule="atLeast"/>
        </w:trPr>
        <w:tc>
          <w:tcPr>
            <w:tcW w:w="1423" w:type="dxa"/>
            <w:tcBorders>
              <w:bottom w:val="single" w:sz="4" w:space="0" w:color="000000"/>
            </w:tcBorders>
          </w:tcPr>
          <w:p>
            <w:pPr>
              <w:pStyle w:val="TableParagraph"/>
              <w:rPr>
                <w:sz w:val="24"/>
              </w:rPr>
            </w:pPr>
          </w:p>
        </w:tc>
        <w:tc>
          <w:tcPr>
            <w:tcW w:w="4266" w:type="dxa"/>
            <w:tcBorders>
              <w:bottom w:val="single" w:sz="4" w:space="0" w:color="000000"/>
            </w:tcBorders>
          </w:tcPr>
          <w:p>
            <w:pPr>
              <w:pStyle w:val="TableParagraph"/>
              <w:spacing w:before="68"/>
              <w:ind w:left="108"/>
              <w:rPr>
                <w:sz w:val="24"/>
              </w:rPr>
            </w:pPr>
            <w:r>
              <w:rPr>
                <w:sz w:val="24"/>
              </w:rPr>
              <w:t>[U3]:</w:t>
            </w:r>
            <w:r>
              <w:rPr>
                <w:spacing w:val="40"/>
                <w:sz w:val="24"/>
              </w:rPr>
              <w:t> </w:t>
            </w:r>
            <w:r>
              <w:rPr>
                <w:sz w:val="24"/>
              </w:rPr>
              <w:t>Drinking</w:t>
            </w:r>
            <w:r>
              <w:rPr>
                <w:spacing w:val="40"/>
                <w:sz w:val="24"/>
              </w:rPr>
              <w:t> </w:t>
            </w:r>
            <w:r>
              <w:rPr>
                <w:sz w:val="24"/>
              </w:rPr>
              <w:t>water</w:t>
            </w:r>
            <w:r>
              <w:rPr>
                <w:spacing w:val="40"/>
                <w:sz w:val="24"/>
              </w:rPr>
              <w:t> </w:t>
            </w:r>
            <w:r>
              <w:rPr>
                <w:sz w:val="24"/>
              </w:rPr>
              <w:t>consumption</w:t>
            </w:r>
            <w:r>
              <w:rPr>
                <w:spacing w:val="40"/>
                <w:sz w:val="24"/>
              </w:rPr>
              <w:t> </w:t>
            </w:r>
            <w:r>
              <w:rPr>
                <w:sz w:val="24"/>
              </w:rPr>
              <w:t>per capita per day</w:t>
            </w:r>
          </w:p>
        </w:tc>
        <w:tc>
          <w:tcPr>
            <w:tcW w:w="5193" w:type="dxa"/>
            <w:gridSpan w:val="3"/>
            <w:tcBorders>
              <w:bottom w:val="single" w:sz="4" w:space="0" w:color="000000"/>
            </w:tcBorders>
          </w:tcPr>
          <w:p>
            <w:pPr>
              <w:pStyle w:val="TableParagraph"/>
              <w:rPr>
                <w:sz w:val="24"/>
              </w:rPr>
            </w:pPr>
          </w:p>
        </w:tc>
        <w:tc>
          <w:tcPr>
            <w:tcW w:w="1176" w:type="dxa"/>
            <w:tcBorders>
              <w:bottom w:val="single" w:sz="4" w:space="0" w:color="000000"/>
            </w:tcBorders>
          </w:tcPr>
          <w:p>
            <w:pPr>
              <w:pStyle w:val="TableParagraph"/>
              <w:rPr>
                <w:sz w:val="24"/>
              </w:rPr>
            </w:pPr>
          </w:p>
        </w:tc>
      </w:tr>
    </w:tbl>
    <w:p>
      <w:pPr>
        <w:spacing w:after="0"/>
        <w:rPr>
          <w:sz w:val="24"/>
        </w:rPr>
        <w:sectPr>
          <w:pgSz w:w="15840" w:h="12240" w:orient="landscape"/>
          <w:pgMar w:header="0" w:footer="1068" w:top="1340" w:bottom="1260" w:left="1860" w:right="1580"/>
        </w:sectPr>
      </w:pPr>
    </w:p>
    <w:p>
      <w:pPr>
        <w:pStyle w:val="ListParagraph"/>
        <w:numPr>
          <w:ilvl w:val="3"/>
          <w:numId w:val="10"/>
        </w:numPr>
        <w:tabs>
          <w:tab w:pos="986" w:val="left" w:leader="none"/>
        </w:tabs>
        <w:spacing w:line="240" w:lineRule="auto" w:before="70" w:after="0"/>
        <w:ind w:left="986" w:right="0" w:hanging="719"/>
        <w:jc w:val="both"/>
        <w:rPr>
          <w:b/>
          <w:sz w:val="24"/>
        </w:rPr>
      </w:pPr>
      <w:r>
        <w:rPr>
          <w:b/>
          <w:sz w:val="24"/>
        </w:rPr>
        <w:t>Classification</w:t>
      </w:r>
      <w:r>
        <w:rPr>
          <w:b/>
          <w:spacing w:val="-1"/>
          <w:sz w:val="24"/>
        </w:rPr>
        <w:t> </w:t>
      </w:r>
      <w:r>
        <w:rPr>
          <w:b/>
          <w:sz w:val="24"/>
        </w:rPr>
        <w:t>of</w:t>
      </w:r>
      <w:r>
        <w:rPr>
          <w:b/>
          <w:spacing w:val="-2"/>
          <w:sz w:val="24"/>
        </w:rPr>
        <w:t> </w:t>
      </w:r>
      <w:r>
        <w:rPr>
          <w:b/>
          <w:sz w:val="24"/>
        </w:rPr>
        <w:t>the</w:t>
      </w:r>
      <w:r>
        <w:rPr>
          <w:b/>
          <w:spacing w:val="-3"/>
          <w:sz w:val="24"/>
        </w:rPr>
        <w:t> </w:t>
      </w:r>
      <w:r>
        <w:rPr>
          <w:b/>
          <w:sz w:val="24"/>
        </w:rPr>
        <w:t>Water Poverty</w:t>
      </w:r>
      <w:r>
        <w:rPr>
          <w:b/>
          <w:spacing w:val="-1"/>
          <w:sz w:val="24"/>
        </w:rPr>
        <w:t> </w:t>
      </w:r>
      <w:r>
        <w:rPr>
          <w:b/>
          <w:spacing w:val="-4"/>
          <w:sz w:val="24"/>
        </w:rPr>
        <w:t>Index</w:t>
      </w:r>
    </w:p>
    <w:p>
      <w:pPr>
        <w:pStyle w:val="BodyText"/>
        <w:spacing w:before="15"/>
        <w:rPr>
          <w:b/>
        </w:rPr>
      </w:pPr>
    </w:p>
    <w:p>
      <w:pPr>
        <w:pStyle w:val="BodyText"/>
        <w:spacing w:line="480" w:lineRule="auto"/>
        <w:ind w:left="267" w:right="106"/>
        <w:jc w:val="both"/>
      </w:pPr>
      <w:r>
        <w:rPr/>
        <w:t>Table 4.19 provides the classification and interpretation of the water poverty index. This follows similar approach adopted in the empirical research by El-Gafy (2018). The Table provides the cut-off and interpretation of the water poverty index employed in the study, where</w:t>
      </w:r>
      <w:r>
        <w:rPr>
          <w:spacing w:val="-14"/>
        </w:rPr>
        <w:t> </w:t>
      </w:r>
      <w:r>
        <w:rPr/>
        <w:t>between</w:t>
      </w:r>
      <w:r>
        <w:rPr>
          <w:spacing w:val="-12"/>
        </w:rPr>
        <w:t> </w:t>
      </w:r>
      <w:r>
        <w:rPr/>
        <w:t>0.00</w:t>
      </w:r>
      <w:r>
        <w:rPr>
          <w:spacing w:val="-10"/>
        </w:rPr>
        <w:t> </w:t>
      </w:r>
      <w:r>
        <w:rPr/>
        <w:t>to</w:t>
      </w:r>
      <w:r>
        <w:rPr>
          <w:spacing w:val="-12"/>
        </w:rPr>
        <w:t> </w:t>
      </w:r>
      <w:r>
        <w:rPr/>
        <w:t>20</w:t>
      </w:r>
      <w:r>
        <w:rPr>
          <w:spacing w:val="-10"/>
        </w:rPr>
        <w:t> </w:t>
      </w:r>
      <w:r>
        <w:rPr/>
        <w:t>water</w:t>
      </w:r>
      <w:r>
        <w:rPr>
          <w:spacing w:val="-13"/>
        </w:rPr>
        <w:t> </w:t>
      </w:r>
      <w:r>
        <w:rPr/>
        <w:t>poverty</w:t>
      </w:r>
      <w:r>
        <w:rPr>
          <w:spacing w:val="-17"/>
        </w:rPr>
        <w:t> </w:t>
      </w:r>
      <w:r>
        <w:rPr/>
        <w:t>score</w:t>
      </w:r>
      <w:r>
        <w:rPr>
          <w:spacing w:val="-12"/>
        </w:rPr>
        <w:t> </w:t>
      </w:r>
      <w:r>
        <w:rPr/>
        <w:t>implies</w:t>
      </w:r>
      <w:r>
        <w:rPr>
          <w:spacing w:val="-12"/>
        </w:rPr>
        <w:t> </w:t>
      </w:r>
      <w:r>
        <w:rPr/>
        <w:t>very</w:t>
      </w:r>
      <w:r>
        <w:rPr>
          <w:spacing w:val="-15"/>
        </w:rPr>
        <w:t> </w:t>
      </w:r>
      <w:r>
        <w:rPr/>
        <w:t>poor,</w:t>
      </w:r>
      <w:r>
        <w:rPr>
          <w:spacing w:val="-11"/>
        </w:rPr>
        <w:t> </w:t>
      </w:r>
      <w:r>
        <w:rPr/>
        <w:t>&gt;</w:t>
      </w:r>
      <w:r>
        <w:rPr>
          <w:spacing w:val="-13"/>
        </w:rPr>
        <w:t> </w:t>
      </w:r>
      <w:r>
        <w:rPr/>
        <w:t>20</w:t>
      </w:r>
      <w:r>
        <w:rPr>
          <w:spacing w:val="-10"/>
        </w:rPr>
        <w:t> </w:t>
      </w:r>
      <w:r>
        <w:rPr/>
        <w:t>to</w:t>
      </w:r>
      <w:r>
        <w:rPr>
          <w:spacing w:val="-12"/>
        </w:rPr>
        <w:t> </w:t>
      </w:r>
      <w:r>
        <w:rPr/>
        <w:t>40</w:t>
      </w:r>
      <w:r>
        <w:rPr>
          <w:spacing w:val="-10"/>
        </w:rPr>
        <w:t> </w:t>
      </w:r>
      <w:r>
        <w:rPr/>
        <w:t>is</w:t>
      </w:r>
      <w:r>
        <w:rPr>
          <w:spacing w:val="-12"/>
        </w:rPr>
        <w:t> </w:t>
      </w:r>
      <w:r>
        <w:rPr/>
        <w:t>classified</w:t>
      </w:r>
      <w:r>
        <w:rPr>
          <w:spacing w:val="-9"/>
        </w:rPr>
        <w:t> </w:t>
      </w:r>
      <w:r>
        <w:rPr>
          <w:spacing w:val="-2"/>
        </w:rPr>
        <w:t>poor,</w:t>
      </w:r>
    </w:p>
    <w:p>
      <w:pPr>
        <w:pStyle w:val="BodyText"/>
        <w:spacing w:line="480" w:lineRule="auto"/>
        <w:ind w:left="267" w:right="115"/>
        <w:jc w:val="both"/>
      </w:pPr>
      <w:r>
        <w:rPr/>
        <w:t>&gt;</w:t>
      </w:r>
      <w:r>
        <w:rPr>
          <w:spacing w:val="-13"/>
        </w:rPr>
        <w:t> </w:t>
      </w:r>
      <w:r>
        <w:rPr/>
        <w:t>40</w:t>
      </w:r>
      <w:r>
        <w:rPr>
          <w:spacing w:val="-12"/>
        </w:rPr>
        <w:t> </w:t>
      </w:r>
      <w:r>
        <w:rPr/>
        <w:t>to</w:t>
      </w:r>
      <w:r>
        <w:rPr>
          <w:spacing w:val="-12"/>
        </w:rPr>
        <w:t> </w:t>
      </w:r>
      <w:r>
        <w:rPr/>
        <w:t>60</w:t>
      </w:r>
      <w:r>
        <w:rPr>
          <w:spacing w:val="-10"/>
        </w:rPr>
        <w:t> </w:t>
      </w:r>
      <w:r>
        <w:rPr/>
        <w:t>is</w:t>
      </w:r>
      <w:r>
        <w:rPr>
          <w:spacing w:val="-11"/>
        </w:rPr>
        <w:t> </w:t>
      </w:r>
      <w:r>
        <w:rPr/>
        <w:t>rated</w:t>
      </w:r>
      <w:r>
        <w:rPr>
          <w:spacing w:val="-13"/>
        </w:rPr>
        <w:t> </w:t>
      </w:r>
      <w:r>
        <w:rPr/>
        <w:t>fair,</w:t>
      </w:r>
      <w:r>
        <w:rPr>
          <w:spacing w:val="-12"/>
        </w:rPr>
        <w:t> </w:t>
      </w:r>
      <w:r>
        <w:rPr/>
        <w:t>while</w:t>
      </w:r>
      <w:r>
        <w:rPr>
          <w:spacing w:val="-13"/>
        </w:rPr>
        <w:t> </w:t>
      </w:r>
      <w:r>
        <w:rPr/>
        <w:t>&gt;</w:t>
      </w:r>
      <w:r>
        <w:rPr>
          <w:spacing w:val="-13"/>
        </w:rPr>
        <w:t> </w:t>
      </w:r>
      <w:r>
        <w:rPr/>
        <w:t>60</w:t>
      </w:r>
      <w:r>
        <w:rPr>
          <w:spacing w:val="-10"/>
        </w:rPr>
        <w:t> </w:t>
      </w:r>
      <w:r>
        <w:rPr/>
        <w:t>to</w:t>
      </w:r>
      <w:r>
        <w:rPr>
          <w:spacing w:val="-12"/>
        </w:rPr>
        <w:t> </w:t>
      </w:r>
      <w:r>
        <w:rPr/>
        <w:t>80</w:t>
      </w:r>
      <w:r>
        <w:rPr>
          <w:spacing w:val="-12"/>
        </w:rPr>
        <w:t> </w:t>
      </w:r>
      <w:r>
        <w:rPr/>
        <w:t>is</w:t>
      </w:r>
      <w:r>
        <w:rPr>
          <w:spacing w:val="-9"/>
        </w:rPr>
        <w:t> </w:t>
      </w:r>
      <w:r>
        <w:rPr/>
        <w:t>good,</w:t>
      </w:r>
      <w:r>
        <w:rPr>
          <w:spacing w:val="-10"/>
        </w:rPr>
        <w:t> </w:t>
      </w:r>
      <w:r>
        <w:rPr/>
        <w:t>and</w:t>
      </w:r>
      <w:r>
        <w:rPr>
          <w:spacing w:val="-12"/>
        </w:rPr>
        <w:t> </w:t>
      </w:r>
      <w:r>
        <w:rPr/>
        <w:t>lastly</w:t>
      </w:r>
      <w:r>
        <w:rPr>
          <w:spacing w:val="-14"/>
        </w:rPr>
        <w:t> </w:t>
      </w:r>
      <w:r>
        <w:rPr/>
        <w:t>&gt;80</w:t>
      </w:r>
      <w:r>
        <w:rPr>
          <w:spacing w:val="-12"/>
        </w:rPr>
        <w:t> </w:t>
      </w:r>
      <w:r>
        <w:rPr/>
        <w:t>to</w:t>
      </w:r>
      <w:r>
        <w:rPr>
          <w:spacing w:val="-12"/>
        </w:rPr>
        <w:t> </w:t>
      </w:r>
      <w:r>
        <w:rPr/>
        <w:t>100</w:t>
      </w:r>
      <w:r>
        <w:rPr>
          <w:spacing w:val="-10"/>
        </w:rPr>
        <w:t> </w:t>
      </w:r>
      <w:r>
        <w:rPr/>
        <w:t>implies</w:t>
      </w:r>
      <w:r>
        <w:rPr>
          <w:spacing w:val="-12"/>
        </w:rPr>
        <w:t> </w:t>
      </w:r>
      <w:r>
        <w:rPr/>
        <w:t>excellent</w:t>
      </w:r>
      <w:r>
        <w:rPr>
          <w:spacing w:val="-12"/>
        </w:rPr>
        <w:t> </w:t>
      </w:r>
      <w:r>
        <w:rPr/>
        <w:t>water poverty index.</w:t>
      </w:r>
    </w:p>
    <w:p>
      <w:pPr>
        <w:pStyle w:val="Heading1"/>
        <w:spacing w:before="6" w:after="3"/>
        <w:jc w:val="both"/>
      </w:pPr>
      <w:r>
        <w:rPr/>
        <w:t>Table</w:t>
      </w:r>
      <w:r>
        <w:rPr>
          <w:spacing w:val="-3"/>
        </w:rPr>
        <w:t> </w:t>
      </w:r>
      <w:r>
        <w:rPr/>
        <w:t>4.19:</w:t>
      </w:r>
      <w:r>
        <w:rPr>
          <w:spacing w:val="-2"/>
        </w:rPr>
        <w:t> </w:t>
      </w:r>
      <w:r>
        <w:rPr/>
        <w:t>Classification</w:t>
      </w:r>
      <w:r>
        <w:rPr>
          <w:spacing w:val="-2"/>
        </w:rPr>
        <w:t> </w:t>
      </w:r>
      <w:r>
        <w:rPr/>
        <w:t>and Interpretation</w:t>
      </w:r>
      <w:r>
        <w:rPr>
          <w:spacing w:val="-2"/>
        </w:rPr>
        <w:t> </w:t>
      </w:r>
      <w:r>
        <w:rPr/>
        <w:t>of</w:t>
      </w:r>
      <w:r>
        <w:rPr>
          <w:spacing w:val="-1"/>
        </w:rPr>
        <w:t> </w:t>
      </w:r>
      <w:r>
        <w:rPr/>
        <w:t>the</w:t>
      </w:r>
      <w:r>
        <w:rPr>
          <w:spacing w:val="-2"/>
        </w:rPr>
        <w:t> </w:t>
      </w:r>
      <w:r>
        <w:rPr/>
        <w:t>Water</w:t>
      </w:r>
      <w:r>
        <w:rPr>
          <w:spacing w:val="-1"/>
        </w:rPr>
        <w:t> </w:t>
      </w:r>
      <w:r>
        <w:rPr/>
        <w:t>Poverty</w:t>
      </w:r>
      <w:r>
        <w:rPr>
          <w:spacing w:val="-2"/>
        </w:rPr>
        <w:t> Index</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9"/>
        <w:gridCol w:w="4095"/>
        <w:gridCol w:w="4107"/>
      </w:tblGrid>
      <w:tr>
        <w:trPr>
          <w:trHeight w:val="551" w:hRule="atLeast"/>
        </w:trPr>
        <w:tc>
          <w:tcPr>
            <w:tcW w:w="649" w:type="dxa"/>
            <w:tcBorders>
              <w:top w:val="single" w:sz="8" w:space="0" w:color="000000"/>
              <w:bottom w:val="single" w:sz="8" w:space="0" w:color="000000"/>
            </w:tcBorders>
          </w:tcPr>
          <w:p>
            <w:pPr>
              <w:pStyle w:val="TableParagraph"/>
              <w:spacing w:line="272" w:lineRule="exact"/>
              <w:ind w:left="115"/>
              <w:rPr>
                <w:b/>
                <w:sz w:val="24"/>
              </w:rPr>
            </w:pPr>
            <w:r>
              <w:rPr>
                <w:b/>
                <w:spacing w:val="-5"/>
                <w:sz w:val="24"/>
              </w:rPr>
              <w:t>S/N</w:t>
            </w:r>
          </w:p>
        </w:tc>
        <w:tc>
          <w:tcPr>
            <w:tcW w:w="4095" w:type="dxa"/>
            <w:tcBorders>
              <w:top w:val="single" w:sz="8" w:space="0" w:color="000000"/>
              <w:bottom w:val="single" w:sz="8" w:space="0" w:color="000000"/>
            </w:tcBorders>
          </w:tcPr>
          <w:p>
            <w:pPr>
              <w:pStyle w:val="TableParagraph"/>
              <w:spacing w:line="272" w:lineRule="exact"/>
              <w:ind w:left="159"/>
              <w:rPr>
                <w:b/>
                <w:sz w:val="24"/>
              </w:rPr>
            </w:pPr>
            <w:r>
              <w:rPr>
                <w:b/>
                <w:sz w:val="24"/>
              </w:rPr>
              <w:t>Water</w:t>
            </w:r>
            <w:r>
              <w:rPr>
                <w:b/>
                <w:spacing w:val="-3"/>
                <w:sz w:val="24"/>
              </w:rPr>
              <w:t> </w:t>
            </w:r>
            <w:r>
              <w:rPr>
                <w:b/>
                <w:sz w:val="24"/>
              </w:rPr>
              <w:t>Poverty</w:t>
            </w:r>
            <w:r>
              <w:rPr>
                <w:b/>
                <w:spacing w:val="-2"/>
                <w:sz w:val="24"/>
              </w:rPr>
              <w:t> </w:t>
            </w:r>
            <w:r>
              <w:rPr>
                <w:b/>
                <w:sz w:val="24"/>
              </w:rPr>
              <w:t>Index</w:t>
            </w:r>
            <w:r>
              <w:rPr>
                <w:b/>
                <w:spacing w:val="-1"/>
                <w:sz w:val="24"/>
              </w:rPr>
              <w:t> </w:t>
            </w:r>
            <w:r>
              <w:rPr>
                <w:b/>
                <w:spacing w:val="-2"/>
                <w:sz w:val="24"/>
              </w:rPr>
              <w:t>Classification</w:t>
            </w:r>
          </w:p>
        </w:tc>
        <w:tc>
          <w:tcPr>
            <w:tcW w:w="4107" w:type="dxa"/>
            <w:tcBorders>
              <w:top w:val="single" w:sz="8" w:space="0" w:color="000000"/>
              <w:bottom w:val="single" w:sz="8" w:space="0" w:color="000000"/>
            </w:tcBorders>
          </w:tcPr>
          <w:p>
            <w:pPr>
              <w:pStyle w:val="TableParagraph"/>
              <w:spacing w:line="272" w:lineRule="exact"/>
              <w:ind w:left="328"/>
              <w:rPr>
                <w:b/>
                <w:sz w:val="24"/>
              </w:rPr>
            </w:pPr>
            <w:r>
              <w:rPr>
                <w:b/>
                <w:spacing w:val="-2"/>
                <w:sz w:val="24"/>
              </w:rPr>
              <w:t>Interpretation</w:t>
            </w:r>
          </w:p>
        </w:tc>
      </w:tr>
      <w:tr>
        <w:trPr>
          <w:trHeight w:val="415" w:hRule="atLeast"/>
        </w:trPr>
        <w:tc>
          <w:tcPr>
            <w:tcW w:w="649" w:type="dxa"/>
            <w:tcBorders>
              <w:top w:val="single" w:sz="8" w:space="0" w:color="000000"/>
            </w:tcBorders>
          </w:tcPr>
          <w:p>
            <w:pPr>
              <w:pStyle w:val="TableParagraph"/>
              <w:spacing w:line="275" w:lineRule="exact"/>
              <w:ind w:left="115"/>
              <w:rPr>
                <w:b/>
                <w:sz w:val="24"/>
              </w:rPr>
            </w:pPr>
            <w:r>
              <w:rPr>
                <w:b/>
                <w:spacing w:val="-10"/>
                <w:sz w:val="24"/>
              </w:rPr>
              <w:t>1</w:t>
            </w:r>
          </w:p>
        </w:tc>
        <w:tc>
          <w:tcPr>
            <w:tcW w:w="4095" w:type="dxa"/>
            <w:tcBorders>
              <w:top w:val="single" w:sz="8" w:space="0" w:color="000000"/>
            </w:tcBorders>
          </w:tcPr>
          <w:p>
            <w:pPr>
              <w:pStyle w:val="TableParagraph"/>
              <w:spacing w:line="270" w:lineRule="exact"/>
              <w:ind w:left="159"/>
              <w:rPr>
                <w:sz w:val="24"/>
              </w:rPr>
            </w:pPr>
            <w:r>
              <w:rPr>
                <w:sz w:val="24"/>
              </w:rPr>
              <w:t>0.00 to </w:t>
            </w:r>
            <w:r>
              <w:rPr>
                <w:spacing w:val="-5"/>
                <w:sz w:val="24"/>
              </w:rPr>
              <w:t>20</w:t>
            </w:r>
          </w:p>
        </w:tc>
        <w:tc>
          <w:tcPr>
            <w:tcW w:w="4107" w:type="dxa"/>
            <w:tcBorders>
              <w:top w:val="single" w:sz="8" w:space="0" w:color="000000"/>
            </w:tcBorders>
          </w:tcPr>
          <w:p>
            <w:pPr>
              <w:pStyle w:val="TableParagraph"/>
              <w:spacing w:line="270" w:lineRule="exact"/>
              <w:ind w:left="328"/>
              <w:rPr>
                <w:sz w:val="24"/>
              </w:rPr>
            </w:pPr>
            <w:r>
              <w:rPr>
                <w:sz w:val="24"/>
              </w:rPr>
              <w:t>Very</w:t>
            </w:r>
            <w:r>
              <w:rPr>
                <w:spacing w:val="-4"/>
                <w:sz w:val="24"/>
              </w:rPr>
              <w:t> poor</w:t>
            </w:r>
          </w:p>
        </w:tc>
      </w:tr>
      <w:tr>
        <w:trPr>
          <w:trHeight w:val="551" w:hRule="atLeast"/>
        </w:trPr>
        <w:tc>
          <w:tcPr>
            <w:tcW w:w="649" w:type="dxa"/>
          </w:tcPr>
          <w:p>
            <w:pPr>
              <w:pStyle w:val="TableParagraph"/>
              <w:spacing w:before="135"/>
              <w:ind w:left="115"/>
              <w:rPr>
                <w:b/>
                <w:sz w:val="24"/>
              </w:rPr>
            </w:pPr>
            <w:r>
              <w:rPr>
                <w:b/>
                <w:spacing w:val="-10"/>
                <w:sz w:val="24"/>
              </w:rPr>
              <w:t>2</w:t>
            </w:r>
          </w:p>
        </w:tc>
        <w:tc>
          <w:tcPr>
            <w:tcW w:w="4095" w:type="dxa"/>
          </w:tcPr>
          <w:p>
            <w:pPr>
              <w:pStyle w:val="TableParagraph"/>
              <w:spacing w:before="130"/>
              <w:ind w:left="159"/>
              <w:rPr>
                <w:sz w:val="24"/>
              </w:rPr>
            </w:pPr>
            <w:r>
              <w:rPr>
                <w:sz w:val="24"/>
              </w:rPr>
              <w:t>&gt;20</w:t>
            </w:r>
            <w:r>
              <w:rPr>
                <w:spacing w:val="-1"/>
                <w:sz w:val="24"/>
              </w:rPr>
              <w:t> </w:t>
            </w:r>
            <w:r>
              <w:rPr>
                <w:sz w:val="24"/>
              </w:rPr>
              <w:t>to </w:t>
            </w:r>
            <w:r>
              <w:rPr>
                <w:spacing w:val="-5"/>
                <w:sz w:val="24"/>
              </w:rPr>
              <w:t>40</w:t>
            </w:r>
          </w:p>
        </w:tc>
        <w:tc>
          <w:tcPr>
            <w:tcW w:w="4107" w:type="dxa"/>
          </w:tcPr>
          <w:p>
            <w:pPr>
              <w:pStyle w:val="TableParagraph"/>
              <w:spacing w:before="130"/>
              <w:ind w:left="328"/>
              <w:rPr>
                <w:sz w:val="24"/>
              </w:rPr>
            </w:pPr>
            <w:r>
              <w:rPr>
                <w:spacing w:val="-4"/>
                <w:sz w:val="24"/>
              </w:rPr>
              <w:t>Poor</w:t>
            </w:r>
          </w:p>
        </w:tc>
      </w:tr>
      <w:tr>
        <w:trPr>
          <w:trHeight w:val="552" w:hRule="atLeast"/>
        </w:trPr>
        <w:tc>
          <w:tcPr>
            <w:tcW w:w="649" w:type="dxa"/>
          </w:tcPr>
          <w:p>
            <w:pPr>
              <w:pStyle w:val="TableParagraph"/>
              <w:spacing w:before="135"/>
              <w:ind w:left="115"/>
              <w:rPr>
                <w:b/>
                <w:sz w:val="24"/>
              </w:rPr>
            </w:pPr>
            <w:r>
              <w:rPr>
                <w:b/>
                <w:spacing w:val="-10"/>
                <w:sz w:val="24"/>
              </w:rPr>
              <w:t>3</w:t>
            </w:r>
          </w:p>
        </w:tc>
        <w:tc>
          <w:tcPr>
            <w:tcW w:w="4095" w:type="dxa"/>
          </w:tcPr>
          <w:p>
            <w:pPr>
              <w:pStyle w:val="TableParagraph"/>
              <w:spacing w:before="130"/>
              <w:ind w:left="159"/>
              <w:rPr>
                <w:sz w:val="24"/>
              </w:rPr>
            </w:pPr>
            <w:r>
              <w:rPr>
                <w:sz w:val="24"/>
              </w:rPr>
              <w:t>&gt;</w:t>
            </w:r>
            <w:r>
              <w:rPr>
                <w:spacing w:val="-1"/>
                <w:sz w:val="24"/>
              </w:rPr>
              <w:t> </w:t>
            </w:r>
            <w:r>
              <w:rPr>
                <w:sz w:val="24"/>
              </w:rPr>
              <w:t>40 to </w:t>
            </w:r>
            <w:r>
              <w:rPr>
                <w:spacing w:val="-5"/>
                <w:sz w:val="24"/>
              </w:rPr>
              <w:t>60</w:t>
            </w:r>
          </w:p>
        </w:tc>
        <w:tc>
          <w:tcPr>
            <w:tcW w:w="4107" w:type="dxa"/>
          </w:tcPr>
          <w:p>
            <w:pPr>
              <w:pStyle w:val="TableParagraph"/>
              <w:spacing w:before="130"/>
              <w:ind w:left="328"/>
              <w:rPr>
                <w:sz w:val="24"/>
              </w:rPr>
            </w:pPr>
            <w:r>
              <w:rPr>
                <w:spacing w:val="-4"/>
                <w:sz w:val="24"/>
              </w:rPr>
              <w:t>Fair</w:t>
            </w:r>
          </w:p>
        </w:tc>
      </w:tr>
      <w:tr>
        <w:trPr>
          <w:trHeight w:val="552" w:hRule="atLeast"/>
        </w:trPr>
        <w:tc>
          <w:tcPr>
            <w:tcW w:w="649" w:type="dxa"/>
          </w:tcPr>
          <w:p>
            <w:pPr>
              <w:pStyle w:val="TableParagraph"/>
              <w:spacing w:before="135"/>
              <w:ind w:left="115"/>
              <w:rPr>
                <w:b/>
                <w:sz w:val="24"/>
              </w:rPr>
            </w:pPr>
            <w:r>
              <w:rPr>
                <w:b/>
                <w:spacing w:val="-10"/>
                <w:sz w:val="24"/>
              </w:rPr>
              <w:t>4</w:t>
            </w:r>
          </w:p>
        </w:tc>
        <w:tc>
          <w:tcPr>
            <w:tcW w:w="4095" w:type="dxa"/>
          </w:tcPr>
          <w:p>
            <w:pPr>
              <w:pStyle w:val="TableParagraph"/>
              <w:spacing w:before="130"/>
              <w:ind w:left="159"/>
              <w:rPr>
                <w:sz w:val="24"/>
              </w:rPr>
            </w:pPr>
            <w:r>
              <w:rPr>
                <w:sz w:val="24"/>
              </w:rPr>
              <w:t>&gt;</w:t>
            </w:r>
            <w:r>
              <w:rPr>
                <w:spacing w:val="-1"/>
                <w:sz w:val="24"/>
              </w:rPr>
              <w:t> </w:t>
            </w:r>
            <w:r>
              <w:rPr>
                <w:sz w:val="24"/>
              </w:rPr>
              <w:t>60 to </w:t>
            </w:r>
            <w:r>
              <w:rPr>
                <w:spacing w:val="-5"/>
                <w:sz w:val="24"/>
              </w:rPr>
              <w:t>80</w:t>
            </w:r>
          </w:p>
        </w:tc>
        <w:tc>
          <w:tcPr>
            <w:tcW w:w="4107" w:type="dxa"/>
          </w:tcPr>
          <w:p>
            <w:pPr>
              <w:pStyle w:val="TableParagraph"/>
              <w:spacing w:before="130"/>
              <w:ind w:left="328"/>
              <w:rPr>
                <w:sz w:val="24"/>
              </w:rPr>
            </w:pPr>
            <w:r>
              <w:rPr>
                <w:spacing w:val="-4"/>
                <w:sz w:val="24"/>
              </w:rPr>
              <w:t>Good</w:t>
            </w:r>
          </w:p>
        </w:tc>
      </w:tr>
      <w:tr>
        <w:trPr>
          <w:trHeight w:val="690" w:hRule="atLeast"/>
        </w:trPr>
        <w:tc>
          <w:tcPr>
            <w:tcW w:w="649" w:type="dxa"/>
            <w:tcBorders>
              <w:bottom w:val="single" w:sz="8" w:space="0" w:color="000000"/>
            </w:tcBorders>
          </w:tcPr>
          <w:p>
            <w:pPr>
              <w:pStyle w:val="TableParagraph"/>
              <w:spacing w:before="135"/>
              <w:ind w:left="115"/>
              <w:rPr>
                <w:b/>
                <w:sz w:val="24"/>
              </w:rPr>
            </w:pPr>
            <w:r>
              <w:rPr>
                <w:b/>
                <w:spacing w:val="-10"/>
                <w:sz w:val="24"/>
              </w:rPr>
              <w:t>5</w:t>
            </w:r>
          </w:p>
        </w:tc>
        <w:tc>
          <w:tcPr>
            <w:tcW w:w="4095" w:type="dxa"/>
            <w:tcBorders>
              <w:bottom w:val="single" w:sz="8" w:space="0" w:color="000000"/>
            </w:tcBorders>
          </w:tcPr>
          <w:p>
            <w:pPr>
              <w:pStyle w:val="TableParagraph"/>
              <w:spacing w:before="130"/>
              <w:ind w:left="159"/>
              <w:rPr>
                <w:sz w:val="24"/>
              </w:rPr>
            </w:pPr>
            <w:r>
              <w:rPr>
                <w:sz w:val="24"/>
              </w:rPr>
              <w:t>&gt;</w:t>
            </w:r>
            <w:r>
              <w:rPr>
                <w:spacing w:val="-1"/>
                <w:sz w:val="24"/>
              </w:rPr>
              <w:t> </w:t>
            </w:r>
            <w:r>
              <w:rPr>
                <w:sz w:val="24"/>
              </w:rPr>
              <w:t>80 to </w:t>
            </w:r>
            <w:r>
              <w:rPr>
                <w:spacing w:val="-5"/>
                <w:sz w:val="24"/>
              </w:rPr>
              <w:t>100</w:t>
            </w:r>
          </w:p>
        </w:tc>
        <w:tc>
          <w:tcPr>
            <w:tcW w:w="4107" w:type="dxa"/>
            <w:tcBorders>
              <w:bottom w:val="single" w:sz="8" w:space="0" w:color="000000"/>
            </w:tcBorders>
          </w:tcPr>
          <w:p>
            <w:pPr>
              <w:pStyle w:val="TableParagraph"/>
              <w:spacing w:before="130"/>
              <w:ind w:left="328"/>
              <w:rPr>
                <w:sz w:val="24"/>
              </w:rPr>
            </w:pPr>
            <w:r>
              <w:rPr>
                <w:spacing w:val="-2"/>
                <w:sz w:val="24"/>
              </w:rPr>
              <w:t>Excellent</w:t>
            </w:r>
          </w:p>
        </w:tc>
      </w:tr>
    </w:tbl>
    <w:p>
      <w:pPr>
        <w:pStyle w:val="BodyText"/>
        <w:spacing w:before="137"/>
        <w:rPr>
          <w:b/>
        </w:rPr>
      </w:pPr>
    </w:p>
    <w:p>
      <w:pPr>
        <w:pStyle w:val="ListParagraph"/>
        <w:numPr>
          <w:ilvl w:val="3"/>
          <w:numId w:val="10"/>
        </w:numPr>
        <w:tabs>
          <w:tab w:pos="986" w:val="left" w:leader="none"/>
        </w:tabs>
        <w:spacing w:line="240" w:lineRule="auto" w:before="0" w:after="0"/>
        <w:ind w:left="986" w:right="0" w:hanging="719"/>
        <w:jc w:val="both"/>
        <w:rPr>
          <w:b/>
          <w:sz w:val="24"/>
        </w:rPr>
      </w:pPr>
      <w:r>
        <w:rPr>
          <w:b/>
          <w:sz w:val="24"/>
        </w:rPr>
        <w:t>Statistical</w:t>
      </w:r>
      <w:r>
        <w:rPr>
          <w:b/>
          <w:spacing w:val="-1"/>
          <w:sz w:val="24"/>
        </w:rPr>
        <w:t> </w:t>
      </w:r>
      <w:r>
        <w:rPr>
          <w:b/>
          <w:sz w:val="24"/>
        </w:rPr>
        <w:t>measure</w:t>
      </w:r>
      <w:r>
        <w:rPr>
          <w:b/>
          <w:spacing w:val="-3"/>
          <w:sz w:val="24"/>
        </w:rPr>
        <w:t> </w:t>
      </w:r>
      <w:r>
        <w:rPr>
          <w:b/>
          <w:sz w:val="24"/>
        </w:rPr>
        <w:t>of</w:t>
      </w:r>
      <w:r>
        <w:rPr>
          <w:b/>
          <w:spacing w:val="-1"/>
          <w:sz w:val="24"/>
        </w:rPr>
        <w:t> </w:t>
      </w:r>
      <w:r>
        <w:rPr>
          <w:b/>
          <w:sz w:val="24"/>
        </w:rPr>
        <w:t>water</w:t>
      </w:r>
      <w:r>
        <w:rPr>
          <w:b/>
          <w:spacing w:val="-3"/>
          <w:sz w:val="24"/>
        </w:rPr>
        <w:t> </w:t>
      </w:r>
      <w:r>
        <w:rPr>
          <w:b/>
          <w:sz w:val="24"/>
        </w:rPr>
        <w:t>poverty</w:t>
      </w:r>
      <w:r>
        <w:rPr>
          <w:b/>
          <w:spacing w:val="-2"/>
          <w:sz w:val="24"/>
        </w:rPr>
        <w:t> indicators</w:t>
      </w:r>
    </w:p>
    <w:p>
      <w:pPr>
        <w:pStyle w:val="BodyText"/>
        <w:spacing w:line="480" w:lineRule="auto" w:before="132"/>
        <w:ind w:left="267" w:right="107"/>
        <w:jc w:val="both"/>
      </w:pPr>
      <w:r>
        <w:rPr/>
        <w:t>The</w:t>
      </w:r>
      <w:r>
        <w:rPr>
          <w:spacing w:val="-12"/>
        </w:rPr>
        <w:t> </w:t>
      </w:r>
      <w:r>
        <w:rPr/>
        <w:t>results</w:t>
      </w:r>
      <w:r>
        <w:rPr>
          <w:spacing w:val="-10"/>
        </w:rPr>
        <w:t> </w:t>
      </w:r>
      <w:r>
        <w:rPr/>
        <w:t>of</w:t>
      </w:r>
      <w:r>
        <w:rPr>
          <w:spacing w:val="-11"/>
        </w:rPr>
        <w:t> </w:t>
      </w:r>
      <w:r>
        <w:rPr/>
        <w:t>the</w:t>
      </w:r>
      <w:r>
        <w:rPr>
          <w:spacing w:val="-11"/>
        </w:rPr>
        <w:t> </w:t>
      </w:r>
      <w:r>
        <w:rPr/>
        <w:t>preliminary</w:t>
      </w:r>
      <w:r>
        <w:rPr>
          <w:spacing w:val="-15"/>
        </w:rPr>
        <w:t> </w:t>
      </w:r>
      <w:r>
        <w:rPr/>
        <w:t>diagnostic</w:t>
      </w:r>
      <w:r>
        <w:rPr>
          <w:spacing w:val="-11"/>
        </w:rPr>
        <w:t> </w:t>
      </w:r>
      <w:r>
        <w:rPr/>
        <w:t>tests</w:t>
      </w:r>
      <w:r>
        <w:rPr>
          <w:spacing w:val="-8"/>
        </w:rPr>
        <w:t> </w:t>
      </w:r>
      <w:r>
        <w:rPr/>
        <w:t>of</w:t>
      </w:r>
      <w:r>
        <w:rPr>
          <w:spacing w:val="-11"/>
        </w:rPr>
        <w:t> </w:t>
      </w:r>
      <w:r>
        <w:rPr/>
        <w:t>the</w:t>
      </w:r>
      <w:r>
        <w:rPr>
          <w:spacing w:val="-11"/>
        </w:rPr>
        <w:t> </w:t>
      </w:r>
      <w:r>
        <w:rPr/>
        <w:t>dataset</w:t>
      </w:r>
      <w:r>
        <w:rPr>
          <w:spacing w:val="-10"/>
        </w:rPr>
        <w:t> </w:t>
      </w:r>
      <w:r>
        <w:rPr/>
        <w:t>(comprising</w:t>
      </w:r>
      <w:r>
        <w:rPr>
          <w:spacing w:val="-13"/>
        </w:rPr>
        <w:t> </w:t>
      </w:r>
      <w:r>
        <w:rPr/>
        <w:t>359</w:t>
      </w:r>
      <w:r>
        <w:rPr>
          <w:spacing w:val="-9"/>
        </w:rPr>
        <w:t> </w:t>
      </w:r>
      <w:r>
        <w:rPr/>
        <w:t>observations</w:t>
      </w:r>
      <w:r>
        <w:rPr>
          <w:spacing w:val="-10"/>
        </w:rPr>
        <w:t> </w:t>
      </w:r>
      <w:r>
        <w:rPr/>
        <w:t>by 21 indicators) was examined through Kendall’s correlation, Kaiser-Meyer-Olkin (KMO) measure</w:t>
      </w:r>
      <w:r>
        <w:rPr>
          <w:spacing w:val="-12"/>
        </w:rPr>
        <w:t> </w:t>
      </w:r>
      <w:r>
        <w:rPr/>
        <w:t>of</w:t>
      </w:r>
      <w:r>
        <w:rPr>
          <w:spacing w:val="-11"/>
        </w:rPr>
        <w:t> </w:t>
      </w:r>
      <w:r>
        <w:rPr/>
        <w:t>sampling</w:t>
      </w:r>
      <w:r>
        <w:rPr>
          <w:spacing w:val="-10"/>
        </w:rPr>
        <w:t> </w:t>
      </w:r>
      <w:r>
        <w:rPr/>
        <w:t>adequacy,</w:t>
      </w:r>
      <w:r>
        <w:rPr>
          <w:spacing w:val="-8"/>
        </w:rPr>
        <w:t> </w:t>
      </w:r>
      <w:r>
        <w:rPr/>
        <w:t>Bartlett’s</w:t>
      </w:r>
      <w:r>
        <w:rPr>
          <w:spacing w:val="-11"/>
        </w:rPr>
        <w:t> </w:t>
      </w:r>
      <w:r>
        <w:rPr/>
        <w:t>test</w:t>
      </w:r>
      <w:r>
        <w:rPr>
          <w:spacing w:val="-10"/>
        </w:rPr>
        <w:t> </w:t>
      </w:r>
      <w:r>
        <w:rPr/>
        <w:t>of</w:t>
      </w:r>
      <w:r>
        <w:rPr>
          <w:spacing w:val="-11"/>
        </w:rPr>
        <w:t> </w:t>
      </w:r>
      <w:r>
        <w:rPr/>
        <w:t>sphericity</w:t>
      </w:r>
      <w:r>
        <w:rPr>
          <w:spacing w:val="-13"/>
        </w:rPr>
        <w:t> </w:t>
      </w:r>
      <w:r>
        <w:rPr/>
        <w:t>and</w:t>
      </w:r>
      <w:r>
        <w:rPr>
          <w:spacing w:val="-11"/>
        </w:rPr>
        <w:t> </w:t>
      </w:r>
      <w:r>
        <w:rPr/>
        <w:t>principal</w:t>
      </w:r>
      <w:r>
        <w:rPr>
          <w:spacing w:val="-8"/>
        </w:rPr>
        <w:t> </w:t>
      </w:r>
      <w:r>
        <w:rPr/>
        <w:t>component</w:t>
      </w:r>
      <w:r>
        <w:rPr>
          <w:spacing w:val="-11"/>
        </w:rPr>
        <w:t> </w:t>
      </w:r>
      <w:r>
        <w:rPr/>
        <w:t>analysis are presented and discussed next.</w:t>
      </w:r>
    </w:p>
    <w:p>
      <w:pPr>
        <w:pStyle w:val="Heading1"/>
        <w:numPr>
          <w:ilvl w:val="4"/>
          <w:numId w:val="10"/>
        </w:numPr>
        <w:tabs>
          <w:tab w:pos="1226" w:val="left" w:leader="none"/>
        </w:tabs>
        <w:spacing w:line="240" w:lineRule="auto" w:before="6" w:after="0"/>
        <w:ind w:left="1226" w:right="0" w:hanging="959"/>
        <w:jc w:val="both"/>
      </w:pPr>
      <w:r>
        <w:rPr/>
        <w:t>Kendall’s</w:t>
      </w:r>
      <w:r>
        <w:rPr>
          <w:spacing w:val="-2"/>
        </w:rPr>
        <w:t> </w:t>
      </w:r>
      <w:r>
        <w:rPr/>
        <w:t>tau</w:t>
      </w:r>
      <w:r>
        <w:rPr>
          <w:spacing w:val="-2"/>
        </w:rPr>
        <w:t> correlation</w:t>
      </w:r>
    </w:p>
    <w:p>
      <w:pPr>
        <w:pStyle w:val="BodyText"/>
        <w:spacing w:line="552" w:lineRule="exact" w:before="17"/>
        <w:ind w:left="267" w:right="107"/>
        <w:jc w:val="both"/>
      </w:pPr>
      <w:r>
        <w:rPr/>
        <w:t>The</w:t>
      </w:r>
      <w:r>
        <w:rPr>
          <w:spacing w:val="-3"/>
        </w:rPr>
        <w:t> </w:t>
      </w:r>
      <w:r>
        <w:rPr/>
        <w:t>result of</w:t>
      </w:r>
      <w:r>
        <w:rPr>
          <w:spacing w:val="-2"/>
        </w:rPr>
        <w:t> </w:t>
      </w:r>
      <w:r>
        <w:rPr/>
        <w:t>the Kendall’s</w:t>
      </w:r>
      <w:r>
        <w:rPr>
          <w:spacing w:val="-2"/>
        </w:rPr>
        <w:t> </w:t>
      </w:r>
      <w:r>
        <w:rPr/>
        <w:t>Tau</w:t>
      </w:r>
      <w:r>
        <w:rPr>
          <w:spacing w:val="-1"/>
        </w:rPr>
        <w:t> </w:t>
      </w:r>
      <w:r>
        <w:rPr/>
        <w:t>pairwise</w:t>
      </w:r>
      <w:r>
        <w:rPr>
          <w:spacing w:val="-2"/>
        </w:rPr>
        <w:t> </w:t>
      </w:r>
      <w:r>
        <w:rPr/>
        <w:t>correlation</w:t>
      </w:r>
      <w:r>
        <w:rPr>
          <w:spacing w:val="-1"/>
        </w:rPr>
        <w:t> </w:t>
      </w:r>
      <w:r>
        <w:rPr/>
        <w:t>matrix (reported</w:t>
      </w:r>
      <w:r>
        <w:rPr>
          <w:spacing w:val="-1"/>
        </w:rPr>
        <w:t> </w:t>
      </w:r>
      <w:r>
        <w:rPr/>
        <w:t>in Appendix II)</w:t>
      </w:r>
      <w:r>
        <w:rPr>
          <w:spacing w:val="-2"/>
        </w:rPr>
        <w:t> </w:t>
      </w:r>
      <w:r>
        <w:rPr/>
        <w:t>shows the degree of association among the 21 water poverty indicators. From the result, with the exception of U1(domestic water consumption per capita per day) and U3(drinking water consumption</w:t>
      </w:r>
      <w:r>
        <w:rPr>
          <w:spacing w:val="11"/>
        </w:rPr>
        <w:t> </w:t>
      </w:r>
      <w:r>
        <w:rPr/>
        <w:t>per</w:t>
      </w:r>
      <w:r>
        <w:rPr>
          <w:spacing w:val="13"/>
        </w:rPr>
        <w:t> </w:t>
      </w:r>
      <w:r>
        <w:rPr/>
        <w:t>capita</w:t>
      </w:r>
      <w:r>
        <w:rPr>
          <w:spacing w:val="14"/>
        </w:rPr>
        <w:t> </w:t>
      </w:r>
      <w:r>
        <w:rPr/>
        <w:t>per</w:t>
      </w:r>
      <w:r>
        <w:rPr>
          <w:spacing w:val="13"/>
        </w:rPr>
        <w:t> </w:t>
      </w:r>
      <w:r>
        <w:rPr/>
        <w:t>day)</w:t>
      </w:r>
      <w:r>
        <w:rPr>
          <w:spacing w:val="18"/>
        </w:rPr>
        <w:t> </w:t>
      </w:r>
      <w:r>
        <w:rPr/>
        <w:t>which</w:t>
      </w:r>
      <w:r>
        <w:rPr>
          <w:spacing w:val="15"/>
        </w:rPr>
        <w:t> </w:t>
      </w:r>
      <w:r>
        <w:rPr/>
        <w:t>are</w:t>
      </w:r>
      <w:r>
        <w:rPr>
          <w:spacing w:val="13"/>
        </w:rPr>
        <w:t> </w:t>
      </w:r>
      <w:r>
        <w:rPr/>
        <w:t>highly</w:t>
      </w:r>
      <w:r>
        <w:rPr>
          <w:spacing w:val="11"/>
        </w:rPr>
        <w:t> </w:t>
      </w:r>
      <w:r>
        <w:rPr/>
        <w:t>correlated</w:t>
      </w:r>
      <w:r>
        <w:rPr>
          <w:spacing w:val="15"/>
        </w:rPr>
        <w:t> </w:t>
      </w:r>
      <w:r>
        <w:rPr/>
        <w:t>with</w:t>
      </w:r>
      <w:r>
        <w:rPr>
          <w:spacing w:val="14"/>
        </w:rPr>
        <w:t> </w:t>
      </w:r>
      <w:r>
        <w:rPr/>
        <w:t>each</w:t>
      </w:r>
      <w:r>
        <w:rPr>
          <w:spacing w:val="13"/>
        </w:rPr>
        <w:t> </w:t>
      </w:r>
      <w:r>
        <w:rPr/>
        <w:t>other,</w:t>
      </w:r>
      <w:r>
        <w:rPr>
          <w:spacing w:val="13"/>
        </w:rPr>
        <w:t> </w:t>
      </w:r>
      <w:r>
        <w:rPr/>
        <w:t>all</w:t>
      </w:r>
      <w:r>
        <w:rPr>
          <w:spacing w:val="13"/>
        </w:rPr>
        <w:t> </w:t>
      </w:r>
      <w:r>
        <w:rPr/>
        <w:t>the</w:t>
      </w:r>
      <w:r>
        <w:rPr>
          <w:spacing w:val="15"/>
        </w:rPr>
        <w:t> </w:t>
      </w:r>
      <w:r>
        <w:rPr>
          <w:spacing w:val="-2"/>
        </w:rPr>
        <w:t>water</w:t>
      </w:r>
    </w:p>
    <w:p>
      <w:pPr>
        <w:spacing w:after="0" w:line="552" w:lineRule="exact"/>
        <w:jc w:val="both"/>
        <w:sectPr>
          <w:footerReference w:type="default" r:id="rId38"/>
          <w:pgSz w:w="12240" w:h="15840"/>
          <w:pgMar w:header="0" w:footer="1068" w:top="1340" w:bottom="1260" w:left="1720" w:right="1300"/>
        </w:sectPr>
      </w:pPr>
    </w:p>
    <w:p>
      <w:pPr>
        <w:pStyle w:val="BodyText"/>
        <w:spacing w:line="480" w:lineRule="auto" w:before="63"/>
        <w:ind w:left="267" w:right="109"/>
        <w:jc w:val="both"/>
      </w:pPr>
      <w:r>
        <w:rPr/>
        <w:t>poverty</w:t>
      </w:r>
      <w:r>
        <w:rPr>
          <w:spacing w:val="-3"/>
        </w:rPr>
        <w:t> </w:t>
      </w:r>
      <w:r>
        <w:rPr/>
        <w:t>indicators in the underlying</w:t>
      </w:r>
      <w:r>
        <w:rPr>
          <w:spacing w:val="-1"/>
        </w:rPr>
        <w:t> </w:t>
      </w:r>
      <w:r>
        <w:rPr/>
        <w:t>dataset exhibited low correlations (r &lt; 0.40). As shown in</w:t>
      </w:r>
      <w:r>
        <w:rPr>
          <w:spacing w:val="-10"/>
        </w:rPr>
        <w:t> </w:t>
      </w:r>
      <w:r>
        <w:rPr/>
        <w:t>the</w:t>
      </w:r>
      <w:r>
        <w:rPr>
          <w:spacing w:val="-11"/>
        </w:rPr>
        <w:t> </w:t>
      </w:r>
      <w:r>
        <w:rPr/>
        <w:t>correlation</w:t>
      </w:r>
      <w:r>
        <w:rPr>
          <w:spacing w:val="-10"/>
        </w:rPr>
        <w:t> </w:t>
      </w:r>
      <w:r>
        <w:rPr/>
        <w:t>matrix,</w:t>
      </w:r>
      <w:r>
        <w:rPr>
          <w:spacing w:val="-11"/>
        </w:rPr>
        <w:t> </w:t>
      </w:r>
      <w:r>
        <w:rPr/>
        <w:t>U1</w:t>
      </w:r>
      <w:r>
        <w:rPr>
          <w:spacing w:val="-11"/>
        </w:rPr>
        <w:t> </w:t>
      </w:r>
      <w:r>
        <w:rPr/>
        <w:t>and</w:t>
      </w:r>
      <w:r>
        <w:rPr>
          <w:spacing w:val="-11"/>
        </w:rPr>
        <w:t> </w:t>
      </w:r>
      <w:r>
        <w:rPr/>
        <w:t>U3</w:t>
      </w:r>
      <w:r>
        <w:rPr>
          <w:spacing w:val="-11"/>
        </w:rPr>
        <w:t> </w:t>
      </w:r>
      <w:r>
        <w:rPr/>
        <w:t>indicators</w:t>
      </w:r>
      <w:r>
        <w:rPr>
          <w:spacing w:val="-11"/>
        </w:rPr>
        <w:t> </w:t>
      </w:r>
      <w:r>
        <w:rPr/>
        <w:t>which</w:t>
      </w:r>
      <w:r>
        <w:rPr>
          <w:spacing w:val="-11"/>
        </w:rPr>
        <w:t> </w:t>
      </w:r>
      <w:r>
        <w:rPr/>
        <w:t>exhibited</w:t>
      </w:r>
      <w:r>
        <w:rPr>
          <w:spacing w:val="-11"/>
        </w:rPr>
        <w:t> </w:t>
      </w:r>
      <w:r>
        <w:rPr/>
        <w:t>a</w:t>
      </w:r>
      <w:r>
        <w:rPr>
          <w:spacing w:val="-12"/>
        </w:rPr>
        <w:t> </w:t>
      </w:r>
      <w:r>
        <w:rPr/>
        <w:t>significant</w:t>
      </w:r>
      <w:r>
        <w:rPr>
          <w:spacing w:val="-8"/>
        </w:rPr>
        <w:t> </w:t>
      </w:r>
      <w:r>
        <w:rPr/>
        <w:t>high</w:t>
      </w:r>
      <w:r>
        <w:rPr>
          <w:spacing w:val="-11"/>
        </w:rPr>
        <w:t> </w:t>
      </w:r>
      <w:r>
        <w:rPr/>
        <w:t>correlation (r</w:t>
      </w:r>
      <w:r>
        <w:rPr>
          <w:spacing w:val="-2"/>
        </w:rPr>
        <w:t> </w:t>
      </w:r>
      <w:r>
        <w:rPr/>
        <w:t>=</w:t>
      </w:r>
      <w:r>
        <w:rPr>
          <w:spacing w:val="-1"/>
        </w:rPr>
        <w:t> </w:t>
      </w:r>
      <w:r>
        <w:rPr/>
        <w:t>0.863) at 1%</w:t>
      </w:r>
      <w:r>
        <w:rPr>
          <w:spacing w:val="-1"/>
        </w:rPr>
        <w:t> </w:t>
      </w:r>
      <w:r>
        <w:rPr/>
        <w:t>significance</w:t>
      </w:r>
      <w:r>
        <w:rPr>
          <w:spacing w:val="-1"/>
        </w:rPr>
        <w:t> </w:t>
      </w:r>
      <w:r>
        <w:rPr/>
        <w:t>level amounts to double</w:t>
      </w:r>
      <w:r>
        <w:rPr>
          <w:spacing w:val="-1"/>
        </w:rPr>
        <w:t> </w:t>
      </w:r>
      <w:r>
        <w:rPr/>
        <w:t>counting and variable</w:t>
      </w:r>
      <w:r>
        <w:rPr>
          <w:spacing w:val="-1"/>
        </w:rPr>
        <w:t> </w:t>
      </w:r>
      <w:r>
        <w:rPr/>
        <w:t>redundancy</w:t>
      </w:r>
      <w:r>
        <w:rPr>
          <w:spacing w:val="-5"/>
        </w:rPr>
        <w:t> </w:t>
      </w:r>
      <w:r>
        <w:rPr/>
        <w:t>as both are likely to provide the same measure to the water poverty index.</w:t>
      </w:r>
    </w:p>
    <w:p>
      <w:pPr>
        <w:pStyle w:val="BodyText"/>
        <w:spacing w:before="7"/>
      </w:pPr>
    </w:p>
    <w:p>
      <w:pPr>
        <w:pStyle w:val="Heading1"/>
        <w:numPr>
          <w:ilvl w:val="4"/>
          <w:numId w:val="10"/>
        </w:numPr>
        <w:tabs>
          <w:tab w:pos="1166" w:val="left" w:leader="none"/>
        </w:tabs>
        <w:spacing w:line="240" w:lineRule="auto" w:before="1" w:after="0"/>
        <w:ind w:left="1166" w:right="0" w:hanging="899"/>
        <w:jc w:val="left"/>
      </w:pPr>
      <w:r>
        <w:rPr/>
        <w:t>Exclusion</w:t>
      </w:r>
      <w:r>
        <w:rPr>
          <w:spacing w:val="-1"/>
        </w:rPr>
        <w:t> </w:t>
      </w:r>
      <w:r>
        <w:rPr/>
        <w:t>of</w:t>
      </w:r>
      <w:r>
        <w:rPr>
          <w:spacing w:val="1"/>
        </w:rPr>
        <w:t> </w:t>
      </w:r>
      <w:r>
        <w:rPr/>
        <w:t>correlated</w:t>
      </w:r>
      <w:r>
        <w:rPr>
          <w:spacing w:val="-1"/>
        </w:rPr>
        <w:t> </w:t>
      </w:r>
      <w:r>
        <w:rPr/>
        <w:t>water</w:t>
      </w:r>
      <w:r>
        <w:rPr>
          <w:spacing w:val="-3"/>
        </w:rPr>
        <w:t> </w:t>
      </w:r>
      <w:r>
        <w:rPr/>
        <w:t>poverty</w:t>
      </w:r>
      <w:r>
        <w:rPr>
          <w:spacing w:val="-1"/>
        </w:rPr>
        <w:t> </w:t>
      </w:r>
      <w:r>
        <w:rPr/>
        <w:t>indicators</w:t>
      </w:r>
      <w:r>
        <w:rPr>
          <w:spacing w:val="-2"/>
        </w:rPr>
        <w:t> </w:t>
      </w:r>
      <w:r>
        <w:rPr/>
        <w:t>using</w:t>
      </w:r>
      <w:r>
        <w:rPr>
          <w:spacing w:val="1"/>
        </w:rPr>
        <w:t> </w:t>
      </w:r>
      <w:r>
        <w:rPr>
          <w:spacing w:val="-5"/>
        </w:rPr>
        <w:t>PCA</w:t>
      </w:r>
    </w:p>
    <w:p>
      <w:pPr>
        <w:pStyle w:val="BodyText"/>
        <w:spacing w:before="14"/>
        <w:rPr>
          <w:b/>
        </w:rPr>
      </w:pPr>
    </w:p>
    <w:p>
      <w:pPr>
        <w:pStyle w:val="BodyText"/>
        <w:spacing w:line="480" w:lineRule="auto"/>
        <w:ind w:left="267" w:right="107"/>
        <w:jc w:val="both"/>
      </w:pPr>
      <w:r>
        <w:rPr/>
        <w:t>The</w:t>
      </w:r>
      <w:r>
        <w:rPr>
          <w:spacing w:val="-15"/>
        </w:rPr>
        <w:t> </w:t>
      </w:r>
      <w:r>
        <w:rPr/>
        <w:t>exclusion</w:t>
      </w:r>
      <w:r>
        <w:rPr>
          <w:spacing w:val="-15"/>
        </w:rPr>
        <w:t> </w:t>
      </w:r>
      <w:r>
        <w:rPr/>
        <w:t>of</w:t>
      </w:r>
      <w:r>
        <w:rPr>
          <w:spacing w:val="-15"/>
        </w:rPr>
        <w:t> </w:t>
      </w:r>
      <w:r>
        <w:rPr/>
        <w:t>indicators</w:t>
      </w:r>
      <w:r>
        <w:rPr>
          <w:spacing w:val="-15"/>
        </w:rPr>
        <w:t> </w:t>
      </w:r>
      <w:r>
        <w:rPr/>
        <w:t>is</w:t>
      </w:r>
      <w:r>
        <w:rPr>
          <w:spacing w:val="-15"/>
        </w:rPr>
        <w:t> </w:t>
      </w:r>
      <w:r>
        <w:rPr/>
        <w:t>based</w:t>
      </w:r>
      <w:r>
        <w:rPr>
          <w:spacing w:val="-15"/>
        </w:rPr>
        <w:t> </w:t>
      </w:r>
      <w:r>
        <w:rPr/>
        <w:t>on</w:t>
      </w:r>
      <w:r>
        <w:rPr>
          <w:spacing w:val="-15"/>
        </w:rPr>
        <w:t> </w:t>
      </w:r>
      <w:r>
        <w:rPr/>
        <w:t>result</w:t>
      </w:r>
      <w:r>
        <w:rPr>
          <w:spacing w:val="-15"/>
        </w:rPr>
        <w:t> </w:t>
      </w:r>
      <w:r>
        <w:rPr/>
        <w:t>of</w:t>
      </w:r>
      <w:r>
        <w:rPr>
          <w:spacing w:val="-15"/>
        </w:rPr>
        <w:t> </w:t>
      </w:r>
      <w:r>
        <w:rPr/>
        <w:t>the</w:t>
      </w:r>
      <w:r>
        <w:rPr>
          <w:spacing w:val="-15"/>
        </w:rPr>
        <w:t> </w:t>
      </w:r>
      <w:r>
        <w:rPr/>
        <w:t>principal</w:t>
      </w:r>
      <w:r>
        <w:rPr>
          <w:spacing w:val="-15"/>
        </w:rPr>
        <w:t> </w:t>
      </w:r>
      <w:r>
        <w:rPr/>
        <w:t>component</w:t>
      </w:r>
      <w:r>
        <w:rPr>
          <w:spacing w:val="-15"/>
        </w:rPr>
        <w:t> </w:t>
      </w:r>
      <w:r>
        <w:rPr/>
        <w:t>analysis</w:t>
      </w:r>
      <w:r>
        <w:rPr>
          <w:spacing w:val="-15"/>
        </w:rPr>
        <w:t> </w:t>
      </w:r>
      <w:r>
        <w:rPr/>
        <w:t>of</w:t>
      </w:r>
      <w:r>
        <w:rPr>
          <w:spacing w:val="-15"/>
        </w:rPr>
        <w:t> </w:t>
      </w:r>
      <w:r>
        <w:rPr/>
        <w:t>the</w:t>
      </w:r>
      <w:r>
        <w:rPr>
          <w:spacing w:val="-15"/>
        </w:rPr>
        <w:t> </w:t>
      </w:r>
      <w:r>
        <w:rPr/>
        <w:t>water poverty indicators at component and sub-component level as presented in Appendix III. At the component level, 13 principal components account for 80.84% of the global variance in water poverty structure in the study area. Given the total variance of 80.84%, the adequacy of the combinations of the 21 indicators as conceptually related variables of water poverty index is partially confirmed. The 13-component extraction was based on Jollife’s variance explained criteria which is to retain associated eigen values of 0.70 (Jollife, 1972).</w:t>
      </w:r>
      <w:r>
        <w:rPr>
          <w:spacing w:val="40"/>
        </w:rPr>
        <w:t> </w:t>
      </w:r>
      <w:r>
        <w:rPr/>
        <w:t>At the sub-component</w:t>
      </w:r>
      <w:r>
        <w:rPr>
          <w:spacing w:val="-13"/>
        </w:rPr>
        <w:t> </w:t>
      </w:r>
      <w:r>
        <w:rPr/>
        <w:t>level,</w:t>
      </w:r>
      <w:r>
        <w:rPr>
          <w:spacing w:val="-9"/>
        </w:rPr>
        <w:t> </w:t>
      </w:r>
      <w:r>
        <w:rPr/>
        <w:t>the</w:t>
      </w:r>
      <w:r>
        <w:rPr>
          <w:spacing w:val="-11"/>
        </w:rPr>
        <w:t> </w:t>
      </w:r>
      <w:r>
        <w:rPr/>
        <w:t>result</w:t>
      </w:r>
      <w:r>
        <w:rPr>
          <w:spacing w:val="-12"/>
        </w:rPr>
        <w:t> </w:t>
      </w:r>
      <w:r>
        <w:rPr/>
        <w:t>shows</w:t>
      </w:r>
      <w:r>
        <w:rPr>
          <w:spacing w:val="-13"/>
        </w:rPr>
        <w:t> </w:t>
      </w:r>
      <w:r>
        <w:rPr/>
        <w:t>that</w:t>
      </w:r>
      <w:r>
        <w:rPr>
          <w:spacing w:val="-13"/>
        </w:rPr>
        <w:t> </w:t>
      </w:r>
      <w:r>
        <w:rPr/>
        <w:t>with</w:t>
      </w:r>
      <w:r>
        <w:rPr>
          <w:spacing w:val="-13"/>
        </w:rPr>
        <w:t> </w:t>
      </w:r>
      <w:r>
        <w:rPr/>
        <w:t>the</w:t>
      </w:r>
      <w:r>
        <w:rPr>
          <w:spacing w:val="-11"/>
        </w:rPr>
        <w:t> </w:t>
      </w:r>
      <w:r>
        <w:rPr/>
        <w:t>exception</w:t>
      </w:r>
      <w:r>
        <w:rPr>
          <w:spacing w:val="-13"/>
        </w:rPr>
        <w:t> </w:t>
      </w:r>
      <w:r>
        <w:rPr/>
        <w:t>of</w:t>
      </w:r>
      <w:r>
        <w:rPr>
          <w:spacing w:val="-13"/>
        </w:rPr>
        <w:t> </w:t>
      </w:r>
      <w:r>
        <w:rPr/>
        <w:t>capacity</w:t>
      </w:r>
      <w:r>
        <w:rPr>
          <w:spacing w:val="-14"/>
        </w:rPr>
        <w:t> </w:t>
      </w:r>
      <w:r>
        <w:rPr/>
        <w:t>and</w:t>
      </w:r>
      <w:r>
        <w:rPr>
          <w:spacing w:val="-13"/>
        </w:rPr>
        <w:t> </w:t>
      </w:r>
      <w:r>
        <w:rPr/>
        <w:t>use</w:t>
      </w:r>
      <w:r>
        <w:rPr>
          <w:spacing w:val="-13"/>
        </w:rPr>
        <w:t> </w:t>
      </w:r>
      <w:r>
        <w:rPr/>
        <w:t>component which account for 90.37% and 92.08% variance respectively in the underlying dataset, all other components (resource, access and environment) account for 100% variance in the component space.</w:t>
      </w:r>
    </w:p>
    <w:p>
      <w:pPr>
        <w:pStyle w:val="BodyText"/>
        <w:spacing w:before="1"/>
      </w:pPr>
    </w:p>
    <w:p>
      <w:pPr>
        <w:pStyle w:val="BodyText"/>
        <w:spacing w:line="480" w:lineRule="auto" w:before="1"/>
        <w:ind w:left="267" w:right="106"/>
        <w:jc w:val="both"/>
      </w:pPr>
      <w:r>
        <w:rPr/>
        <w:t>Further examination of</w:t>
      </w:r>
      <w:r>
        <w:rPr>
          <w:spacing w:val="-1"/>
        </w:rPr>
        <w:t> </w:t>
      </w:r>
      <w:r>
        <w:rPr/>
        <w:t>the</w:t>
      </w:r>
      <w:r>
        <w:rPr>
          <w:spacing w:val="-1"/>
        </w:rPr>
        <w:t> </w:t>
      </w:r>
      <w:r>
        <w:rPr/>
        <w:t>21 indicators revealed that C7 indicator</w:t>
      </w:r>
      <w:r>
        <w:rPr>
          <w:spacing w:val="-1"/>
        </w:rPr>
        <w:t> </w:t>
      </w:r>
      <w:r>
        <w:rPr/>
        <w:t>(presence</w:t>
      </w:r>
      <w:r>
        <w:rPr>
          <w:spacing w:val="-1"/>
        </w:rPr>
        <w:t> </w:t>
      </w:r>
      <w:r>
        <w:rPr/>
        <w:t>of water</w:t>
      </w:r>
      <w:r>
        <w:rPr>
          <w:spacing w:val="-1"/>
        </w:rPr>
        <w:t> </w:t>
      </w:r>
      <w:r>
        <w:rPr/>
        <w:t>point management committee) has a lower eigen value (&lt; 0.700) and was therefore discarded as redundant</w:t>
      </w:r>
      <w:r>
        <w:rPr>
          <w:spacing w:val="-8"/>
        </w:rPr>
        <w:t> </w:t>
      </w:r>
      <w:r>
        <w:rPr/>
        <w:t>and</w:t>
      </w:r>
      <w:r>
        <w:rPr>
          <w:spacing w:val="-8"/>
        </w:rPr>
        <w:t> </w:t>
      </w:r>
      <w:r>
        <w:rPr/>
        <w:t>of</w:t>
      </w:r>
      <w:r>
        <w:rPr>
          <w:spacing w:val="-9"/>
        </w:rPr>
        <w:t> </w:t>
      </w:r>
      <w:r>
        <w:rPr/>
        <w:t>no</w:t>
      </w:r>
      <w:r>
        <w:rPr>
          <w:spacing w:val="-8"/>
        </w:rPr>
        <w:t> </w:t>
      </w:r>
      <w:r>
        <w:rPr/>
        <w:t>meaningful</w:t>
      </w:r>
      <w:r>
        <w:rPr>
          <w:spacing w:val="-9"/>
        </w:rPr>
        <w:t> </w:t>
      </w:r>
      <w:r>
        <w:rPr/>
        <w:t>explanation.</w:t>
      </w:r>
      <w:r>
        <w:rPr>
          <w:spacing w:val="-8"/>
        </w:rPr>
        <w:t> </w:t>
      </w:r>
      <w:r>
        <w:rPr/>
        <w:t>For</w:t>
      </w:r>
      <w:r>
        <w:rPr>
          <w:spacing w:val="-9"/>
        </w:rPr>
        <w:t> </w:t>
      </w:r>
      <w:r>
        <w:rPr/>
        <w:t>the</w:t>
      </w:r>
      <w:r>
        <w:rPr>
          <w:spacing w:val="-9"/>
        </w:rPr>
        <w:t> </w:t>
      </w:r>
      <w:r>
        <w:rPr/>
        <w:t>use</w:t>
      </w:r>
      <w:r>
        <w:rPr>
          <w:spacing w:val="-9"/>
        </w:rPr>
        <w:t> </w:t>
      </w:r>
      <w:r>
        <w:rPr/>
        <w:t>component,</w:t>
      </w:r>
      <w:r>
        <w:rPr>
          <w:spacing w:val="-5"/>
        </w:rPr>
        <w:t> </w:t>
      </w:r>
      <w:r>
        <w:rPr/>
        <w:t>U1</w:t>
      </w:r>
      <w:r>
        <w:rPr>
          <w:spacing w:val="-9"/>
        </w:rPr>
        <w:t> </w:t>
      </w:r>
      <w:r>
        <w:rPr/>
        <w:t>indicator</w:t>
      </w:r>
      <w:r>
        <w:rPr>
          <w:spacing w:val="-9"/>
        </w:rPr>
        <w:t> </w:t>
      </w:r>
      <w:r>
        <w:rPr/>
        <w:t>(domestic water consumption per capita per day) is correlated with U3 (drinking water consumption per capita per day). However, U1 was discarded due to its low and negative factor loadings on</w:t>
      </w:r>
      <w:r>
        <w:rPr>
          <w:spacing w:val="28"/>
        </w:rPr>
        <w:t> </w:t>
      </w:r>
      <w:r>
        <w:rPr/>
        <w:t>the</w:t>
      </w:r>
      <w:r>
        <w:rPr>
          <w:spacing w:val="28"/>
        </w:rPr>
        <w:t> </w:t>
      </w:r>
      <w:r>
        <w:rPr/>
        <w:t>components.</w:t>
      </w:r>
      <w:r>
        <w:rPr>
          <w:spacing w:val="31"/>
        </w:rPr>
        <w:t> </w:t>
      </w:r>
      <w:r>
        <w:rPr/>
        <w:t>In</w:t>
      </w:r>
      <w:r>
        <w:rPr>
          <w:spacing w:val="30"/>
        </w:rPr>
        <w:t> </w:t>
      </w:r>
      <w:r>
        <w:rPr/>
        <w:t>total,</w:t>
      </w:r>
      <w:r>
        <w:rPr>
          <w:spacing w:val="30"/>
        </w:rPr>
        <w:t> </w:t>
      </w:r>
      <w:r>
        <w:rPr/>
        <w:t>the</w:t>
      </w:r>
      <w:r>
        <w:rPr>
          <w:spacing w:val="28"/>
        </w:rPr>
        <w:t> </w:t>
      </w:r>
      <w:r>
        <w:rPr/>
        <w:t>original</w:t>
      </w:r>
      <w:r>
        <w:rPr>
          <w:spacing w:val="30"/>
        </w:rPr>
        <w:t> </w:t>
      </w:r>
      <w:r>
        <w:rPr/>
        <w:t>21</w:t>
      </w:r>
      <w:r>
        <w:rPr>
          <w:spacing w:val="28"/>
        </w:rPr>
        <w:t> </w:t>
      </w:r>
      <w:r>
        <w:rPr/>
        <w:t>water</w:t>
      </w:r>
      <w:r>
        <w:rPr>
          <w:spacing w:val="27"/>
        </w:rPr>
        <w:t> </w:t>
      </w:r>
      <w:r>
        <w:rPr/>
        <w:t>poverty</w:t>
      </w:r>
      <w:r>
        <w:rPr>
          <w:spacing w:val="24"/>
        </w:rPr>
        <w:t> </w:t>
      </w:r>
      <w:r>
        <w:rPr/>
        <w:t>indicators</w:t>
      </w:r>
      <w:r>
        <w:rPr>
          <w:spacing w:val="28"/>
        </w:rPr>
        <w:t> </w:t>
      </w:r>
      <w:r>
        <w:rPr/>
        <w:t>were</w:t>
      </w:r>
      <w:r>
        <w:rPr>
          <w:spacing w:val="26"/>
        </w:rPr>
        <w:t> </w:t>
      </w:r>
      <w:r>
        <w:rPr/>
        <w:t>reduced</w:t>
      </w:r>
      <w:r>
        <w:rPr>
          <w:spacing w:val="28"/>
        </w:rPr>
        <w:t> </w:t>
      </w:r>
      <w:r>
        <w:rPr/>
        <w:t>to</w:t>
      </w:r>
      <w:r>
        <w:rPr>
          <w:spacing w:val="30"/>
        </w:rPr>
        <w:t> </w:t>
      </w:r>
      <w:r>
        <w:rPr>
          <w:spacing w:val="-5"/>
        </w:rPr>
        <w:t>19</w:t>
      </w:r>
    </w:p>
    <w:p>
      <w:pPr>
        <w:spacing w:after="0" w:line="480" w:lineRule="auto"/>
        <w:jc w:val="both"/>
        <w:sectPr>
          <w:pgSz w:w="12240" w:h="15840"/>
          <w:pgMar w:header="0" w:footer="1068" w:top="1340" w:bottom="1260" w:left="1720" w:right="1300"/>
        </w:sectPr>
      </w:pPr>
    </w:p>
    <w:p>
      <w:pPr>
        <w:pStyle w:val="BodyText"/>
        <w:spacing w:line="480" w:lineRule="auto" w:before="63"/>
        <w:ind w:left="267" w:right="114"/>
        <w:jc w:val="both"/>
      </w:pPr>
      <w:r>
        <w:rPr/>
        <w:t>uncorrelated and relatively independent variables representing the water poverty index structure in the study area.</w:t>
      </w:r>
    </w:p>
    <w:p>
      <w:pPr>
        <w:pStyle w:val="Heading1"/>
        <w:numPr>
          <w:ilvl w:val="4"/>
          <w:numId w:val="10"/>
        </w:numPr>
        <w:tabs>
          <w:tab w:pos="1166" w:val="left" w:leader="none"/>
        </w:tabs>
        <w:spacing w:line="240" w:lineRule="auto" w:before="8" w:after="0"/>
        <w:ind w:left="1166" w:right="0" w:hanging="899"/>
        <w:jc w:val="left"/>
      </w:pPr>
      <w:r>
        <w:rPr/>
        <w:t>PCA</w:t>
      </w:r>
      <w:r>
        <w:rPr>
          <w:spacing w:val="-4"/>
        </w:rPr>
        <w:t> </w:t>
      </w:r>
      <w:r>
        <w:rPr/>
        <w:t>of</w:t>
      </w:r>
      <w:r>
        <w:rPr>
          <w:spacing w:val="-1"/>
        </w:rPr>
        <w:t> </w:t>
      </w:r>
      <w:r>
        <w:rPr/>
        <w:t>retained</w:t>
      </w:r>
      <w:r>
        <w:rPr>
          <w:spacing w:val="-2"/>
        </w:rPr>
        <w:t> </w:t>
      </w:r>
      <w:r>
        <w:rPr/>
        <w:t>water</w:t>
      </w:r>
      <w:r>
        <w:rPr>
          <w:spacing w:val="-2"/>
        </w:rPr>
        <w:t> </w:t>
      </w:r>
      <w:r>
        <w:rPr/>
        <w:t>poverty</w:t>
      </w:r>
      <w:r>
        <w:rPr>
          <w:spacing w:val="-2"/>
        </w:rPr>
        <w:t> </w:t>
      </w:r>
      <w:r>
        <w:rPr/>
        <w:t>indicators</w:t>
      </w:r>
      <w:r>
        <w:rPr>
          <w:spacing w:val="-2"/>
        </w:rPr>
        <w:t> </w:t>
      </w:r>
      <w:r>
        <w:rPr/>
        <w:t>at</w:t>
      </w:r>
      <w:r>
        <w:rPr>
          <w:spacing w:val="-2"/>
        </w:rPr>
        <w:t> </w:t>
      </w:r>
      <w:r>
        <w:rPr/>
        <w:t>component</w:t>
      </w:r>
      <w:r>
        <w:rPr>
          <w:spacing w:val="-1"/>
        </w:rPr>
        <w:t> </w:t>
      </w:r>
      <w:r>
        <w:rPr>
          <w:spacing w:val="-2"/>
        </w:rPr>
        <w:t>level</w:t>
      </w:r>
    </w:p>
    <w:p>
      <w:pPr>
        <w:pStyle w:val="BodyText"/>
        <w:spacing w:before="95"/>
        <w:rPr>
          <w:b/>
        </w:rPr>
      </w:pPr>
    </w:p>
    <w:p>
      <w:pPr>
        <w:pStyle w:val="BodyText"/>
        <w:spacing w:line="480" w:lineRule="auto" w:before="1"/>
        <w:ind w:left="267" w:right="110"/>
        <w:jc w:val="both"/>
      </w:pPr>
      <w:r>
        <w:rPr/>
        <w:t>The</w:t>
      </w:r>
      <w:r>
        <w:rPr>
          <w:spacing w:val="-9"/>
        </w:rPr>
        <w:t> </w:t>
      </w:r>
      <w:r>
        <w:rPr/>
        <w:t>principal</w:t>
      </w:r>
      <w:r>
        <w:rPr>
          <w:spacing w:val="-8"/>
        </w:rPr>
        <w:t> </w:t>
      </w:r>
      <w:r>
        <w:rPr/>
        <w:t>component</w:t>
      </w:r>
      <w:r>
        <w:rPr>
          <w:spacing w:val="-7"/>
        </w:rPr>
        <w:t> </w:t>
      </w:r>
      <w:r>
        <w:rPr/>
        <w:t>analysis</w:t>
      </w:r>
      <w:r>
        <w:rPr>
          <w:spacing w:val="-8"/>
        </w:rPr>
        <w:t> </w:t>
      </w:r>
      <w:r>
        <w:rPr/>
        <w:t>for</w:t>
      </w:r>
      <w:r>
        <w:rPr>
          <w:spacing w:val="-9"/>
        </w:rPr>
        <w:t> </w:t>
      </w:r>
      <w:r>
        <w:rPr/>
        <w:t>the</w:t>
      </w:r>
      <w:r>
        <w:rPr>
          <w:spacing w:val="-7"/>
        </w:rPr>
        <w:t> </w:t>
      </w:r>
      <w:r>
        <w:rPr/>
        <w:t>retained</w:t>
      </w:r>
      <w:r>
        <w:rPr>
          <w:spacing w:val="-7"/>
        </w:rPr>
        <w:t> </w:t>
      </w:r>
      <w:r>
        <w:rPr/>
        <w:t>19</w:t>
      </w:r>
      <w:r>
        <w:rPr>
          <w:spacing w:val="-8"/>
        </w:rPr>
        <w:t> </w:t>
      </w:r>
      <w:r>
        <w:rPr/>
        <w:t>water</w:t>
      </w:r>
      <w:r>
        <w:rPr>
          <w:spacing w:val="-9"/>
        </w:rPr>
        <w:t> </w:t>
      </w:r>
      <w:r>
        <w:rPr/>
        <w:t>poverty</w:t>
      </w:r>
      <w:r>
        <w:rPr>
          <w:spacing w:val="-13"/>
        </w:rPr>
        <w:t> </w:t>
      </w:r>
      <w:r>
        <w:rPr/>
        <w:t>indicators</w:t>
      </w:r>
      <w:r>
        <w:rPr>
          <w:spacing w:val="-9"/>
        </w:rPr>
        <w:t> </w:t>
      </w:r>
      <w:r>
        <w:rPr/>
        <w:t>is</w:t>
      </w:r>
      <w:r>
        <w:rPr>
          <w:spacing w:val="-8"/>
        </w:rPr>
        <w:t> </w:t>
      </w:r>
      <w:r>
        <w:rPr/>
        <w:t>presented</w:t>
      </w:r>
      <w:r>
        <w:rPr>
          <w:spacing w:val="-9"/>
        </w:rPr>
        <w:t> </w:t>
      </w:r>
      <w:r>
        <w:rPr/>
        <w:t>in Table 4.20b. Before proceeding to the PCA result, the factorability and suitability of the dataset as a measure of water poverty was examined as shown in Table 4.20a.</w:t>
      </w:r>
    </w:p>
    <w:p>
      <w:pPr>
        <w:pStyle w:val="BodyText"/>
        <w:spacing w:line="480" w:lineRule="auto" w:before="238"/>
        <w:ind w:left="267" w:right="109"/>
        <w:jc w:val="both"/>
      </w:pPr>
      <w:r>
        <w:rPr/>
        <w:t>The KMO measure of sampling adequacy</w:t>
      </w:r>
      <w:r>
        <w:rPr>
          <w:spacing w:val="-3"/>
        </w:rPr>
        <w:t> </w:t>
      </w:r>
      <w:r>
        <w:rPr/>
        <w:t>of 0.591 which is above the acceptable threshold value of 0.500 outlined in Hair </w:t>
      </w:r>
      <w:r>
        <w:rPr>
          <w:i/>
        </w:rPr>
        <w:t>et al., </w:t>
      </w:r>
      <w:r>
        <w:rPr/>
        <w:t>(2006) and those reported in prior studies which employed principal component analysis in water poverty analysis (Jemmali and Matoussi, 2013;</w:t>
      </w:r>
      <w:r>
        <w:rPr>
          <w:spacing w:val="-8"/>
        </w:rPr>
        <w:t> </w:t>
      </w:r>
      <w:r>
        <w:rPr/>
        <w:t>Jemmali</w:t>
      </w:r>
      <w:r>
        <w:rPr>
          <w:spacing w:val="-5"/>
        </w:rPr>
        <w:t> </w:t>
      </w:r>
      <w:r>
        <w:rPr/>
        <w:t>and</w:t>
      </w:r>
      <w:r>
        <w:rPr>
          <w:spacing w:val="-8"/>
        </w:rPr>
        <w:t> </w:t>
      </w:r>
      <w:r>
        <w:rPr/>
        <w:t>Sullivan,</w:t>
      </w:r>
      <w:r>
        <w:rPr>
          <w:spacing w:val="-6"/>
        </w:rPr>
        <w:t> </w:t>
      </w:r>
      <w:r>
        <w:rPr/>
        <w:t>2014).</w:t>
      </w:r>
      <w:r>
        <w:rPr>
          <w:spacing w:val="-6"/>
        </w:rPr>
        <w:t> </w:t>
      </w:r>
      <w:r>
        <w:rPr/>
        <w:t>implies</w:t>
      </w:r>
      <w:r>
        <w:rPr>
          <w:spacing w:val="-6"/>
        </w:rPr>
        <w:t> </w:t>
      </w:r>
      <w:r>
        <w:rPr/>
        <w:t>that</w:t>
      </w:r>
      <w:r>
        <w:rPr>
          <w:spacing w:val="-8"/>
        </w:rPr>
        <w:t> </w:t>
      </w:r>
      <w:r>
        <w:rPr/>
        <w:t>the</w:t>
      </w:r>
      <w:r>
        <w:rPr>
          <w:spacing w:val="-7"/>
        </w:rPr>
        <w:t> </w:t>
      </w:r>
      <w:r>
        <w:rPr/>
        <w:t>underlying</w:t>
      </w:r>
      <w:r>
        <w:rPr>
          <w:spacing w:val="-8"/>
        </w:rPr>
        <w:t> </w:t>
      </w:r>
      <w:r>
        <w:rPr/>
        <w:t>data</w:t>
      </w:r>
      <w:r>
        <w:rPr>
          <w:spacing w:val="-6"/>
        </w:rPr>
        <w:t> </w:t>
      </w:r>
      <w:r>
        <w:rPr/>
        <w:t>on</w:t>
      </w:r>
      <w:r>
        <w:rPr>
          <w:spacing w:val="-6"/>
        </w:rPr>
        <w:t> </w:t>
      </w:r>
      <w:r>
        <w:rPr/>
        <w:t>water</w:t>
      </w:r>
      <w:r>
        <w:rPr>
          <w:spacing w:val="-7"/>
        </w:rPr>
        <w:t> </w:t>
      </w:r>
      <w:r>
        <w:rPr/>
        <w:t>poverty</w:t>
      </w:r>
      <w:r>
        <w:rPr>
          <w:spacing w:val="-11"/>
        </w:rPr>
        <w:t> </w:t>
      </w:r>
      <w:r>
        <w:rPr/>
        <w:t>can</w:t>
      </w:r>
      <w:r>
        <w:rPr>
          <w:spacing w:val="-6"/>
        </w:rPr>
        <w:t> </w:t>
      </w:r>
      <w:r>
        <w:rPr/>
        <w:t>be explored using principal component analysis.</w:t>
      </w:r>
    </w:p>
    <w:p>
      <w:pPr>
        <w:pStyle w:val="Heading1"/>
        <w:spacing w:before="5" w:after="4"/>
        <w:ind w:left="1647" w:right="115" w:hanging="1380"/>
        <w:jc w:val="both"/>
      </w:pPr>
      <w:r>
        <w:rPr/>
        <w:t>Table 4.20a: Factorability of the Retained Water Poverty Indicators at Component </w:t>
      </w:r>
      <w:r>
        <w:rPr>
          <w:spacing w:val="-4"/>
        </w:rPr>
        <w:t>Level</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2"/>
        <w:gridCol w:w="5165"/>
      </w:tblGrid>
      <w:tr>
        <w:trPr>
          <w:trHeight w:val="315" w:hRule="atLeast"/>
        </w:trPr>
        <w:tc>
          <w:tcPr>
            <w:tcW w:w="3692" w:type="dxa"/>
            <w:tcBorders>
              <w:top w:val="single" w:sz="8" w:space="0" w:color="000000"/>
              <w:bottom w:val="single" w:sz="8" w:space="0" w:color="000000"/>
            </w:tcBorders>
          </w:tcPr>
          <w:p>
            <w:pPr>
              <w:pStyle w:val="TableParagraph"/>
              <w:spacing w:line="275" w:lineRule="exact"/>
              <w:ind w:left="122"/>
              <w:rPr>
                <w:b/>
                <w:sz w:val="24"/>
              </w:rPr>
            </w:pPr>
            <w:r>
              <w:rPr>
                <w:b/>
                <w:spacing w:val="-4"/>
                <w:sz w:val="24"/>
              </w:rPr>
              <w:t>Test</w:t>
            </w:r>
          </w:p>
        </w:tc>
        <w:tc>
          <w:tcPr>
            <w:tcW w:w="5165" w:type="dxa"/>
            <w:tcBorders>
              <w:top w:val="single" w:sz="8" w:space="0" w:color="000000"/>
              <w:bottom w:val="single" w:sz="8" w:space="0" w:color="000000"/>
            </w:tcBorders>
          </w:tcPr>
          <w:p>
            <w:pPr>
              <w:pStyle w:val="TableParagraph"/>
              <w:spacing w:line="275" w:lineRule="exact"/>
              <w:ind w:left="1478"/>
              <w:rPr>
                <w:b/>
                <w:sz w:val="24"/>
              </w:rPr>
            </w:pPr>
            <w:r>
              <w:rPr>
                <w:b/>
                <w:spacing w:val="-2"/>
                <w:sz w:val="24"/>
              </w:rPr>
              <w:t>Statistic</w:t>
            </w:r>
          </w:p>
        </w:tc>
      </w:tr>
      <w:tr>
        <w:trPr>
          <w:trHeight w:val="553" w:hRule="atLeast"/>
        </w:trPr>
        <w:tc>
          <w:tcPr>
            <w:tcW w:w="3692" w:type="dxa"/>
            <w:tcBorders>
              <w:top w:val="single" w:sz="8" w:space="0" w:color="000000"/>
            </w:tcBorders>
          </w:tcPr>
          <w:p>
            <w:pPr>
              <w:pStyle w:val="TableParagraph"/>
              <w:spacing w:line="272" w:lineRule="exact"/>
              <w:ind w:left="122"/>
              <w:rPr>
                <w:b/>
                <w:sz w:val="24"/>
              </w:rPr>
            </w:pPr>
            <w:r>
              <w:rPr>
                <w:b/>
                <w:spacing w:val="-2"/>
                <w:sz w:val="24"/>
              </w:rPr>
              <w:t>Kaiser-Meyer-Olkin</w:t>
            </w:r>
          </w:p>
          <w:p>
            <w:pPr>
              <w:pStyle w:val="TableParagraph"/>
              <w:spacing w:line="261" w:lineRule="exact"/>
              <w:ind w:left="122"/>
              <w:rPr>
                <w:b/>
                <w:sz w:val="24"/>
              </w:rPr>
            </w:pPr>
            <w:r>
              <w:rPr>
                <w:b/>
                <w:spacing w:val="-2"/>
                <w:sz w:val="24"/>
              </w:rPr>
              <w:t>(KMO)</w:t>
            </w:r>
          </w:p>
        </w:tc>
        <w:tc>
          <w:tcPr>
            <w:tcW w:w="5165" w:type="dxa"/>
            <w:tcBorders>
              <w:top w:val="single" w:sz="8" w:space="0" w:color="000000"/>
            </w:tcBorders>
          </w:tcPr>
          <w:p>
            <w:pPr>
              <w:pStyle w:val="TableParagraph"/>
              <w:spacing w:line="268" w:lineRule="exact"/>
              <w:ind w:left="1478"/>
              <w:rPr>
                <w:sz w:val="24"/>
              </w:rPr>
            </w:pPr>
            <w:r>
              <w:rPr>
                <w:spacing w:val="-2"/>
                <w:sz w:val="24"/>
              </w:rPr>
              <w:t>0.591</w:t>
            </w:r>
          </w:p>
        </w:tc>
      </w:tr>
      <w:tr>
        <w:trPr>
          <w:trHeight w:val="549" w:hRule="atLeast"/>
        </w:trPr>
        <w:tc>
          <w:tcPr>
            <w:tcW w:w="3692" w:type="dxa"/>
          </w:tcPr>
          <w:p>
            <w:pPr>
              <w:pStyle w:val="TableParagraph"/>
              <w:tabs>
                <w:tab w:pos="1664" w:val="left" w:leader="none"/>
                <w:tab w:pos="2691" w:val="left" w:leader="none"/>
              </w:tabs>
              <w:spacing w:line="271" w:lineRule="exact"/>
              <w:ind w:left="122"/>
              <w:rPr>
                <w:b/>
                <w:sz w:val="24"/>
              </w:rPr>
            </w:pPr>
            <w:r>
              <w:rPr>
                <w:b/>
                <w:spacing w:val="-2"/>
                <w:sz w:val="24"/>
              </w:rPr>
              <w:t>Bartlett's</w:t>
            </w:r>
            <w:r>
              <w:rPr>
                <w:b/>
                <w:sz w:val="24"/>
              </w:rPr>
              <w:tab/>
            </w:r>
            <w:r>
              <w:rPr>
                <w:b/>
                <w:spacing w:val="-4"/>
                <w:sz w:val="24"/>
              </w:rPr>
              <w:t>Test</w:t>
            </w:r>
            <w:r>
              <w:rPr>
                <w:b/>
                <w:sz w:val="24"/>
              </w:rPr>
              <w:tab/>
            </w:r>
            <w:r>
              <w:rPr>
                <w:b/>
                <w:spacing w:val="-5"/>
                <w:sz w:val="24"/>
              </w:rPr>
              <w:t>of</w:t>
            </w:r>
          </w:p>
          <w:p>
            <w:pPr>
              <w:pStyle w:val="TableParagraph"/>
              <w:spacing w:line="259" w:lineRule="exact"/>
              <w:ind w:left="122"/>
              <w:rPr>
                <w:b/>
                <w:sz w:val="24"/>
              </w:rPr>
            </w:pPr>
            <w:r>
              <w:rPr>
                <w:b/>
                <w:spacing w:val="-2"/>
                <w:sz w:val="24"/>
              </w:rPr>
              <w:t>Sphericity:</w:t>
            </w:r>
          </w:p>
        </w:tc>
        <w:tc>
          <w:tcPr>
            <w:tcW w:w="5165" w:type="dxa"/>
          </w:tcPr>
          <w:p>
            <w:pPr>
              <w:pStyle w:val="TableParagraph"/>
              <w:rPr>
                <w:sz w:val="24"/>
              </w:rPr>
            </w:pPr>
          </w:p>
        </w:tc>
      </w:tr>
      <w:tr>
        <w:trPr>
          <w:trHeight w:val="287" w:hRule="atLeast"/>
        </w:trPr>
        <w:tc>
          <w:tcPr>
            <w:tcW w:w="3692" w:type="dxa"/>
          </w:tcPr>
          <w:p>
            <w:pPr>
              <w:pStyle w:val="TableParagraph"/>
              <w:spacing w:line="268" w:lineRule="exact"/>
              <w:ind w:left="122"/>
              <w:rPr>
                <w:b/>
                <w:sz w:val="24"/>
              </w:rPr>
            </w:pPr>
            <w:r>
              <w:rPr>
                <w:b/>
                <w:sz w:val="24"/>
              </w:rPr>
              <w:t>Chi-Square</w:t>
            </w:r>
            <w:r>
              <w:rPr>
                <w:b/>
                <w:spacing w:val="-3"/>
                <w:sz w:val="24"/>
              </w:rPr>
              <w:t> </w:t>
            </w:r>
            <w:r>
              <w:rPr>
                <w:b/>
                <w:spacing w:val="-4"/>
                <w:sz w:val="24"/>
              </w:rPr>
              <w:t>value</w:t>
            </w:r>
          </w:p>
        </w:tc>
        <w:tc>
          <w:tcPr>
            <w:tcW w:w="5165" w:type="dxa"/>
          </w:tcPr>
          <w:p>
            <w:pPr>
              <w:pStyle w:val="TableParagraph"/>
              <w:spacing w:line="268" w:lineRule="exact"/>
              <w:ind w:left="1478"/>
              <w:rPr>
                <w:sz w:val="24"/>
              </w:rPr>
            </w:pPr>
            <w:r>
              <w:rPr>
                <w:spacing w:val="-2"/>
                <w:sz w:val="24"/>
              </w:rPr>
              <w:t>752.784</w:t>
            </w:r>
          </w:p>
        </w:tc>
      </w:tr>
      <w:tr>
        <w:trPr>
          <w:trHeight w:val="300" w:hRule="atLeast"/>
        </w:trPr>
        <w:tc>
          <w:tcPr>
            <w:tcW w:w="3692" w:type="dxa"/>
          </w:tcPr>
          <w:p>
            <w:pPr>
              <w:pStyle w:val="TableParagraph"/>
              <w:spacing w:line="271" w:lineRule="exact" w:before="9"/>
              <w:ind w:left="122"/>
              <w:rPr>
                <w:b/>
                <w:sz w:val="24"/>
              </w:rPr>
            </w:pPr>
            <w:r>
              <w:rPr>
                <w:b/>
                <w:spacing w:val="-5"/>
                <w:sz w:val="24"/>
              </w:rPr>
              <w:t>Df</w:t>
            </w:r>
          </w:p>
        </w:tc>
        <w:tc>
          <w:tcPr>
            <w:tcW w:w="5165" w:type="dxa"/>
          </w:tcPr>
          <w:p>
            <w:pPr>
              <w:pStyle w:val="TableParagraph"/>
              <w:spacing w:line="275" w:lineRule="exact" w:before="4"/>
              <w:ind w:left="1478"/>
              <w:rPr>
                <w:sz w:val="24"/>
              </w:rPr>
            </w:pPr>
            <w:r>
              <w:rPr>
                <w:spacing w:val="-5"/>
                <w:sz w:val="24"/>
              </w:rPr>
              <w:t>171</w:t>
            </w:r>
          </w:p>
        </w:tc>
      </w:tr>
      <w:tr>
        <w:trPr>
          <w:trHeight w:val="312" w:hRule="atLeast"/>
        </w:trPr>
        <w:tc>
          <w:tcPr>
            <w:tcW w:w="3692" w:type="dxa"/>
            <w:tcBorders>
              <w:bottom w:val="single" w:sz="8" w:space="0" w:color="000000"/>
            </w:tcBorders>
          </w:tcPr>
          <w:p>
            <w:pPr>
              <w:pStyle w:val="TableParagraph"/>
              <w:spacing w:before="9"/>
              <w:ind w:left="122"/>
              <w:rPr>
                <w:b/>
                <w:sz w:val="24"/>
              </w:rPr>
            </w:pPr>
            <w:r>
              <w:rPr>
                <w:b/>
                <w:spacing w:val="-4"/>
                <w:sz w:val="24"/>
              </w:rPr>
              <w:t>Sig.</w:t>
            </w:r>
          </w:p>
        </w:tc>
        <w:tc>
          <w:tcPr>
            <w:tcW w:w="5165" w:type="dxa"/>
            <w:tcBorders>
              <w:bottom w:val="single" w:sz="8" w:space="0" w:color="000000"/>
            </w:tcBorders>
          </w:tcPr>
          <w:p>
            <w:pPr>
              <w:pStyle w:val="TableParagraph"/>
              <w:spacing w:before="4"/>
              <w:ind w:left="1478"/>
              <w:rPr>
                <w:sz w:val="24"/>
              </w:rPr>
            </w:pPr>
            <w:r>
              <w:rPr>
                <w:spacing w:val="-2"/>
                <w:sz w:val="24"/>
              </w:rPr>
              <w:t>0.000</w:t>
            </w:r>
          </w:p>
        </w:tc>
      </w:tr>
    </w:tbl>
    <w:p>
      <w:pPr>
        <w:pStyle w:val="BodyText"/>
        <w:spacing w:before="234"/>
        <w:rPr>
          <w:b/>
        </w:rPr>
      </w:pPr>
    </w:p>
    <w:p>
      <w:pPr>
        <w:pStyle w:val="BodyText"/>
        <w:spacing w:line="480" w:lineRule="auto"/>
        <w:ind w:left="267" w:right="106"/>
        <w:jc w:val="both"/>
      </w:pPr>
      <w:r>
        <w:rPr/>
        <w:t>This result also shows that the 19 water indicators are relatively independent variables representing some combination of water poverty measure and do not suffer from multi- collinearity problem. In addition, the result of the chi-square of Bartlett’s test of sphericity (</w:t>
      </w:r>
      <w:r>
        <w:rPr>
          <w:color w:val="0D0F1A"/>
        </w:rPr>
        <w:t>χ</w:t>
      </w:r>
      <w:r>
        <w:rPr>
          <w:color w:val="0D0F1A"/>
          <w:vertAlign w:val="superscript"/>
        </w:rPr>
        <w:t>2</w:t>
      </w:r>
      <w:r>
        <w:rPr>
          <w:color w:val="0D0F1A"/>
          <w:spacing w:val="-15"/>
          <w:vertAlign w:val="baseline"/>
        </w:rPr>
        <w:t> </w:t>
      </w:r>
      <w:r>
        <w:rPr>
          <w:color w:val="0D0F1A"/>
          <w:vertAlign w:val="baseline"/>
        </w:rPr>
        <w:t>(171)</w:t>
      </w:r>
      <w:r>
        <w:rPr>
          <w:color w:val="0D0F1A"/>
          <w:spacing w:val="-15"/>
          <w:vertAlign w:val="baseline"/>
        </w:rPr>
        <w:t> </w:t>
      </w:r>
      <w:r>
        <w:rPr>
          <w:color w:val="0D0F1A"/>
          <w:vertAlign w:val="baseline"/>
        </w:rPr>
        <w:t>=</w:t>
      </w:r>
      <w:r>
        <w:rPr>
          <w:color w:val="0D0F1A"/>
          <w:spacing w:val="-15"/>
          <w:vertAlign w:val="baseline"/>
        </w:rPr>
        <w:t> </w:t>
      </w:r>
      <w:r>
        <w:rPr>
          <w:vertAlign w:val="baseline"/>
        </w:rPr>
        <w:t>752.784</w:t>
      </w:r>
      <w:r>
        <w:rPr>
          <w:color w:val="0D0F1A"/>
          <w:vertAlign w:val="baseline"/>
        </w:rPr>
        <w:t>,</w:t>
      </w:r>
      <w:r>
        <w:rPr>
          <w:color w:val="0D0F1A"/>
          <w:spacing w:val="-10"/>
          <w:vertAlign w:val="baseline"/>
        </w:rPr>
        <w:t> </w:t>
      </w:r>
      <w:r>
        <w:rPr>
          <w:color w:val="0D0F1A"/>
          <w:vertAlign w:val="baseline"/>
        </w:rPr>
        <w:t>p</w:t>
      </w:r>
      <w:r>
        <w:rPr>
          <w:color w:val="0D0F1A"/>
          <w:spacing w:val="-7"/>
          <w:vertAlign w:val="baseline"/>
        </w:rPr>
        <w:t> </w:t>
      </w:r>
      <w:r>
        <w:rPr>
          <w:color w:val="0D0F1A"/>
          <w:vertAlign w:val="baseline"/>
        </w:rPr>
        <w:t>=</w:t>
      </w:r>
      <w:r>
        <w:rPr>
          <w:color w:val="0D0F1A"/>
          <w:spacing w:val="-11"/>
          <w:vertAlign w:val="baseline"/>
        </w:rPr>
        <w:t> </w:t>
      </w:r>
      <w:r>
        <w:rPr>
          <w:color w:val="0D0F1A"/>
          <w:vertAlign w:val="baseline"/>
        </w:rPr>
        <w:t>0.000)</w:t>
      </w:r>
      <w:r>
        <w:rPr>
          <w:color w:val="0D0F1A"/>
          <w:spacing w:val="-10"/>
          <w:vertAlign w:val="baseline"/>
        </w:rPr>
        <w:t> </w:t>
      </w:r>
      <w:r>
        <w:rPr>
          <w:color w:val="0D0F1A"/>
          <w:vertAlign w:val="baseline"/>
        </w:rPr>
        <w:t>which</w:t>
      </w:r>
      <w:r>
        <w:rPr>
          <w:color w:val="0D0F1A"/>
          <w:spacing w:val="-10"/>
          <w:vertAlign w:val="baseline"/>
        </w:rPr>
        <w:t> </w:t>
      </w:r>
      <w:r>
        <w:rPr>
          <w:color w:val="0D0F1A"/>
          <w:vertAlign w:val="baseline"/>
        </w:rPr>
        <w:t>is</w:t>
      </w:r>
      <w:r>
        <w:rPr>
          <w:color w:val="0D0F1A"/>
          <w:spacing w:val="-9"/>
          <w:vertAlign w:val="baseline"/>
        </w:rPr>
        <w:t> </w:t>
      </w:r>
      <w:r>
        <w:rPr>
          <w:color w:val="0D0F1A"/>
          <w:vertAlign w:val="baseline"/>
        </w:rPr>
        <w:t>significant</w:t>
      </w:r>
      <w:r>
        <w:rPr>
          <w:color w:val="0D0F1A"/>
          <w:spacing w:val="-7"/>
          <w:vertAlign w:val="baseline"/>
        </w:rPr>
        <w:t> </w:t>
      </w:r>
      <w:r>
        <w:rPr>
          <w:color w:val="0D0F1A"/>
          <w:vertAlign w:val="baseline"/>
        </w:rPr>
        <w:t>at</w:t>
      </w:r>
      <w:r>
        <w:rPr>
          <w:color w:val="0D0F1A"/>
          <w:spacing w:val="-9"/>
          <w:vertAlign w:val="baseline"/>
        </w:rPr>
        <w:t> </w:t>
      </w:r>
      <w:r>
        <w:rPr>
          <w:color w:val="0D0F1A"/>
          <w:vertAlign w:val="baseline"/>
        </w:rPr>
        <w:t>5%</w:t>
      </w:r>
      <w:r>
        <w:rPr>
          <w:color w:val="0D0F1A"/>
          <w:spacing w:val="-10"/>
          <w:vertAlign w:val="baseline"/>
        </w:rPr>
        <w:t> </w:t>
      </w:r>
      <w:r>
        <w:rPr>
          <w:color w:val="0D0F1A"/>
          <w:vertAlign w:val="baseline"/>
        </w:rPr>
        <w:t>implies</w:t>
      </w:r>
      <w:r>
        <w:rPr>
          <w:color w:val="0D0F1A"/>
          <w:spacing w:val="-9"/>
          <w:vertAlign w:val="baseline"/>
        </w:rPr>
        <w:t> </w:t>
      </w:r>
      <w:r>
        <w:rPr>
          <w:color w:val="0D0F1A"/>
          <w:vertAlign w:val="baseline"/>
        </w:rPr>
        <w:t>that</w:t>
      </w:r>
      <w:r>
        <w:rPr>
          <w:color w:val="0D0F1A"/>
          <w:spacing w:val="-10"/>
          <w:vertAlign w:val="baseline"/>
        </w:rPr>
        <w:t> </w:t>
      </w:r>
      <w:r>
        <w:rPr>
          <w:color w:val="0D0F1A"/>
          <w:vertAlign w:val="baseline"/>
        </w:rPr>
        <w:t>the</w:t>
      </w:r>
      <w:r>
        <w:rPr>
          <w:color w:val="0D0F1A"/>
          <w:spacing w:val="-10"/>
          <w:vertAlign w:val="baseline"/>
        </w:rPr>
        <w:t> </w:t>
      </w:r>
      <w:r>
        <w:rPr>
          <w:color w:val="0D0F1A"/>
          <w:vertAlign w:val="baseline"/>
        </w:rPr>
        <w:t>sample</w:t>
      </w:r>
      <w:r>
        <w:rPr>
          <w:color w:val="0D0F1A"/>
          <w:spacing w:val="-11"/>
          <w:vertAlign w:val="baseline"/>
        </w:rPr>
        <w:t> </w:t>
      </w:r>
      <w:r>
        <w:rPr>
          <w:color w:val="0D0F1A"/>
          <w:vertAlign w:val="baseline"/>
        </w:rPr>
        <w:t>comprising 359 observations by 19 variable indicators is suitable for principal component analysis.</w:t>
      </w:r>
    </w:p>
    <w:p>
      <w:pPr>
        <w:spacing w:after="0" w:line="480" w:lineRule="auto"/>
        <w:jc w:val="both"/>
        <w:sectPr>
          <w:pgSz w:w="12240" w:h="15840"/>
          <w:pgMar w:header="0" w:footer="1068" w:top="1340" w:bottom="1260" w:left="1720" w:right="1300"/>
        </w:sectPr>
      </w:pPr>
    </w:p>
    <w:p>
      <w:pPr>
        <w:pStyle w:val="BodyText"/>
        <w:spacing w:line="480" w:lineRule="auto" w:before="63"/>
        <w:ind w:left="267" w:right="108"/>
        <w:jc w:val="both"/>
      </w:pPr>
      <w:r>
        <w:rPr/>
        <w:t>Turning to the PCA result in Table 4.20b, the retained 19 indicators account for approximately</w:t>
      </w:r>
      <w:r>
        <w:rPr>
          <w:spacing w:val="-12"/>
        </w:rPr>
        <w:t> </w:t>
      </w:r>
      <w:r>
        <w:rPr/>
        <w:t>79.54%</w:t>
      </w:r>
      <w:r>
        <w:rPr>
          <w:spacing w:val="-6"/>
        </w:rPr>
        <w:t> </w:t>
      </w:r>
      <w:r>
        <w:rPr/>
        <w:t>of</w:t>
      </w:r>
      <w:r>
        <w:rPr>
          <w:spacing w:val="-6"/>
        </w:rPr>
        <w:t> </w:t>
      </w:r>
      <w:r>
        <w:rPr/>
        <w:t>the</w:t>
      </w:r>
      <w:r>
        <w:rPr>
          <w:spacing w:val="-5"/>
        </w:rPr>
        <w:t> </w:t>
      </w:r>
      <w:r>
        <w:rPr/>
        <w:t>global</w:t>
      </w:r>
      <w:r>
        <w:rPr>
          <w:spacing w:val="-7"/>
        </w:rPr>
        <w:t> </w:t>
      </w:r>
      <w:r>
        <w:rPr/>
        <w:t>variance</w:t>
      </w:r>
      <w:r>
        <w:rPr>
          <w:spacing w:val="-6"/>
        </w:rPr>
        <w:t> </w:t>
      </w:r>
      <w:r>
        <w:rPr/>
        <w:t>in</w:t>
      </w:r>
      <w:r>
        <w:rPr>
          <w:spacing w:val="-7"/>
        </w:rPr>
        <w:t> </w:t>
      </w:r>
      <w:r>
        <w:rPr/>
        <w:t>water</w:t>
      </w:r>
      <w:r>
        <w:rPr>
          <w:spacing w:val="-8"/>
        </w:rPr>
        <w:t> </w:t>
      </w:r>
      <w:r>
        <w:rPr/>
        <w:t>poverty.</w:t>
      </w:r>
      <w:r>
        <w:rPr>
          <w:spacing w:val="-5"/>
        </w:rPr>
        <w:t> </w:t>
      </w:r>
      <w:r>
        <w:rPr/>
        <w:t>Given</w:t>
      </w:r>
      <w:r>
        <w:rPr>
          <w:spacing w:val="-5"/>
        </w:rPr>
        <w:t> </w:t>
      </w:r>
      <w:r>
        <w:rPr/>
        <w:t>this</w:t>
      </w:r>
      <w:r>
        <w:rPr>
          <w:spacing w:val="-7"/>
        </w:rPr>
        <w:t> </w:t>
      </w:r>
      <w:r>
        <w:rPr/>
        <w:t>total</w:t>
      </w:r>
      <w:r>
        <w:rPr>
          <w:spacing w:val="-7"/>
        </w:rPr>
        <w:t> </w:t>
      </w:r>
      <w:r>
        <w:rPr/>
        <w:t>variation,</w:t>
      </w:r>
      <w:r>
        <w:rPr>
          <w:spacing w:val="-7"/>
        </w:rPr>
        <w:t> </w:t>
      </w:r>
      <w:r>
        <w:rPr/>
        <w:t>the adequacy of the combinations of the 19 indicators as meaningful and conceptually related variables of water poverty measure is guaranteed. It further shows that the 12 principal components extracted from the 19 water poverty indicators based on Jollife’s variance explained criteria comprehensively retained as much information as possible in the underlying dataset after discarding the two (2) redundant indicators.</w:t>
      </w:r>
    </w:p>
    <w:p>
      <w:pPr>
        <w:pStyle w:val="Heading1"/>
        <w:spacing w:before="246" w:after="4"/>
        <w:jc w:val="both"/>
      </w:pPr>
      <w:r>
        <w:rPr/>
        <w:t>Table</w:t>
      </w:r>
      <w:r>
        <w:rPr>
          <w:spacing w:val="-4"/>
        </w:rPr>
        <w:t> </w:t>
      </w:r>
      <w:r>
        <w:rPr/>
        <w:t>4.20b:</w:t>
      </w:r>
      <w:r>
        <w:rPr>
          <w:spacing w:val="-2"/>
        </w:rPr>
        <w:t> </w:t>
      </w:r>
      <w:r>
        <w:rPr/>
        <w:t>Result</w:t>
      </w:r>
      <w:r>
        <w:rPr>
          <w:spacing w:val="-2"/>
        </w:rPr>
        <w:t> </w:t>
      </w:r>
      <w:r>
        <w:rPr/>
        <w:t>of</w:t>
      </w:r>
      <w:r>
        <w:rPr>
          <w:spacing w:val="-2"/>
        </w:rPr>
        <w:t> </w:t>
      </w:r>
      <w:r>
        <w:rPr/>
        <w:t>the</w:t>
      </w:r>
      <w:r>
        <w:rPr>
          <w:spacing w:val="-3"/>
        </w:rPr>
        <w:t> </w:t>
      </w:r>
      <w:r>
        <w:rPr/>
        <w:t>Principal</w:t>
      </w:r>
      <w:r>
        <w:rPr>
          <w:spacing w:val="-2"/>
        </w:rPr>
        <w:t> </w:t>
      </w:r>
      <w:r>
        <w:rPr/>
        <w:t>Component</w:t>
      </w:r>
      <w:r>
        <w:rPr>
          <w:spacing w:val="-2"/>
        </w:rPr>
        <w:t> </w:t>
      </w:r>
      <w:r>
        <w:rPr/>
        <w:t>Analysis</w:t>
      </w:r>
      <w:r>
        <w:rPr>
          <w:spacing w:val="-2"/>
        </w:rPr>
        <w:t> </w:t>
      </w:r>
      <w:r>
        <w:rPr/>
        <w:t>at</w:t>
      </w:r>
      <w:r>
        <w:rPr>
          <w:spacing w:val="-2"/>
        </w:rPr>
        <w:t> </w:t>
      </w:r>
      <w:r>
        <w:rPr/>
        <w:t>the</w:t>
      </w:r>
      <w:r>
        <w:rPr>
          <w:spacing w:val="-2"/>
        </w:rPr>
        <w:t> </w:t>
      </w:r>
      <w:r>
        <w:rPr/>
        <w:t>Component</w:t>
      </w:r>
      <w:r>
        <w:rPr>
          <w:spacing w:val="-2"/>
        </w:rPr>
        <w:t> Level</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1"/>
        <w:gridCol w:w="671"/>
        <w:gridCol w:w="819"/>
        <w:gridCol w:w="870"/>
        <w:gridCol w:w="848"/>
        <w:gridCol w:w="899"/>
        <w:gridCol w:w="888"/>
        <w:gridCol w:w="703"/>
      </w:tblGrid>
      <w:tr>
        <w:trPr>
          <w:trHeight w:val="330" w:hRule="atLeast"/>
        </w:trPr>
        <w:tc>
          <w:tcPr>
            <w:tcW w:w="8859" w:type="dxa"/>
            <w:gridSpan w:val="8"/>
            <w:tcBorders>
              <w:top w:val="single" w:sz="8" w:space="0" w:color="000000"/>
              <w:bottom w:val="single" w:sz="8" w:space="0" w:color="000000"/>
            </w:tcBorders>
          </w:tcPr>
          <w:p>
            <w:pPr>
              <w:pStyle w:val="TableParagraph"/>
              <w:spacing w:line="272" w:lineRule="exact"/>
              <w:ind w:left="4394"/>
              <w:rPr>
                <w:b/>
                <w:sz w:val="24"/>
              </w:rPr>
            </w:pPr>
            <w:r>
              <w:rPr>
                <w:b/>
                <w:sz w:val="24"/>
              </w:rPr>
              <w:t>Principal</w:t>
            </w:r>
            <w:r>
              <w:rPr>
                <w:b/>
                <w:spacing w:val="-3"/>
                <w:sz w:val="24"/>
              </w:rPr>
              <w:t> </w:t>
            </w:r>
            <w:r>
              <w:rPr>
                <w:b/>
                <w:spacing w:val="-2"/>
                <w:sz w:val="24"/>
              </w:rPr>
              <w:t>Component</w:t>
            </w:r>
          </w:p>
        </w:tc>
      </w:tr>
      <w:tr>
        <w:trPr>
          <w:trHeight w:val="827" w:hRule="atLeast"/>
        </w:trPr>
        <w:tc>
          <w:tcPr>
            <w:tcW w:w="3161" w:type="dxa"/>
            <w:tcBorders>
              <w:top w:val="single" w:sz="8" w:space="0" w:color="000000"/>
            </w:tcBorders>
          </w:tcPr>
          <w:p>
            <w:pPr>
              <w:pStyle w:val="TableParagraph"/>
              <w:rPr>
                <w:sz w:val="24"/>
              </w:rPr>
            </w:pPr>
          </w:p>
        </w:tc>
        <w:tc>
          <w:tcPr>
            <w:tcW w:w="671" w:type="dxa"/>
            <w:tcBorders>
              <w:top w:val="single" w:sz="8" w:space="0" w:color="000000"/>
            </w:tcBorders>
          </w:tcPr>
          <w:p>
            <w:pPr>
              <w:pStyle w:val="TableParagraph"/>
              <w:ind w:left="74" w:right="213"/>
              <w:rPr>
                <w:b/>
                <w:sz w:val="24"/>
              </w:rPr>
            </w:pPr>
            <w:r>
              <w:rPr>
                <w:b/>
                <w:spacing w:val="-6"/>
                <w:sz w:val="24"/>
              </w:rPr>
              <w:t>CO </w:t>
            </w:r>
            <w:r>
              <w:rPr>
                <w:b/>
                <w:spacing w:val="-5"/>
                <w:sz w:val="24"/>
              </w:rPr>
              <w:t>MP</w:t>
            </w:r>
          </w:p>
          <w:p>
            <w:pPr>
              <w:pStyle w:val="TableParagraph"/>
              <w:spacing w:line="259" w:lineRule="exact"/>
              <w:ind w:left="74"/>
              <w:rPr>
                <w:b/>
                <w:sz w:val="24"/>
              </w:rPr>
            </w:pPr>
            <w:r>
              <w:rPr>
                <w:b/>
                <w:spacing w:val="-10"/>
                <w:sz w:val="24"/>
              </w:rPr>
              <w:t>1</w:t>
            </w:r>
          </w:p>
        </w:tc>
        <w:tc>
          <w:tcPr>
            <w:tcW w:w="819" w:type="dxa"/>
            <w:tcBorders>
              <w:top w:val="single" w:sz="8" w:space="0" w:color="000000"/>
            </w:tcBorders>
          </w:tcPr>
          <w:p>
            <w:pPr>
              <w:pStyle w:val="TableParagraph"/>
              <w:ind w:left="106" w:right="118"/>
              <w:rPr>
                <w:b/>
                <w:sz w:val="24"/>
              </w:rPr>
            </w:pPr>
            <w:r>
              <w:rPr>
                <w:b/>
                <w:spacing w:val="-4"/>
                <w:sz w:val="24"/>
              </w:rPr>
              <w:t>COM </w:t>
            </w:r>
            <w:r>
              <w:rPr>
                <w:b/>
                <w:spacing w:val="-6"/>
                <w:sz w:val="24"/>
              </w:rPr>
              <w:t>P2</w:t>
            </w:r>
          </w:p>
        </w:tc>
        <w:tc>
          <w:tcPr>
            <w:tcW w:w="870" w:type="dxa"/>
            <w:tcBorders>
              <w:top w:val="single" w:sz="8" w:space="0" w:color="000000"/>
            </w:tcBorders>
          </w:tcPr>
          <w:p>
            <w:pPr>
              <w:pStyle w:val="TableParagraph"/>
              <w:ind w:left="217" w:right="58"/>
              <w:rPr>
                <w:b/>
                <w:sz w:val="24"/>
              </w:rPr>
            </w:pPr>
            <w:r>
              <w:rPr>
                <w:b/>
                <w:spacing w:val="-4"/>
                <w:sz w:val="24"/>
              </w:rPr>
              <w:t>COM </w:t>
            </w:r>
            <w:r>
              <w:rPr>
                <w:b/>
                <w:spacing w:val="-6"/>
                <w:sz w:val="24"/>
              </w:rPr>
              <w:t>P3</w:t>
            </w:r>
          </w:p>
        </w:tc>
        <w:tc>
          <w:tcPr>
            <w:tcW w:w="848" w:type="dxa"/>
            <w:tcBorders>
              <w:top w:val="single" w:sz="8" w:space="0" w:color="000000"/>
            </w:tcBorders>
          </w:tcPr>
          <w:p>
            <w:pPr>
              <w:pStyle w:val="TableParagraph"/>
              <w:ind w:left="215" w:right="38"/>
              <w:rPr>
                <w:b/>
                <w:sz w:val="24"/>
              </w:rPr>
            </w:pPr>
            <w:r>
              <w:rPr>
                <w:b/>
                <w:spacing w:val="-4"/>
                <w:sz w:val="24"/>
              </w:rPr>
              <w:t>COM </w:t>
            </w:r>
            <w:r>
              <w:rPr>
                <w:b/>
                <w:spacing w:val="-6"/>
                <w:sz w:val="24"/>
              </w:rPr>
              <w:t>P4</w:t>
            </w:r>
          </w:p>
        </w:tc>
        <w:tc>
          <w:tcPr>
            <w:tcW w:w="899" w:type="dxa"/>
            <w:tcBorders>
              <w:top w:val="single" w:sz="8" w:space="0" w:color="000000"/>
            </w:tcBorders>
          </w:tcPr>
          <w:p>
            <w:pPr>
              <w:pStyle w:val="TableParagraph"/>
              <w:ind w:left="210" w:right="187"/>
              <w:rPr>
                <w:b/>
                <w:sz w:val="24"/>
              </w:rPr>
            </w:pPr>
            <w:r>
              <w:rPr>
                <w:b/>
                <w:spacing w:val="-6"/>
                <w:sz w:val="24"/>
              </w:rPr>
              <w:t>CO </w:t>
            </w:r>
            <w:r>
              <w:rPr>
                <w:b/>
                <w:spacing w:val="-4"/>
                <w:sz w:val="24"/>
              </w:rPr>
              <w:t>MP5</w:t>
            </w:r>
          </w:p>
        </w:tc>
        <w:tc>
          <w:tcPr>
            <w:tcW w:w="888" w:type="dxa"/>
            <w:tcBorders>
              <w:top w:val="single" w:sz="8" w:space="0" w:color="000000"/>
            </w:tcBorders>
          </w:tcPr>
          <w:p>
            <w:pPr>
              <w:pStyle w:val="TableParagraph"/>
              <w:ind w:left="106" w:right="187"/>
              <w:rPr>
                <w:b/>
                <w:sz w:val="24"/>
              </w:rPr>
            </w:pPr>
            <w:r>
              <w:rPr>
                <w:b/>
                <w:spacing w:val="-4"/>
                <w:sz w:val="24"/>
              </w:rPr>
              <w:t>COM </w:t>
            </w:r>
            <w:r>
              <w:rPr>
                <w:b/>
                <w:spacing w:val="-6"/>
                <w:sz w:val="24"/>
              </w:rPr>
              <w:t>P6</w:t>
            </w:r>
          </w:p>
        </w:tc>
        <w:tc>
          <w:tcPr>
            <w:tcW w:w="703" w:type="dxa"/>
            <w:tcBorders>
              <w:top w:val="single" w:sz="8" w:space="0" w:color="000000"/>
            </w:tcBorders>
          </w:tcPr>
          <w:p>
            <w:pPr>
              <w:pStyle w:val="TableParagraph"/>
              <w:ind w:left="106" w:right="213"/>
              <w:rPr>
                <w:b/>
                <w:sz w:val="24"/>
              </w:rPr>
            </w:pPr>
            <w:r>
              <w:rPr>
                <w:b/>
                <w:spacing w:val="-6"/>
                <w:sz w:val="24"/>
              </w:rPr>
              <w:t>CO </w:t>
            </w:r>
            <w:r>
              <w:rPr>
                <w:b/>
                <w:spacing w:val="-5"/>
                <w:sz w:val="24"/>
              </w:rPr>
              <w:t>MP</w:t>
            </w:r>
          </w:p>
          <w:p>
            <w:pPr>
              <w:pStyle w:val="TableParagraph"/>
              <w:spacing w:line="259" w:lineRule="exact"/>
              <w:ind w:left="106"/>
              <w:rPr>
                <w:b/>
                <w:sz w:val="24"/>
              </w:rPr>
            </w:pPr>
            <w:r>
              <w:rPr>
                <w:b/>
                <w:spacing w:val="-10"/>
                <w:sz w:val="24"/>
              </w:rPr>
              <w:t>7</w:t>
            </w:r>
          </w:p>
        </w:tc>
      </w:tr>
      <w:tr>
        <w:trPr>
          <w:trHeight w:val="295" w:hRule="atLeast"/>
        </w:trPr>
        <w:tc>
          <w:tcPr>
            <w:tcW w:w="3161" w:type="dxa"/>
          </w:tcPr>
          <w:p>
            <w:pPr>
              <w:pStyle w:val="TableParagraph"/>
              <w:spacing w:line="273" w:lineRule="exact"/>
              <w:ind w:left="122"/>
              <w:rPr>
                <w:b/>
                <w:sz w:val="24"/>
              </w:rPr>
            </w:pPr>
            <w:r>
              <w:rPr>
                <w:b/>
                <w:sz w:val="24"/>
              </w:rPr>
              <w:t>Eigen </w:t>
            </w:r>
            <w:r>
              <w:rPr>
                <w:b/>
                <w:spacing w:val="-2"/>
                <w:sz w:val="24"/>
              </w:rPr>
              <w:t>values</w:t>
            </w:r>
          </w:p>
        </w:tc>
        <w:tc>
          <w:tcPr>
            <w:tcW w:w="671" w:type="dxa"/>
          </w:tcPr>
          <w:p>
            <w:pPr>
              <w:pStyle w:val="TableParagraph"/>
              <w:spacing w:line="268" w:lineRule="exact"/>
              <w:ind w:left="32"/>
              <w:jc w:val="center"/>
              <w:rPr>
                <w:sz w:val="24"/>
              </w:rPr>
            </w:pPr>
            <w:r>
              <w:rPr>
                <w:spacing w:val="-4"/>
                <w:sz w:val="24"/>
              </w:rPr>
              <w:t>2.28</w:t>
            </w:r>
          </w:p>
        </w:tc>
        <w:tc>
          <w:tcPr>
            <w:tcW w:w="819" w:type="dxa"/>
          </w:tcPr>
          <w:p>
            <w:pPr>
              <w:pStyle w:val="TableParagraph"/>
              <w:spacing w:line="268" w:lineRule="exact"/>
              <w:ind w:right="-15"/>
              <w:jc w:val="right"/>
              <w:rPr>
                <w:sz w:val="24"/>
              </w:rPr>
            </w:pPr>
            <w:r>
              <w:rPr>
                <w:spacing w:val="-4"/>
                <w:sz w:val="24"/>
              </w:rPr>
              <w:t>1.90</w:t>
            </w:r>
          </w:p>
        </w:tc>
        <w:tc>
          <w:tcPr>
            <w:tcW w:w="870" w:type="dxa"/>
          </w:tcPr>
          <w:p>
            <w:pPr>
              <w:pStyle w:val="TableParagraph"/>
              <w:spacing w:line="268" w:lineRule="exact"/>
              <w:jc w:val="right"/>
              <w:rPr>
                <w:sz w:val="24"/>
              </w:rPr>
            </w:pPr>
            <w:r>
              <w:rPr>
                <w:spacing w:val="-4"/>
                <w:sz w:val="24"/>
              </w:rPr>
              <w:t>1.69</w:t>
            </w:r>
          </w:p>
        </w:tc>
        <w:tc>
          <w:tcPr>
            <w:tcW w:w="848" w:type="dxa"/>
          </w:tcPr>
          <w:p>
            <w:pPr>
              <w:pStyle w:val="TableParagraph"/>
              <w:spacing w:line="268" w:lineRule="exact"/>
              <w:ind w:right="3"/>
              <w:jc w:val="right"/>
              <w:rPr>
                <w:sz w:val="24"/>
              </w:rPr>
            </w:pPr>
            <w:r>
              <w:rPr>
                <w:spacing w:val="-4"/>
                <w:sz w:val="24"/>
              </w:rPr>
              <w:t>1.41</w:t>
            </w:r>
          </w:p>
        </w:tc>
        <w:tc>
          <w:tcPr>
            <w:tcW w:w="899" w:type="dxa"/>
          </w:tcPr>
          <w:p>
            <w:pPr>
              <w:pStyle w:val="TableParagraph"/>
              <w:spacing w:line="268" w:lineRule="exact"/>
              <w:ind w:right="108"/>
              <w:jc w:val="right"/>
              <w:rPr>
                <w:sz w:val="24"/>
              </w:rPr>
            </w:pPr>
            <w:r>
              <w:rPr>
                <w:spacing w:val="-4"/>
                <w:sz w:val="24"/>
              </w:rPr>
              <w:t>1.27</w:t>
            </w:r>
          </w:p>
        </w:tc>
        <w:tc>
          <w:tcPr>
            <w:tcW w:w="888" w:type="dxa"/>
          </w:tcPr>
          <w:p>
            <w:pPr>
              <w:pStyle w:val="TableParagraph"/>
              <w:spacing w:line="268" w:lineRule="exact"/>
              <w:ind w:right="107"/>
              <w:jc w:val="right"/>
              <w:rPr>
                <w:sz w:val="24"/>
              </w:rPr>
            </w:pPr>
            <w:r>
              <w:rPr>
                <w:spacing w:val="-4"/>
                <w:sz w:val="24"/>
              </w:rPr>
              <w:t>1.09</w:t>
            </w:r>
          </w:p>
        </w:tc>
        <w:tc>
          <w:tcPr>
            <w:tcW w:w="703" w:type="dxa"/>
          </w:tcPr>
          <w:p>
            <w:pPr>
              <w:pStyle w:val="TableParagraph"/>
              <w:spacing w:line="268" w:lineRule="exact"/>
              <w:ind w:left="64"/>
              <w:jc w:val="center"/>
              <w:rPr>
                <w:sz w:val="24"/>
              </w:rPr>
            </w:pPr>
            <w:r>
              <w:rPr>
                <w:spacing w:val="-4"/>
                <w:sz w:val="24"/>
              </w:rPr>
              <w:t>1.05</w:t>
            </w:r>
          </w:p>
        </w:tc>
      </w:tr>
      <w:tr>
        <w:trPr>
          <w:trHeight w:val="571" w:hRule="atLeast"/>
        </w:trPr>
        <w:tc>
          <w:tcPr>
            <w:tcW w:w="3161" w:type="dxa"/>
          </w:tcPr>
          <w:p>
            <w:pPr>
              <w:pStyle w:val="TableParagraph"/>
              <w:tabs>
                <w:tab w:pos="1597" w:val="left" w:leader="none"/>
                <w:tab w:pos="2141" w:val="left" w:leader="none"/>
              </w:tabs>
              <w:spacing w:line="270" w:lineRule="atLeast"/>
              <w:ind w:left="122" w:right="140"/>
              <w:rPr>
                <w:b/>
                <w:sz w:val="24"/>
              </w:rPr>
            </w:pPr>
            <w:r>
              <w:rPr>
                <w:b/>
                <w:spacing w:val="-2"/>
                <w:sz w:val="24"/>
              </w:rPr>
              <w:t>Proportion</w:t>
            </w:r>
            <w:r>
              <w:rPr>
                <w:b/>
                <w:sz w:val="24"/>
              </w:rPr>
              <w:tab/>
            </w:r>
            <w:r>
              <w:rPr>
                <w:b/>
                <w:spacing w:val="-6"/>
                <w:sz w:val="24"/>
              </w:rPr>
              <w:t>of</w:t>
            </w:r>
            <w:r>
              <w:rPr>
                <w:b/>
                <w:sz w:val="24"/>
              </w:rPr>
              <w:tab/>
            </w:r>
            <w:r>
              <w:rPr>
                <w:b/>
                <w:spacing w:val="-2"/>
                <w:sz w:val="24"/>
              </w:rPr>
              <w:t>variance </w:t>
            </w:r>
            <w:r>
              <w:rPr>
                <w:b/>
                <w:sz w:val="24"/>
              </w:rPr>
              <w:t>explained (%)</w:t>
            </w:r>
          </w:p>
        </w:tc>
        <w:tc>
          <w:tcPr>
            <w:tcW w:w="671" w:type="dxa"/>
          </w:tcPr>
          <w:p>
            <w:pPr>
              <w:pStyle w:val="TableParagraph"/>
              <w:spacing w:before="11"/>
              <w:ind w:right="107"/>
              <w:jc w:val="right"/>
              <w:rPr>
                <w:sz w:val="24"/>
              </w:rPr>
            </w:pPr>
            <w:r>
              <w:rPr>
                <w:spacing w:val="-4"/>
                <w:sz w:val="24"/>
              </w:rPr>
              <w:t>12.0</w:t>
            </w:r>
          </w:p>
          <w:p>
            <w:pPr>
              <w:pStyle w:val="TableParagraph"/>
              <w:spacing w:line="263" w:lineRule="exact"/>
              <w:ind w:right="107"/>
              <w:jc w:val="right"/>
              <w:rPr>
                <w:sz w:val="24"/>
              </w:rPr>
            </w:pPr>
            <w:r>
              <w:rPr>
                <w:spacing w:val="-10"/>
                <w:sz w:val="24"/>
              </w:rPr>
              <w:t>1</w:t>
            </w:r>
          </w:p>
        </w:tc>
        <w:tc>
          <w:tcPr>
            <w:tcW w:w="819" w:type="dxa"/>
          </w:tcPr>
          <w:p>
            <w:pPr>
              <w:pStyle w:val="TableParagraph"/>
              <w:spacing w:before="11"/>
              <w:ind w:right="-15"/>
              <w:jc w:val="right"/>
              <w:rPr>
                <w:sz w:val="24"/>
              </w:rPr>
            </w:pPr>
            <w:r>
              <w:rPr>
                <w:spacing w:val="-2"/>
                <w:sz w:val="24"/>
              </w:rPr>
              <w:t>10.00</w:t>
            </w:r>
          </w:p>
        </w:tc>
        <w:tc>
          <w:tcPr>
            <w:tcW w:w="870" w:type="dxa"/>
          </w:tcPr>
          <w:p>
            <w:pPr>
              <w:pStyle w:val="TableParagraph"/>
              <w:spacing w:before="11"/>
              <w:jc w:val="right"/>
              <w:rPr>
                <w:sz w:val="24"/>
              </w:rPr>
            </w:pPr>
            <w:r>
              <w:rPr>
                <w:spacing w:val="-4"/>
                <w:sz w:val="24"/>
              </w:rPr>
              <w:t>8.92</w:t>
            </w:r>
          </w:p>
        </w:tc>
        <w:tc>
          <w:tcPr>
            <w:tcW w:w="848" w:type="dxa"/>
          </w:tcPr>
          <w:p>
            <w:pPr>
              <w:pStyle w:val="TableParagraph"/>
              <w:spacing w:before="11"/>
              <w:ind w:right="3"/>
              <w:jc w:val="right"/>
              <w:rPr>
                <w:sz w:val="24"/>
              </w:rPr>
            </w:pPr>
            <w:r>
              <w:rPr>
                <w:spacing w:val="-4"/>
                <w:sz w:val="24"/>
              </w:rPr>
              <w:t>7.42</w:t>
            </w:r>
          </w:p>
        </w:tc>
        <w:tc>
          <w:tcPr>
            <w:tcW w:w="899" w:type="dxa"/>
          </w:tcPr>
          <w:p>
            <w:pPr>
              <w:pStyle w:val="TableParagraph"/>
              <w:spacing w:before="11"/>
              <w:ind w:right="108"/>
              <w:jc w:val="right"/>
              <w:rPr>
                <w:sz w:val="24"/>
              </w:rPr>
            </w:pPr>
            <w:r>
              <w:rPr>
                <w:spacing w:val="-4"/>
                <w:sz w:val="24"/>
              </w:rPr>
              <w:t>6.66</w:t>
            </w:r>
          </w:p>
        </w:tc>
        <w:tc>
          <w:tcPr>
            <w:tcW w:w="888" w:type="dxa"/>
          </w:tcPr>
          <w:p>
            <w:pPr>
              <w:pStyle w:val="TableParagraph"/>
              <w:spacing w:before="11"/>
              <w:ind w:right="107"/>
              <w:jc w:val="right"/>
              <w:rPr>
                <w:sz w:val="24"/>
              </w:rPr>
            </w:pPr>
            <w:r>
              <w:rPr>
                <w:spacing w:val="-4"/>
                <w:sz w:val="24"/>
              </w:rPr>
              <w:t>5.75</w:t>
            </w:r>
          </w:p>
        </w:tc>
        <w:tc>
          <w:tcPr>
            <w:tcW w:w="703" w:type="dxa"/>
          </w:tcPr>
          <w:p>
            <w:pPr>
              <w:pStyle w:val="TableParagraph"/>
              <w:spacing w:before="11"/>
              <w:ind w:left="64"/>
              <w:jc w:val="center"/>
              <w:rPr>
                <w:sz w:val="24"/>
              </w:rPr>
            </w:pPr>
            <w:r>
              <w:rPr>
                <w:spacing w:val="-4"/>
                <w:sz w:val="24"/>
              </w:rPr>
              <w:t>5.50</w:t>
            </w:r>
          </w:p>
        </w:tc>
      </w:tr>
      <w:tr>
        <w:trPr>
          <w:trHeight w:val="554" w:hRule="atLeast"/>
        </w:trPr>
        <w:tc>
          <w:tcPr>
            <w:tcW w:w="3161" w:type="dxa"/>
          </w:tcPr>
          <w:p>
            <w:pPr>
              <w:pStyle w:val="TableParagraph"/>
              <w:spacing w:line="276" w:lineRule="exact"/>
              <w:ind w:left="122"/>
              <w:rPr>
                <w:b/>
                <w:sz w:val="24"/>
              </w:rPr>
            </w:pPr>
            <w:r>
              <w:rPr>
                <w:b/>
                <w:sz w:val="24"/>
              </w:rPr>
              <w:t>Cumulative</w:t>
            </w:r>
            <w:r>
              <w:rPr>
                <w:b/>
                <w:spacing w:val="80"/>
                <w:sz w:val="24"/>
              </w:rPr>
              <w:t> </w:t>
            </w:r>
            <w:r>
              <w:rPr>
                <w:b/>
                <w:sz w:val="24"/>
              </w:rPr>
              <w:t>proportion</w:t>
            </w:r>
            <w:r>
              <w:rPr>
                <w:b/>
                <w:spacing w:val="80"/>
                <w:sz w:val="24"/>
              </w:rPr>
              <w:t> </w:t>
            </w:r>
            <w:r>
              <w:rPr>
                <w:b/>
                <w:sz w:val="24"/>
              </w:rPr>
              <w:t>of variance explained (%)</w:t>
            </w:r>
          </w:p>
        </w:tc>
        <w:tc>
          <w:tcPr>
            <w:tcW w:w="671" w:type="dxa"/>
          </w:tcPr>
          <w:p>
            <w:pPr>
              <w:pStyle w:val="TableParagraph"/>
              <w:spacing w:line="268" w:lineRule="exact"/>
              <w:ind w:right="107"/>
              <w:jc w:val="right"/>
              <w:rPr>
                <w:sz w:val="24"/>
              </w:rPr>
            </w:pPr>
            <w:r>
              <w:rPr>
                <w:spacing w:val="-4"/>
                <w:sz w:val="24"/>
              </w:rPr>
              <w:t>12.0</w:t>
            </w:r>
          </w:p>
          <w:p>
            <w:pPr>
              <w:pStyle w:val="TableParagraph"/>
              <w:spacing w:line="266" w:lineRule="exact"/>
              <w:ind w:right="107"/>
              <w:jc w:val="right"/>
              <w:rPr>
                <w:sz w:val="24"/>
              </w:rPr>
            </w:pPr>
            <w:r>
              <w:rPr>
                <w:spacing w:val="-10"/>
                <w:sz w:val="24"/>
              </w:rPr>
              <w:t>1</w:t>
            </w:r>
          </w:p>
        </w:tc>
        <w:tc>
          <w:tcPr>
            <w:tcW w:w="819" w:type="dxa"/>
          </w:tcPr>
          <w:p>
            <w:pPr>
              <w:pStyle w:val="TableParagraph"/>
              <w:spacing w:line="268" w:lineRule="exact"/>
              <w:ind w:right="-15"/>
              <w:jc w:val="right"/>
              <w:rPr>
                <w:sz w:val="24"/>
              </w:rPr>
            </w:pPr>
            <w:r>
              <w:rPr>
                <w:spacing w:val="-2"/>
                <w:sz w:val="24"/>
              </w:rPr>
              <w:t>22.01</w:t>
            </w:r>
          </w:p>
        </w:tc>
        <w:tc>
          <w:tcPr>
            <w:tcW w:w="870" w:type="dxa"/>
          </w:tcPr>
          <w:p>
            <w:pPr>
              <w:pStyle w:val="TableParagraph"/>
              <w:spacing w:line="268" w:lineRule="exact"/>
              <w:jc w:val="right"/>
              <w:rPr>
                <w:sz w:val="24"/>
              </w:rPr>
            </w:pPr>
            <w:r>
              <w:rPr>
                <w:spacing w:val="-2"/>
                <w:sz w:val="24"/>
              </w:rPr>
              <w:t>30.93</w:t>
            </w:r>
          </w:p>
        </w:tc>
        <w:tc>
          <w:tcPr>
            <w:tcW w:w="848" w:type="dxa"/>
          </w:tcPr>
          <w:p>
            <w:pPr>
              <w:pStyle w:val="TableParagraph"/>
              <w:spacing w:line="268" w:lineRule="exact"/>
              <w:ind w:right="3"/>
              <w:jc w:val="right"/>
              <w:rPr>
                <w:sz w:val="24"/>
              </w:rPr>
            </w:pPr>
            <w:r>
              <w:rPr>
                <w:spacing w:val="-2"/>
                <w:sz w:val="24"/>
              </w:rPr>
              <w:t>38.35</w:t>
            </w:r>
          </w:p>
        </w:tc>
        <w:tc>
          <w:tcPr>
            <w:tcW w:w="899" w:type="dxa"/>
          </w:tcPr>
          <w:p>
            <w:pPr>
              <w:pStyle w:val="TableParagraph"/>
              <w:spacing w:line="268" w:lineRule="exact"/>
              <w:ind w:right="108"/>
              <w:jc w:val="right"/>
              <w:rPr>
                <w:sz w:val="24"/>
              </w:rPr>
            </w:pPr>
            <w:r>
              <w:rPr>
                <w:spacing w:val="-2"/>
                <w:sz w:val="24"/>
              </w:rPr>
              <w:t>45.01</w:t>
            </w:r>
          </w:p>
        </w:tc>
        <w:tc>
          <w:tcPr>
            <w:tcW w:w="888" w:type="dxa"/>
          </w:tcPr>
          <w:p>
            <w:pPr>
              <w:pStyle w:val="TableParagraph"/>
              <w:spacing w:line="268" w:lineRule="exact"/>
              <w:ind w:right="107"/>
              <w:jc w:val="right"/>
              <w:rPr>
                <w:sz w:val="24"/>
              </w:rPr>
            </w:pPr>
            <w:r>
              <w:rPr>
                <w:spacing w:val="-2"/>
                <w:sz w:val="24"/>
              </w:rPr>
              <w:t>50.76</w:t>
            </w:r>
          </w:p>
        </w:tc>
        <w:tc>
          <w:tcPr>
            <w:tcW w:w="703" w:type="dxa"/>
          </w:tcPr>
          <w:p>
            <w:pPr>
              <w:pStyle w:val="TableParagraph"/>
              <w:spacing w:line="268" w:lineRule="exact"/>
              <w:ind w:right="107"/>
              <w:jc w:val="right"/>
              <w:rPr>
                <w:sz w:val="24"/>
              </w:rPr>
            </w:pPr>
            <w:r>
              <w:rPr>
                <w:spacing w:val="-4"/>
                <w:sz w:val="24"/>
              </w:rPr>
              <w:t>58.2</w:t>
            </w:r>
          </w:p>
          <w:p>
            <w:pPr>
              <w:pStyle w:val="TableParagraph"/>
              <w:spacing w:line="266" w:lineRule="exact"/>
              <w:ind w:right="107"/>
              <w:jc w:val="right"/>
              <w:rPr>
                <w:sz w:val="24"/>
              </w:rPr>
            </w:pPr>
            <w:r>
              <w:rPr>
                <w:spacing w:val="-10"/>
                <w:sz w:val="24"/>
              </w:rPr>
              <w:t>6</w:t>
            </w:r>
          </w:p>
        </w:tc>
      </w:tr>
      <w:tr>
        <w:trPr>
          <w:trHeight w:val="295" w:hRule="atLeast"/>
        </w:trPr>
        <w:tc>
          <w:tcPr>
            <w:tcW w:w="3161" w:type="dxa"/>
          </w:tcPr>
          <w:p>
            <w:pPr>
              <w:pStyle w:val="TableParagraph"/>
              <w:rPr>
                <w:sz w:val="22"/>
              </w:rPr>
            </w:pPr>
          </w:p>
        </w:tc>
        <w:tc>
          <w:tcPr>
            <w:tcW w:w="671" w:type="dxa"/>
          </w:tcPr>
          <w:p>
            <w:pPr>
              <w:pStyle w:val="TableParagraph"/>
              <w:rPr>
                <w:sz w:val="22"/>
              </w:rPr>
            </w:pPr>
          </w:p>
        </w:tc>
        <w:tc>
          <w:tcPr>
            <w:tcW w:w="3436" w:type="dxa"/>
            <w:gridSpan w:val="4"/>
          </w:tcPr>
          <w:p>
            <w:pPr>
              <w:pStyle w:val="TableParagraph"/>
              <w:spacing w:line="271" w:lineRule="exact"/>
              <w:ind w:left="562"/>
              <w:rPr>
                <w:b/>
                <w:sz w:val="24"/>
              </w:rPr>
            </w:pPr>
            <w:r>
              <w:rPr>
                <w:b/>
                <w:sz w:val="24"/>
              </w:rPr>
              <w:t>Principal</w:t>
            </w:r>
            <w:r>
              <w:rPr>
                <w:b/>
                <w:spacing w:val="-5"/>
                <w:sz w:val="24"/>
              </w:rPr>
              <w:t> </w:t>
            </w:r>
            <w:r>
              <w:rPr>
                <w:b/>
                <w:spacing w:val="-2"/>
                <w:sz w:val="24"/>
              </w:rPr>
              <w:t>Component</w:t>
            </w:r>
          </w:p>
        </w:tc>
        <w:tc>
          <w:tcPr>
            <w:tcW w:w="888" w:type="dxa"/>
          </w:tcPr>
          <w:p>
            <w:pPr>
              <w:pStyle w:val="TableParagraph"/>
              <w:rPr>
                <w:sz w:val="22"/>
              </w:rPr>
            </w:pPr>
          </w:p>
        </w:tc>
        <w:tc>
          <w:tcPr>
            <w:tcW w:w="703" w:type="dxa"/>
          </w:tcPr>
          <w:p>
            <w:pPr>
              <w:pStyle w:val="TableParagraph"/>
              <w:rPr>
                <w:sz w:val="22"/>
              </w:rPr>
            </w:pPr>
          </w:p>
        </w:tc>
      </w:tr>
      <w:tr>
        <w:trPr>
          <w:trHeight w:val="844" w:hRule="atLeast"/>
        </w:trPr>
        <w:tc>
          <w:tcPr>
            <w:tcW w:w="3161" w:type="dxa"/>
          </w:tcPr>
          <w:p>
            <w:pPr>
              <w:pStyle w:val="TableParagraph"/>
              <w:rPr>
                <w:sz w:val="24"/>
              </w:rPr>
            </w:pPr>
          </w:p>
        </w:tc>
        <w:tc>
          <w:tcPr>
            <w:tcW w:w="671" w:type="dxa"/>
          </w:tcPr>
          <w:p>
            <w:pPr>
              <w:pStyle w:val="TableParagraph"/>
              <w:spacing w:line="270" w:lineRule="atLeast"/>
              <w:ind w:left="74" w:right="223"/>
              <w:jc w:val="both"/>
              <w:rPr>
                <w:b/>
                <w:sz w:val="24"/>
              </w:rPr>
            </w:pPr>
            <w:r>
              <w:rPr>
                <w:b/>
                <w:spacing w:val="-6"/>
                <w:sz w:val="24"/>
              </w:rPr>
              <w:t>CO MP </w:t>
            </w:r>
            <w:r>
              <w:rPr>
                <w:b/>
                <w:spacing w:val="-10"/>
                <w:sz w:val="24"/>
              </w:rPr>
              <w:t>8</w:t>
            </w:r>
          </w:p>
        </w:tc>
        <w:tc>
          <w:tcPr>
            <w:tcW w:w="819" w:type="dxa"/>
          </w:tcPr>
          <w:p>
            <w:pPr>
              <w:pStyle w:val="TableParagraph"/>
              <w:spacing w:line="270" w:lineRule="atLeast"/>
              <w:ind w:left="106" w:right="338"/>
              <w:jc w:val="both"/>
              <w:rPr>
                <w:b/>
                <w:sz w:val="24"/>
              </w:rPr>
            </w:pPr>
            <w:r>
              <w:rPr>
                <w:b/>
                <w:spacing w:val="-6"/>
                <w:sz w:val="24"/>
              </w:rPr>
              <w:t>CO MP </w:t>
            </w:r>
            <w:r>
              <w:rPr>
                <w:b/>
                <w:spacing w:val="-10"/>
                <w:sz w:val="24"/>
              </w:rPr>
              <w:t>9</w:t>
            </w:r>
          </w:p>
        </w:tc>
        <w:tc>
          <w:tcPr>
            <w:tcW w:w="870" w:type="dxa"/>
          </w:tcPr>
          <w:p>
            <w:pPr>
              <w:pStyle w:val="TableParagraph"/>
              <w:spacing w:before="14"/>
              <w:ind w:left="-9" w:right="284"/>
              <w:rPr>
                <w:b/>
                <w:sz w:val="24"/>
              </w:rPr>
            </w:pPr>
            <w:r>
              <w:rPr>
                <w:b/>
                <w:spacing w:val="-4"/>
                <w:sz w:val="24"/>
              </w:rPr>
              <w:t>COM P10</w:t>
            </w:r>
          </w:p>
        </w:tc>
        <w:tc>
          <w:tcPr>
            <w:tcW w:w="848" w:type="dxa"/>
          </w:tcPr>
          <w:p>
            <w:pPr>
              <w:pStyle w:val="TableParagraph"/>
              <w:spacing w:before="14"/>
              <w:ind w:left="-15" w:right="268"/>
              <w:rPr>
                <w:b/>
                <w:sz w:val="24"/>
              </w:rPr>
            </w:pPr>
            <w:r>
              <w:rPr>
                <w:b/>
                <w:spacing w:val="-4"/>
                <w:sz w:val="24"/>
              </w:rPr>
              <w:t>COM P11</w:t>
            </w:r>
          </w:p>
        </w:tc>
        <w:tc>
          <w:tcPr>
            <w:tcW w:w="899" w:type="dxa"/>
          </w:tcPr>
          <w:p>
            <w:pPr>
              <w:pStyle w:val="TableParagraph"/>
              <w:spacing w:before="14"/>
              <w:ind w:left="1" w:right="303"/>
              <w:rPr>
                <w:b/>
                <w:sz w:val="24"/>
              </w:rPr>
            </w:pPr>
            <w:r>
              <w:rPr>
                <w:b/>
                <w:spacing w:val="-4"/>
                <w:sz w:val="24"/>
              </w:rPr>
              <w:t>COM P12</w:t>
            </w:r>
          </w:p>
        </w:tc>
        <w:tc>
          <w:tcPr>
            <w:tcW w:w="888" w:type="dxa"/>
          </w:tcPr>
          <w:p>
            <w:pPr>
              <w:pStyle w:val="TableParagraph"/>
              <w:rPr>
                <w:sz w:val="24"/>
              </w:rPr>
            </w:pPr>
          </w:p>
        </w:tc>
        <w:tc>
          <w:tcPr>
            <w:tcW w:w="703" w:type="dxa"/>
          </w:tcPr>
          <w:p>
            <w:pPr>
              <w:pStyle w:val="TableParagraph"/>
              <w:rPr>
                <w:sz w:val="24"/>
              </w:rPr>
            </w:pPr>
          </w:p>
        </w:tc>
      </w:tr>
      <w:tr>
        <w:trPr>
          <w:trHeight w:val="296" w:hRule="atLeast"/>
        </w:trPr>
        <w:tc>
          <w:tcPr>
            <w:tcW w:w="3161" w:type="dxa"/>
          </w:tcPr>
          <w:p>
            <w:pPr>
              <w:pStyle w:val="TableParagraph"/>
              <w:spacing w:line="273" w:lineRule="exact"/>
              <w:ind w:left="122"/>
              <w:rPr>
                <w:b/>
                <w:sz w:val="24"/>
              </w:rPr>
            </w:pPr>
            <w:r>
              <w:rPr>
                <w:b/>
                <w:sz w:val="24"/>
              </w:rPr>
              <w:t>Eigen </w:t>
            </w:r>
            <w:r>
              <w:rPr>
                <w:b/>
                <w:spacing w:val="-2"/>
                <w:sz w:val="24"/>
              </w:rPr>
              <w:t>values</w:t>
            </w:r>
          </w:p>
        </w:tc>
        <w:tc>
          <w:tcPr>
            <w:tcW w:w="671" w:type="dxa"/>
          </w:tcPr>
          <w:p>
            <w:pPr>
              <w:pStyle w:val="TableParagraph"/>
              <w:spacing w:line="268" w:lineRule="exact"/>
              <w:ind w:left="32"/>
              <w:jc w:val="center"/>
              <w:rPr>
                <w:sz w:val="24"/>
              </w:rPr>
            </w:pPr>
            <w:r>
              <w:rPr>
                <w:spacing w:val="-4"/>
                <w:sz w:val="24"/>
              </w:rPr>
              <w:t>1.03</w:t>
            </w:r>
          </w:p>
        </w:tc>
        <w:tc>
          <w:tcPr>
            <w:tcW w:w="819" w:type="dxa"/>
          </w:tcPr>
          <w:p>
            <w:pPr>
              <w:pStyle w:val="TableParagraph"/>
              <w:spacing w:line="268" w:lineRule="exact"/>
              <w:ind w:left="174"/>
              <w:rPr>
                <w:sz w:val="24"/>
              </w:rPr>
            </w:pPr>
            <w:r>
              <w:rPr>
                <w:spacing w:val="-4"/>
                <w:sz w:val="24"/>
              </w:rPr>
              <w:t>0.93</w:t>
            </w:r>
          </w:p>
        </w:tc>
        <w:tc>
          <w:tcPr>
            <w:tcW w:w="870" w:type="dxa"/>
          </w:tcPr>
          <w:p>
            <w:pPr>
              <w:pStyle w:val="TableParagraph"/>
              <w:spacing w:line="268" w:lineRule="exact"/>
              <w:ind w:left="219"/>
              <w:rPr>
                <w:sz w:val="24"/>
              </w:rPr>
            </w:pPr>
            <w:r>
              <w:rPr>
                <w:spacing w:val="-4"/>
                <w:sz w:val="24"/>
              </w:rPr>
              <w:t>0.85</w:t>
            </w:r>
          </w:p>
        </w:tc>
        <w:tc>
          <w:tcPr>
            <w:tcW w:w="848" w:type="dxa"/>
          </w:tcPr>
          <w:p>
            <w:pPr>
              <w:pStyle w:val="TableParagraph"/>
              <w:spacing w:line="268" w:lineRule="exact"/>
              <w:ind w:left="213"/>
              <w:rPr>
                <w:sz w:val="24"/>
              </w:rPr>
            </w:pPr>
            <w:r>
              <w:rPr>
                <w:spacing w:val="-4"/>
                <w:sz w:val="24"/>
              </w:rPr>
              <w:t>0.85</w:t>
            </w:r>
          </w:p>
        </w:tc>
        <w:tc>
          <w:tcPr>
            <w:tcW w:w="899" w:type="dxa"/>
          </w:tcPr>
          <w:p>
            <w:pPr>
              <w:pStyle w:val="TableParagraph"/>
              <w:spacing w:line="268" w:lineRule="exact"/>
              <w:ind w:left="272"/>
              <w:rPr>
                <w:sz w:val="24"/>
              </w:rPr>
            </w:pPr>
            <w:r>
              <w:rPr>
                <w:spacing w:val="-4"/>
                <w:sz w:val="24"/>
              </w:rPr>
              <w:t>0.77</w:t>
            </w:r>
          </w:p>
        </w:tc>
        <w:tc>
          <w:tcPr>
            <w:tcW w:w="888" w:type="dxa"/>
          </w:tcPr>
          <w:p>
            <w:pPr>
              <w:pStyle w:val="TableParagraph"/>
              <w:rPr>
                <w:sz w:val="22"/>
              </w:rPr>
            </w:pPr>
          </w:p>
        </w:tc>
        <w:tc>
          <w:tcPr>
            <w:tcW w:w="703" w:type="dxa"/>
          </w:tcPr>
          <w:p>
            <w:pPr>
              <w:pStyle w:val="TableParagraph"/>
              <w:rPr>
                <w:sz w:val="22"/>
              </w:rPr>
            </w:pPr>
          </w:p>
        </w:tc>
      </w:tr>
      <w:tr>
        <w:trPr>
          <w:trHeight w:val="572" w:hRule="atLeast"/>
        </w:trPr>
        <w:tc>
          <w:tcPr>
            <w:tcW w:w="3161" w:type="dxa"/>
          </w:tcPr>
          <w:p>
            <w:pPr>
              <w:pStyle w:val="TableParagraph"/>
              <w:tabs>
                <w:tab w:pos="1597" w:val="left" w:leader="none"/>
                <w:tab w:pos="2141" w:val="left" w:leader="none"/>
              </w:tabs>
              <w:spacing w:line="270" w:lineRule="atLeast"/>
              <w:ind w:left="122" w:right="140"/>
              <w:rPr>
                <w:b/>
                <w:sz w:val="24"/>
              </w:rPr>
            </w:pPr>
            <w:r>
              <w:rPr>
                <w:b/>
                <w:spacing w:val="-2"/>
                <w:sz w:val="24"/>
              </w:rPr>
              <w:t>Proportion</w:t>
            </w:r>
            <w:r>
              <w:rPr>
                <w:b/>
                <w:sz w:val="24"/>
              </w:rPr>
              <w:tab/>
            </w:r>
            <w:r>
              <w:rPr>
                <w:b/>
                <w:spacing w:val="-6"/>
                <w:sz w:val="24"/>
              </w:rPr>
              <w:t>of</w:t>
            </w:r>
            <w:r>
              <w:rPr>
                <w:b/>
                <w:sz w:val="24"/>
              </w:rPr>
              <w:tab/>
            </w:r>
            <w:r>
              <w:rPr>
                <w:b/>
                <w:spacing w:val="-2"/>
                <w:sz w:val="24"/>
              </w:rPr>
              <w:t>variance </w:t>
            </w:r>
            <w:r>
              <w:rPr>
                <w:b/>
                <w:sz w:val="24"/>
              </w:rPr>
              <w:t>explained (%)</w:t>
            </w:r>
          </w:p>
        </w:tc>
        <w:tc>
          <w:tcPr>
            <w:tcW w:w="671" w:type="dxa"/>
          </w:tcPr>
          <w:p>
            <w:pPr>
              <w:pStyle w:val="TableParagraph"/>
              <w:spacing w:before="13"/>
              <w:ind w:left="32"/>
              <w:jc w:val="center"/>
              <w:rPr>
                <w:sz w:val="24"/>
              </w:rPr>
            </w:pPr>
            <w:r>
              <w:rPr>
                <w:spacing w:val="-4"/>
                <w:sz w:val="24"/>
              </w:rPr>
              <w:t>5.42</w:t>
            </w:r>
          </w:p>
        </w:tc>
        <w:tc>
          <w:tcPr>
            <w:tcW w:w="819" w:type="dxa"/>
          </w:tcPr>
          <w:p>
            <w:pPr>
              <w:pStyle w:val="TableParagraph"/>
              <w:spacing w:before="13"/>
              <w:ind w:left="174"/>
              <w:rPr>
                <w:sz w:val="24"/>
              </w:rPr>
            </w:pPr>
            <w:r>
              <w:rPr>
                <w:spacing w:val="-4"/>
                <w:sz w:val="24"/>
              </w:rPr>
              <w:t>4.87</w:t>
            </w:r>
          </w:p>
        </w:tc>
        <w:tc>
          <w:tcPr>
            <w:tcW w:w="870" w:type="dxa"/>
          </w:tcPr>
          <w:p>
            <w:pPr>
              <w:pStyle w:val="TableParagraph"/>
              <w:spacing w:before="13"/>
              <w:ind w:left="219"/>
              <w:rPr>
                <w:sz w:val="24"/>
              </w:rPr>
            </w:pPr>
            <w:r>
              <w:rPr>
                <w:spacing w:val="-4"/>
                <w:sz w:val="24"/>
              </w:rPr>
              <w:t>4.47</w:t>
            </w:r>
          </w:p>
        </w:tc>
        <w:tc>
          <w:tcPr>
            <w:tcW w:w="848" w:type="dxa"/>
          </w:tcPr>
          <w:p>
            <w:pPr>
              <w:pStyle w:val="TableParagraph"/>
              <w:spacing w:before="13"/>
              <w:ind w:left="213"/>
              <w:rPr>
                <w:sz w:val="24"/>
              </w:rPr>
            </w:pPr>
            <w:r>
              <w:rPr>
                <w:spacing w:val="-4"/>
                <w:sz w:val="24"/>
              </w:rPr>
              <w:t>4.45</w:t>
            </w:r>
          </w:p>
        </w:tc>
        <w:tc>
          <w:tcPr>
            <w:tcW w:w="899" w:type="dxa"/>
          </w:tcPr>
          <w:p>
            <w:pPr>
              <w:pStyle w:val="TableParagraph"/>
              <w:spacing w:before="13"/>
              <w:ind w:left="272"/>
              <w:rPr>
                <w:sz w:val="24"/>
              </w:rPr>
            </w:pPr>
            <w:r>
              <w:rPr>
                <w:spacing w:val="-4"/>
                <w:sz w:val="24"/>
              </w:rPr>
              <w:t>4.07</w:t>
            </w:r>
          </w:p>
        </w:tc>
        <w:tc>
          <w:tcPr>
            <w:tcW w:w="888" w:type="dxa"/>
          </w:tcPr>
          <w:p>
            <w:pPr>
              <w:pStyle w:val="TableParagraph"/>
              <w:rPr>
                <w:sz w:val="24"/>
              </w:rPr>
            </w:pPr>
          </w:p>
        </w:tc>
        <w:tc>
          <w:tcPr>
            <w:tcW w:w="703" w:type="dxa"/>
          </w:tcPr>
          <w:p>
            <w:pPr>
              <w:pStyle w:val="TableParagraph"/>
              <w:rPr>
                <w:sz w:val="24"/>
              </w:rPr>
            </w:pPr>
          </w:p>
        </w:tc>
      </w:tr>
      <w:tr>
        <w:trPr>
          <w:trHeight w:val="552" w:hRule="atLeast"/>
        </w:trPr>
        <w:tc>
          <w:tcPr>
            <w:tcW w:w="3161" w:type="dxa"/>
            <w:tcBorders>
              <w:bottom w:val="single" w:sz="8" w:space="0" w:color="000000"/>
            </w:tcBorders>
          </w:tcPr>
          <w:p>
            <w:pPr>
              <w:pStyle w:val="TableParagraph"/>
              <w:spacing w:line="276" w:lineRule="exact"/>
              <w:ind w:left="122"/>
              <w:rPr>
                <w:b/>
                <w:sz w:val="24"/>
              </w:rPr>
            </w:pPr>
            <w:r>
              <w:rPr>
                <w:b/>
                <w:sz w:val="24"/>
              </w:rPr>
              <w:t>Cumulative</w:t>
            </w:r>
            <w:r>
              <w:rPr>
                <w:b/>
                <w:spacing w:val="80"/>
                <w:sz w:val="24"/>
              </w:rPr>
              <w:t> </w:t>
            </w:r>
            <w:r>
              <w:rPr>
                <w:b/>
                <w:sz w:val="24"/>
              </w:rPr>
              <w:t>proportion</w:t>
            </w:r>
            <w:r>
              <w:rPr>
                <w:b/>
                <w:spacing w:val="80"/>
                <w:sz w:val="24"/>
              </w:rPr>
              <w:t> </w:t>
            </w:r>
            <w:r>
              <w:rPr>
                <w:b/>
                <w:sz w:val="24"/>
              </w:rPr>
              <w:t>of variance explained (%)</w:t>
            </w:r>
          </w:p>
        </w:tc>
        <w:tc>
          <w:tcPr>
            <w:tcW w:w="671" w:type="dxa"/>
            <w:tcBorders>
              <w:bottom w:val="single" w:sz="8" w:space="0" w:color="000000"/>
            </w:tcBorders>
          </w:tcPr>
          <w:p>
            <w:pPr>
              <w:pStyle w:val="TableParagraph"/>
              <w:spacing w:line="268" w:lineRule="exact"/>
              <w:ind w:right="107"/>
              <w:jc w:val="right"/>
              <w:rPr>
                <w:sz w:val="24"/>
              </w:rPr>
            </w:pPr>
            <w:r>
              <w:rPr>
                <w:spacing w:val="-4"/>
                <w:sz w:val="24"/>
              </w:rPr>
              <w:t>61.6</w:t>
            </w:r>
          </w:p>
          <w:p>
            <w:pPr>
              <w:pStyle w:val="TableParagraph"/>
              <w:spacing w:line="264" w:lineRule="exact"/>
              <w:ind w:right="107"/>
              <w:jc w:val="right"/>
              <w:rPr>
                <w:sz w:val="24"/>
              </w:rPr>
            </w:pPr>
            <w:r>
              <w:rPr>
                <w:spacing w:val="-10"/>
                <w:sz w:val="24"/>
              </w:rPr>
              <w:t>8</w:t>
            </w:r>
          </w:p>
        </w:tc>
        <w:tc>
          <w:tcPr>
            <w:tcW w:w="819" w:type="dxa"/>
            <w:tcBorders>
              <w:bottom w:val="single" w:sz="8" w:space="0" w:color="000000"/>
            </w:tcBorders>
          </w:tcPr>
          <w:p>
            <w:pPr>
              <w:pStyle w:val="TableParagraph"/>
              <w:spacing w:line="268" w:lineRule="exact"/>
              <w:ind w:right="222"/>
              <w:jc w:val="right"/>
              <w:rPr>
                <w:sz w:val="24"/>
              </w:rPr>
            </w:pPr>
            <w:r>
              <w:rPr>
                <w:spacing w:val="-4"/>
                <w:sz w:val="24"/>
              </w:rPr>
              <w:t>66.5</w:t>
            </w:r>
          </w:p>
          <w:p>
            <w:pPr>
              <w:pStyle w:val="TableParagraph"/>
              <w:spacing w:line="264" w:lineRule="exact"/>
              <w:ind w:right="222"/>
              <w:jc w:val="right"/>
              <w:rPr>
                <w:sz w:val="24"/>
              </w:rPr>
            </w:pPr>
            <w:r>
              <w:rPr>
                <w:spacing w:val="-10"/>
                <w:sz w:val="24"/>
              </w:rPr>
              <w:t>5</w:t>
            </w:r>
          </w:p>
        </w:tc>
        <w:tc>
          <w:tcPr>
            <w:tcW w:w="870" w:type="dxa"/>
            <w:tcBorders>
              <w:bottom w:val="single" w:sz="8" w:space="0" w:color="000000"/>
            </w:tcBorders>
          </w:tcPr>
          <w:p>
            <w:pPr>
              <w:pStyle w:val="TableParagraph"/>
              <w:spacing w:line="268" w:lineRule="exact"/>
              <w:ind w:left="99"/>
              <w:rPr>
                <w:sz w:val="24"/>
              </w:rPr>
            </w:pPr>
            <w:r>
              <w:rPr>
                <w:spacing w:val="-2"/>
                <w:sz w:val="24"/>
              </w:rPr>
              <w:t>71.02</w:t>
            </w:r>
          </w:p>
        </w:tc>
        <w:tc>
          <w:tcPr>
            <w:tcW w:w="848" w:type="dxa"/>
            <w:tcBorders>
              <w:bottom w:val="single" w:sz="8" w:space="0" w:color="000000"/>
            </w:tcBorders>
          </w:tcPr>
          <w:p>
            <w:pPr>
              <w:pStyle w:val="TableParagraph"/>
              <w:spacing w:line="268" w:lineRule="exact"/>
              <w:ind w:left="93"/>
              <w:rPr>
                <w:sz w:val="24"/>
              </w:rPr>
            </w:pPr>
            <w:r>
              <w:rPr>
                <w:spacing w:val="-2"/>
                <w:sz w:val="24"/>
              </w:rPr>
              <w:t>75.47</w:t>
            </w:r>
          </w:p>
        </w:tc>
        <w:tc>
          <w:tcPr>
            <w:tcW w:w="899" w:type="dxa"/>
            <w:tcBorders>
              <w:bottom w:val="single" w:sz="8" w:space="0" w:color="000000"/>
            </w:tcBorders>
          </w:tcPr>
          <w:p>
            <w:pPr>
              <w:pStyle w:val="TableParagraph"/>
              <w:spacing w:line="268" w:lineRule="exact"/>
              <w:ind w:left="152"/>
              <w:rPr>
                <w:sz w:val="24"/>
              </w:rPr>
            </w:pPr>
            <w:r>
              <w:rPr>
                <w:spacing w:val="-2"/>
                <w:sz w:val="24"/>
              </w:rPr>
              <w:t>79.54</w:t>
            </w:r>
          </w:p>
        </w:tc>
        <w:tc>
          <w:tcPr>
            <w:tcW w:w="888" w:type="dxa"/>
            <w:tcBorders>
              <w:bottom w:val="single" w:sz="8" w:space="0" w:color="000000"/>
            </w:tcBorders>
          </w:tcPr>
          <w:p>
            <w:pPr>
              <w:pStyle w:val="TableParagraph"/>
              <w:rPr>
                <w:sz w:val="24"/>
              </w:rPr>
            </w:pPr>
          </w:p>
        </w:tc>
        <w:tc>
          <w:tcPr>
            <w:tcW w:w="703" w:type="dxa"/>
            <w:tcBorders>
              <w:bottom w:val="single" w:sz="8" w:space="0" w:color="000000"/>
            </w:tcBorders>
          </w:tcPr>
          <w:p>
            <w:pPr>
              <w:pStyle w:val="TableParagraph"/>
              <w:rPr>
                <w:sz w:val="24"/>
              </w:rPr>
            </w:pPr>
          </w:p>
        </w:tc>
      </w:tr>
    </w:tbl>
    <w:p>
      <w:pPr>
        <w:pStyle w:val="BodyText"/>
        <w:rPr>
          <w:b/>
        </w:rPr>
      </w:pPr>
    </w:p>
    <w:p>
      <w:pPr>
        <w:pStyle w:val="BodyText"/>
        <w:spacing w:before="2"/>
        <w:rPr>
          <w:b/>
        </w:rPr>
      </w:pPr>
    </w:p>
    <w:p>
      <w:pPr>
        <w:pStyle w:val="ListParagraph"/>
        <w:numPr>
          <w:ilvl w:val="4"/>
          <w:numId w:val="10"/>
        </w:numPr>
        <w:tabs>
          <w:tab w:pos="1166" w:val="left" w:leader="none"/>
        </w:tabs>
        <w:spacing w:line="240" w:lineRule="auto" w:before="0" w:after="0"/>
        <w:ind w:left="1166" w:right="0" w:hanging="899"/>
        <w:jc w:val="left"/>
        <w:rPr>
          <w:b/>
          <w:sz w:val="24"/>
        </w:rPr>
      </w:pPr>
      <w:r>
        <w:rPr>
          <w:b/>
          <w:sz w:val="24"/>
        </w:rPr>
        <w:t>PCA</w:t>
      </w:r>
      <w:r>
        <w:rPr>
          <w:b/>
          <w:spacing w:val="-4"/>
          <w:sz w:val="24"/>
        </w:rPr>
        <w:t> </w:t>
      </w:r>
      <w:r>
        <w:rPr>
          <w:b/>
          <w:sz w:val="24"/>
        </w:rPr>
        <w:t>of</w:t>
      </w:r>
      <w:r>
        <w:rPr>
          <w:b/>
          <w:spacing w:val="28"/>
          <w:sz w:val="24"/>
        </w:rPr>
        <w:t>  </w:t>
      </w:r>
      <w:r>
        <w:rPr>
          <w:b/>
          <w:sz w:val="24"/>
        </w:rPr>
        <w:t>retained water</w:t>
      </w:r>
      <w:r>
        <w:rPr>
          <w:b/>
          <w:spacing w:val="-2"/>
          <w:sz w:val="24"/>
        </w:rPr>
        <w:t> </w:t>
      </w:r>
      <w:r>
        <w:rPr>
          <w:b/>
          <w:sz w:val="24"/>
        </w:rPr>
        <w:t>poverty</w:t>
      </w:r>
      <w:r>
        <w:rPr>
          <w:b/>
          <w:spacing w:val="-2"/>
          <w:sz w:val="24"/>
        </w:rPr>
        <w:t> </w:t>
      </w:r>
      <w:r>
        <w:rPr>
          <w:b/>
          <w:sz w:val="24"/>
        </w:rPr>
        <w:t>indicators</w:t>
      </w:r>
      <w:r>
        <w:rPr>
          <w:b/>
          <w:spacing w:val="-1"/>
          <w:sz w:val="24"/>
        </w:rPr>
        <w:t> </w:t>
      </w:r>
      <w:r>
        <w:rPr>
          <w:b/>
          <w:sz w:val="24"/>
        </w:rPr>
        <w:t>at</w:t>
      </w:r>
      <w:r>
        <w:rPr>
          <w:b/>
          <w:spacing w:val="-1"/>
          <w:sz w:val="24"/>
        </w:rPr>
        <w:t> </w:t>
      </w:r>
      <w:r>
        <w:rPr>
          <w:b/>
          <w:sz w:val="24"/>
        </w:rPr>
        <w:t>sub-component</w:t>
      </w:r>
      <w:r>
        <w:rPr>
          <w:b/>
          <w:spacing w:val="-1"/>
          <w:sz w:val="24"/>
        </w:rPr>
        <w:t> </w:t>
      </w:r>
      <w:r>
        <w:rPr>
          <w:b/>
          <w:spacing w:val="-2"/>
          <w:sz w:val="24"/>
        </w:rPr>
        <w:t>level</w:t>
      </w:r>
    </w:p>
    <w:p>
      <w:pPr>
        <w:pStyle w:val="BodyText"/>
        <w:spacing w:before="15"/>
        <w:rPr>
          <w:b/>
        </w:rPr>
      </w:pPr>
    </w:p>
    <w:p>
      <w:pPr>
        <w:pStyle w:val="BodyText"/>
        <w:spacing w:line="480" w:lineRule="auto"/>
        <w:ind w:left="267" w:right="107"/>
        <w:jc w:val="both"/>
      </w:pPr>
      <w:r>
        <w:rPr/>
        <w:t>Table 4.21a and Table 4.21b present the result of the factorability test and principal component analysis respectively at the sub-component level.</w:t>
      </w:r>
      <w:r>
        <w:rPr>
          <w:spacing w:val="40"/>
        </w:rPr>
        <w:t> </w:t>
      </w:r>
      <w:r>
        <w:rPr/>
        <w:t>The factorability test at the sub-component level in Table 4.21a shows that, the Kaiser-Meyer-Olkin (KMO) index fall within</w:t>
      </w:r>
      <w:r>
        <w:rPr>
          <w:spacing w:val="20"/>
        </w:rPr>
        <w:t> </w:t>
      </w:r>
      <w:r>
        <w:rPr/>
        <w:t>the</w:t>
      </w:r>
      <w:r>
        <w:rPr>
          <w:spacing w:val="23"/>
        </w:rPr>
        <w:t> </w:t>
      </w:r>
      <w:r>
        <w:rPr/>
        <w:t>range</w:t>
      </w:r>
      <w:r>
        <w:rPr>
          <w:spacing w:val="21"/>
        </w:rPr>
        <w:t> </w:t>
      </w:r>
      <w:r>
        <w:rPr/>
        <w:t>of</w:t>
      </w:r>
      <w:r>
        <w:rPr>
          <w:spacing w:val="23"/>
        </w:rPr>
        <w:t> </w:t>
      </w:r>
      <w:r>
        <w:rPr/>
        <w:t>0.500-0.576.</w:t>
      </w:r>
      <w:r>
        <w:rPr>
          <w:spacing w:val="22"/>
        </w:rPr>
        <w:t> </w:t>
      </w:r>
      <w:r>
        <w:rPr/>
        <w:t>These</w:t>
      </w:r>
      <w:r>
        <w:rPr>
          <w:spacing w:val="23"/>
        </w:rPr>
        <w:t> </w:t>
      </w:r>
      <w:r>
        <w:rPr/>
        <w:t>KMO</w:t>
      </w:r>
      <w:r>
        <w:rPr>
          <w:spacing w:val="22"/>
        </w:rPr>
        <w:t> </w:t>
      </w:r>
      <w:r>
        <w:rPr/>
        <w:t>value</w:t>
      </w:r>
      <w:r>
        <w:rPr>
          <w:spacing w:val="23"/>
        </w:rPr>
        <w:t> </w:t>
      </w:r>
      <w:r>
        <w:rPr/>
        <w:t>are</w:t>
      </w:r>
      <w:r>
        <w:rPr>
          <w:spacing w:val="21"/>
        </w:rPr>
        <w:t> </w:t>
      </w:r>
      <w:r>
        <w:rPr/>
        <w:t>nonetheless</w:t>
      </w:r>
      <w:r>
        <w:rPr>
          <w:spacing w:val="24"/>
        </w:rPr>
        <w:t> </w:t>
      </w:r>
      <w:r>
        <w:rPr/>
        <w:t>within</w:t>
      </w:r>
      <w:r>
        <w:rPr>
          <w:spacing w:val="22"/>
        </w:rPr>
        <w:t> </w:t>
      </w:r>
      <w:r>
        <w:rPr/>
        <w:t>the</w:t>
      </w:r>
      <w:r>
        <w:rPr>
          <w:spacing w:val="23"/>
        </w:rPr>
        <w:t> </w:t>
      </w:r>
      <w:r>
        <w:rPr>
          <w:spacing w:val="-2"/>
        </w:rPr>
        <w:t>acceptable</w:t>
      </w:r>
    </w:p>
    <w:p>
      <w:pPr>
        <w:spacing w:after="0" w:line="480" w:lineRule="auto"/>
        <w:jc w:val="both"/>
        <w:sectPr>
          <w:pgSz w:w="12240" w:h="15840"/>
          <w:pgMar w:header="0" w:footer="1068" w:top="1340" w:bottom="1260" w:left="1720" w:right="1300"/>
        </w:sectPr>
      </w:pPr>
    </w:p>
    <w:p>
      <w:pPr>
        <w:pStyle w:val="BodyText"/>
        <w:spacing w:line="480" w:lineRule="auto" w:before="63"/>
        <w:ind w:left="267" w:right="107"/>
        <w:jc w:val="both"/>
        <w:rPr>
          <w:b/>
        </w:rPr>
      </w:pPr>
      <w:r>
        <w:rPr/>
        <w:t>benchmark of 0.500 and revealed that PCA is applicable in exploring the variability of the underlying</w:t>
      </w:r>
      <w:r>
        <w:rPr>
          <w:spacing w:val="-8"/>
        </w:rPr>
        <w:t> </w:t>
      </w:r>
      <w:r>
        <w:rPr/>
        <w:t>dataset.</w:t>
      </w:r>
      <w:r>
        <w:rPr>
          <w:spacing w:val="-6"/>
        </w:rPr>
        <w:t> </w:t>
      </w:r>
      <w:r>
        <w:rPr/>
        <w:t>Furthermore,</w:t>
      </w:r>
      <w:r>
        <w:rPr>
          <w:spacing w:val="-8"/>
        </w:rPr>
        <w:t> </w:t>
      </w:r>
      <w:r>
        <w:rPr/>
        <w:t>the</w:t>
      </w:r>
      <w:r>
        <w:rPr>
          <w:spacing w:val="-7"/>
        </w:rPr>
        <w:t> </w:t>
      </w:r>
      <w:r>
        <w:rPr/>
        <w:t>Bartlett's</w:t>
      </w:r>
      <w:r>
        <w:rPr>
          <w:spacing w:val="-8"/>
        </w:rPr>
        <w:t> </w:t>
      </w:r>
      <w:r>
        <w:rPr/>
        <w:t>test</w:t>
      </w:r>
      <w:r>
        <w:rPr>
          <w:spacing w:val="-6"/>
        </w:rPr>
        <w:t> </w:t>
      </w:r>
      <w:r>
        <w:rPr/>
        <w:t>of</w:t>
      </w:r>
      <w:r>
        <w:rPr>
          <w:spacing w:val="-9"/>
        </w:rPr>
        <w:t> </w:t>
      </w:r>
      <w:r>
        <w:rPr/>
        <w:t>sphericity</w:t>
      </w:r>
      <w:r>
        <w:rPr>
          <w:spacing w:val="-13"/>
        </w:rPr>
        <w:t> </w:t>
      </w:r>
      <w:r>
        <w:rPr/>
        <w:t>which</w:t>
      </w:r>
      <w:r>
        <w:rPr>
          <w:spacing w:val="-5"/>
        </w:rPr>
        <w:t> </w:t>
      </w:r>
      <w:r>
        <w:rPr/>
        <w:t>indicates</w:t>
      </w:r>
      <w:r>
        <w:rPr>
          <w:spacing w:val="-9"/>
        </w:rPr>
        <w:t> </w:t>
      </w:r>
      <w:r>
        <w:rPr/>
        <w:t>the</w:t>
      </w:r>
      <w:r>
        <w:rPr>
          <w:spacing w:val="-9"/>
        </w:rPr>
        <w:t> </w:t>
      </w:r>
      <w:r>
        <w:rPr/>
        <w:t>presence of</w:t>
      </w:r>
      <w:r>
        <w:rPr>
          <w:spacing w:val="-14"/>
        </w:rPr>
        <w:t> </w:t>
      </w:r>
      <w:r>
        <w:rPr/>
        <w:t>significant</w:t>
      </w:r>
      <w:r>
        <w:rPr>
          <w:spacing w:val="-13"/>
        </w:rPr>
        <w:t> </w:t>
      </w:r>
      <w:r>
        <w:rPr/>
        <w:t>non-zero</w:t>
      </w:r>
      <w:r>
        <w:rPr>
          <w:spacing w:val="-11"/>
        </w:rPr>
        <w:t> </w:t>
      </w:r>
      <w:r>
        <w:rPr/>
        <w:t>correlations</w:t>
      </w:r>
      <w:r>
        <w:rPr>
          <w:spacing w:val="-13"/>
        </w:rPr>
        <w:t> </w:t>
      </w:r>
      <w:r>
        <w:rPr/>
        <w:t>shows</w:t>
      </w:r>
      <w:r>
        <w:rPr>
          <w:spacing w:val="-11"/>
        </w:rPr>
        <w:t> </w:t>
      </w:r>
      <w:r>
        <w:rPr/>
        <w:t>that</w:t>
      </w:r>
      <w:r>
        <w:rPr>
          <w:spacing w:val="-13"/>
        </w:rPr>
        <w:t> </w:t>
      </w:r>
      <w:r>
        <w:rPr/>
        <w:t>the</w:t>
      </w:r>
      <w:r>
        <w:rPr>
          <w:spacing w:val="-9"/>
        </w:rPr>
        <w:t> </w:t>
      </w:r>
      <w:r>
        <w:rPr/>
        <w:t>dataset</w:t>
      </w:r>
      <w:r>
        <w:rPr>
          <w:spacing w:val="-13"/>
        </w:rPr>
        <w:t> </w:t>
      </w:r>
      <w:r>
        <w:rPr/>
        <w:t>is</w:t>
      </w:r>
      <w:r>
        <w:rPr>
          <w:spacing w:val="-12"/>
        </w:rPr>
        <w:t> </w:t>
      </w:r>
      <w:r>
        <w:rPr/>
        <w:t>suitable</w:t>
      </w:r>
      <w:r>
        <w:rPr>
          <w:spacing w:val="-11"/>
        </w:rPr>
        <w:t> </w:t>
      </w:r>
      <w:r>
        <w:rPr/>
        <w:t>for</w:t>
      </w:r>
      <w:r>
        <w:rPr>
          <w:spacing w:val="-12"/>
        </w:rPr>
        <w:t> </w:t>
      </w:r>
      <w:r>
        <w:rPr/>
        <w:t>principal</w:t>
      </w:r>
      <w:r>
        <w:rPr>
          <w:spacing w:val="-13"/>
        </w:rPr>
        <w:t> </w:t>
      </w:r>
      <w:r>
        <w:rPr/>
        <w:t>component analysis at the sub-component level. As such the factorability of the individual component was confirmed based on the KMO and Bartlett's Test of Sphericity results</w:t>
      </w:r>
      <w:r>
        <w:rPr>
          <w:b/>
        </w:rPr>
        <w:t>.</w:t>
      </w:r>
    </w:p>
    <w:p>
      <w:pPr>
        <w:pStyle w:val="BodyText"/>
        <w:spacing w:before="5"/>
        <w:rPr>
          <w:b/>
        </w:rPr>
      </w:pPr>
    </w:p>
    <w:p>
      <w:pPr>
        <w:spacing w:before="0"/>
        <w:ind w:left="267" w:right="0" w:firstLine="0"/>
        <w:jc w:val="both"/>
        <w:rPr>
          <w:b/>
          <w:sz w:val="24"/>
        </w:rPr>
      </w:pPr>
      <w:r>
        <w:rPr>
          <w:b/>
          <w:sz w:val="24"/>
          <w:u w:val="single"/>
        </w:rPr>
        <w:t>Table</w:t>
      </w:r>
      <w:r>
        <w:rPr>
          <w:b/>
          <w:spacing w:val="-4"/>
          <w:sz w:val="24"/>
          <w:u w:val="single"/>
        </w:rPr>
        <w:t> </w:t>
      </w:r>
      <w:r>
        <w:rPr>
          <w:b/>
          <w:sz w:val="24"/>
          <w:u w:val="single"/>
        </w:rPr>
        <w:t>4.21a:</w:t>
      </w:r>
      <w:r>
        <w:rPr>
          <w:b/>
          <w:spacing w:val="-2"/>
          <w:sz w:val="24"/>
          <w:u w:val="single"/>
        </w:rPr>
        <w:t> </w:t>
      </w:r>
      <w:r>
        <w:rPr>
          <w:b/>
          <w:sz w:val="24"/>
          <w:u w:val="single"/>
        </w:rPr>
        <w:t>Factorability</w:t>
      </w:r>
      <w:r>
        <w:rPr>
          <w:b/>
          <w:spacing w:val="-2"/>
          <w:sz w:val="24"/>
          <w:u w:val="single"/>
        </w:rPr>
        <w:t> </w:t>
      </w:r>
      <w:r>
        <w:rPr>
          <w:b/>
          <w:sz w:val="24"/>
          <w:u w:val="single"/>
        </w:rPr>
        <w:t>of the</w:t>
      </w:r>
      <w:r>
        <w:rPr>
          <w:b/>
          <w:spacing w:val="-1"/>
          <w:sz w:val="24"/>
          <w:u w:val="single"/>
        </w:rPr>
        <w:t> </w:t>
      </w:r>
      <w:r>
        <w:rPr>
          <w:b/>
          <w:sz w:val="24"/>
          <w:u w:val="single"/>
        </w:rPr>
        <w:t>Water</w:t>
      </w:r>
      <w:r>
        <w:rPr>
          <w:b/>
          <w:spacing w:val="-1"/>
          <w:sz w:val="24"/>
          <w:u w:val="single"/>
        </w:rPr>
        <w:t> </w:t>
      </w:r>
      <w:r>
        <w:rPr>
          <w:b/>
          <w:sz w:val="24"/>
          <w:u w:val="single"/>
        </w:rPr>
        <w:t>Poverty</w:t>
      </w:r>
      <w:r>
        <w:rPr>
          <w:b/>
          <w:spacing w:val="-1"/>
          <w:sz w:val="24"/>
          <w:u w:val="single"/>
        </w:rPr>
        <w:t> </w:t>
      </w:r>
      <w:r>
        <w:rPr>
          <w:b/>
          <w:sz w:val="24"/>
          <w:u w:val="single"/>
        </w:rPr>
        <w:t>Indicators</w:t>
      </w:r>
      <w:r>
        <w:rPr>
          <w:b/>
          <w:spacing w:val="-2"/>
          <w:sz w:val="24"/>
          <w:u w:val="single"/>
        </w:rPr>
        <w:t> </w:t>
      </w:r>
      <w:r>
        <w:rPr>
          <w:b/>
          <w:sz w:val="24"/>
          <w:u w:val="single"/>
        </w:rPr>
        <w:t>at</w:t>
      </w:r>
      <w:r>
        <w:rPr>
          <w:b/>
          <w:spacing w:val="-1"/>
          <w:sz w:val="24"/>
          <w:u w:val="single"/>
        </w:rPr>
        <w:t> </w:t>
      </w:r>
      <w:r>
        <w:rPr>
          <w:b/>
          <w:sz w:val="24"/>
          <w:u w:val="single"/>
        </w:rPr>
        <w:t>Sub-Component</w:t>
      </w:r>
      <w:r>
        <w:rPr>
          <w:b/>
          <w:spacing w:val="-1"/>
          <w:sz w:val="24"/>
          <w:u w:val="single"/>
        </w:rPr>
        <w:t> </w:t>
      </w:r>
      <w:r>
        <w:rPr>
          <w:b/>
          <w:spacing w:val="-2"/>
          <w:sz w:val="24"/>
          <w:u w:val="single"/>
        </w:rPr>
        <w:t>Lev</w:t>
      </w:r>
      <w:r>
        <w:rPr>
          <w:b/>
          <w:spacing w:val="-2"/>
          <w:sz w:val="24"/>
        </w:rPr>
        <w:t>el</w:t>
      </w:r>
    </w:p>
    <w:p>
      <w:pPr>
        <w:pStyle w:val="BodyText"/>
        <w:spacing w:before="31"/>
        <w:rPr>
          <w:b/>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0"/>
        <w:gridCol w:w="1718"/>
        <w:gridCol w:w="1163"/>
        <w:gridCol w:w="1482"/>
        <w:gridCol w:w="878"/>
        <w:gridCol w:w="2072"/>
      </w:tblGrid>
      <w:tr>
        <w:trPr>
          <w:trHeight w:val="544" w:hRule="atLeast"/>
        </w:trPr>
        <w:tc>
          <w:tcPr>
            <w:tcW w:w="1150" w:type="dxa"/>
            <w:tcBorders>
              <w:bottom w:val="single" w:sz="8" w:space="0" w:color="000000"/>
            </w:tcBorders>
          </w:tcPr>
          <w:p>
            <w:pPr>
              <w:pStyle w:val="TableParagraph"/>
              <w:spacing w:line="266" w:lineRule="exact"/>
              <w:ind w:left="115"/>
              <w:rPr>
                <w:b/>
                <w:sz w:val="24"/>
              </w:rPr>
            </w:pPr>
            <w:r>
              <w:rPr>
                <w:b/>
                <w:spacing w:val="-4"/>
                <w:sz w:val="24"/>
              </w:rPr>
              <w:t>Test</w:t>
            </w:r>
          </w:p>
        </w:tc>
        <w:tc>
          <w:tcPr>
            <w:tcW w:w="1718" w:type="dxa"/>
            <w:tcBorders>
              <w:bottom w:val="single" w:sz="8" w:space="0" w:color="000000"/>
            </w:tcBorders>
          </w:tcPr>
          <w:p>
            <w:pPr>
              <w:pStyle w:val="TableParagraph"/>
              <w:spacing w:line="266" w:lineRule="exact"/>
              <w:ind w:left="168" w:right="2"/>
              <w:jc w:val="center"/>
              <w:rPr>
                <w:b/>
                <w:sz w:val="24"/>
              </w:rPr>
            </w:pPr>
            <w:r>
              <w:rPr>
                <w:b/>
                <w:spacing w:val="-2"/>
                <w:sz w:val="24"/>
              </w:rPr>
              <w:t>RESOURCE</w:t>
            </w:r>
          </w:p>
        </w:tc>
        <w:tc>
          <w:tcPr>
            <w:tcW w:w="1163" w:type="dxa"/>
            <w:tcBorders>
              <w:bottom w:val="single" w:sz="8" w:space="0" w:color="000000"/>
            </w:tcBorders>
          </w:tcPr>
          <w:p>
            <w:pPr>
              <w:pStyle w:val="TableParagraph"/>
              <w:spacing w:line="266" w:lineRule="exact"/>
              <w:ind w:left="2" w:right="1"/>
              <w:jc w:val="center"/>
              <w:rPr>
                <w:b/>
                <w:sz w:val="24"/>
              </w:rPr>
            </w:pPr>
            <w:r>
              <w:rPr>
                <w:b/>
                <w:spacing w:val="-2"/>
                <w:sz w:val="24"/>
              </w:rPr>
              <w:t>ACCESS</w:t>
            </w:r>
          </w:p>
        </w:tc>
        <w:tc>
          <w:tcPr>
            <w:tcW w:w="1482" w:type="dxa"/>
            <w:tcBorders>
              <w:bottom w:val="single" w:sz="8" w:space="0" w:color="000000"/>
            </w:tcBorders>
          </w:tcPr>
          <w:p>
            <w:pPr>
              <w:pStyle w:val="TableParagraph"/>
              <w:spacing w:line="266" w:lineRule="exact"/>
              <w:jc w:val="center"/>
              <w:rPr>
                <w:b/>
                <w:sz w:val="24"/>
              </w:rPr>
            </w:pPr>
            <w:r>
              <w:rPr>
                <w:b/>
                <w:spacing w:val="-2"/>
                <w:sz w:val="24"/>
              </w:rPr>
              <w:t>CAPACITY</w:t>
            </w:r>
          </w:p>
        </w:tc>
        <w:tc>
          <w:tcPr>
            <w:tcW w:w="878" w:type="dxa"/>
            <w:tcBorders>
              <w:bottom w:val="single" w:sz="8" w:space="0" w:color="000000"/>
            </w:tcBorders>
          </w:tcPr>
          <w:p>
            <w:pPr>
              <w:pStyle w:val="TableParagraph"/>
              <w:spacing w:line="266" w:lineRule="exact"/>
              <w:ind w:left="108"/>
              <w:rPr>
                <w:b/>
                <w:sz w:val="24"/>
              </w:rPr>
            </w:pPr>
            <w:r>
              <w:rPr>
                <w:b/>
                <w:spacing w:val="-5"/>
                <w:sz w:val="24"/>
              </w:rPr>
              <w:t>USE</w:t>
            </w:r>
          </w:p>
        </w:tc>
        <w:tc>
          <w:tcPr>
            <w:tcW w:w="2072" w:type="dxa"/>
            <w:tcBorders>
              <w:bottom w:val="single" w:sz="8" w:space="0" w:color="000000"/>
            </w:tcBorders>
          </w:tcPr>
          <w:p>
            <w:pPr>
              <w:pStyle w:val="TableParagraph"/>
              <w:spacing w:line="266" w:lineRule="exact"/>
              <w:ind w:right="4"/>
              <w:jc w:val="center"/>
              <w:rPr>
                <w:b/>
                <w:sz w:val="24"/>
              </w:rPr>
            </w:pPr>
            <w:r>
              <w:rPr>
                <w:b/>
                <w:spacing w:val="-2"/>
                <w:sz w:val="24"/>
              </w:rPr>
              <w:t>ENVIRONMENT</w:t>
            </w:r>
          </w:p>
        </w:tc>
      </w:tr>
      <w:tr>
        <w:trPr>
          <w:trHeight w:val="2071" w:hRule="atLeast"/>
        </w:trPr>
        <w:tc>
          <w:tcPr>
            <w:tcW w:w="1150" w:type="dxa"/>
            <w:tcBorders>
              <w:top w:val="single" w:sz="8" w:space="0" w:color="000000"/>
            </w:tcBorders>
          </w:tcPr>
          <w:p>
            <w:pPr>
              <w:pStyle w:val="TableParagraph"/>
              <w:spacing w:line="480" w:lineRule="auto"/>
              <w:ind w:left="115" w:right="273"/>
              <w:jc w:val="both"/>
              <w:rPr>
                <w:b/>
                <w:sz w:val="24"/>
              </w:rPr>
            </w:pPr>
            <w:r>
              <w:rPr>
                <w:b/>
                <w:spacing w:val="-2"/>
                <w:sz w:val="24"/>
              </w:rPr>
              <w:t>Kaiser- Meyer- Olkin</w:t>
            </w:r>
          </w:p>
          <w:p>
            <w:pPr>
              <w:pStyle w:val="TableParagraph"/>
              <w:ind w:left="115"/>
              <w:rPr>
                <w:b/>
                <w:sz w:val="24"/>
              </w:rPr>
            </w:pPr>
            <w:r>
              <w:rPr>
                <w:b/>
                <w:spacing w:val="-2"/>
                <w:sz w:val="24"/>
              </w:rPr>
              <w:t>(KMO)</w:t>
            </w:r>
          </w:p>
        </w:tc>
        <w:tc>
          <w:tcPr>
            <w:tcW w:w="1718" w:type="dxa"/>
            <w:tcBorders>
              <w:top w:val="single" w:sz="8" w:space="0" w:color="000000"/>
            </w:tcBorders>
          </w:tcPr>
          <w:p>
            <w:pPr>
              <w:pStyle w:val="TableParagraph"/>
              <w:spacing w:line="268" w:lineRule="exact"/>
              <w:ind w:left="168" w:right="3"/>
              <w:jc w:val="center"/>
              <w:rPr>
                <w:sz w:val="24"/>
              </w:rPr>
            </w:pPr>
            <w:r>
              <w:rPr>
                <w:spacing w:val="-2"/>
                <w:sz w:val="24"/>
              </w:rPr>
              <w:t>0.576</w:t>
            </w:r>
          </w:p>
        </w:tc>
        <w:tc>
          <w:tcPr>
            <w:tcW w:w="1163" w:type="dxa"/>
            <w:tcBorders>
              <w:top w:val="single" w:sz="8" w:space="0" w:color="000000"/>
            </w:tcBorders>
          </w:tcPr>
          <w:p>
            <w:pPr>
              <w:pStyle w:val="TableParagraph"/>
              <w:spacing w:line="268" w:lineRule="exact"/>
              <w:ind w:left="2"/>
              <w:jc w:val="center"/>
              <w:rPr>
                <w:sz w:val="24"/>
              </w:rPr>
            </w:pPr>
            <w:r>
              <w:rPr>
                <w:spacing w:val="-4"/>
                <w:sz w:val="24"/>
              </w:rPr>
              <w:t>.501</w:t>
            </w:r>
          </w:p>
        </w:tc>
        <w:tc>
          <w:tcPr>
            <w:tcW w:w="1482" w:type="dxa"/>
            <w:tcBorders>
              <w:top w:val="single" w:sz="8" w:space="0" w:color="000000"/>
            </w:tcBorders>
          </w:tcPr>
          <w:p>
            <w:pPr>
              <w:pStyle w:val="TableParagraph"/>
              <w:spacing w:line="268" w:lineRule="exact"/>
              <w:jc w:val="center"/>
              <w:rPr>
                <w:sz w:val="24"/>
              </w:rPr>
            </w:pPr>
            <w:r>
              <w:rPr>
                <w:spacing w:val="-2"/>
                <w:sz w:val="24"/>
              </w:rPr>
              <w:t>0.540</w:t>
            </w:r>
          </w:p>
        </w:tc>
        <w:tc>
          <w:tcPr>
            <w:tcW w:w="878" w:type="dxa"/>
            <w:tcBorders>
              <w:top w:val="single" w:sz="8" w:space="0" w:color="000000"/>
            </w:tcBorders>
          </w:tcPr>
          <w:p>
            <w:pPr>
              <w:pStyle w:val="TableParagraph"/>
              <w:spacing w:line="268" w:lineRule="exact"/>
              <w:ind w:left="168"/>
              <w:rPr>
                <w:sz w:val="24"/>
              </w:rPr>
            </w:pPr>
            <w:r>
              <w:rPr>
                <w:spacing w:val="-2"/>
                <w:sz w:val="24"/>
              </w:rPr>
              <w:t>0.500</w:t>
            </w:r>
          </w:p>
        </w:tc>
        <w:tc>
          <w:tcPr>
            <w:tcW w:w="2072" w:type="dxa"/>
            <w:tcBorders>
              <w:top w:val="single" w:sz="8" w:space="0" w:color="000000"/>
            </w:tcBorders>
          </w:tcPr>
          <w:p>
            <w:pPr>
              <w:pStyle w:val="TableParagraph"/>
              <w:spacing w:line="268" w:lineRule="exact"/>
              <w:ind w:right="4"/>
              <w:jc w:val="center"/>
              <w:rPr>
                <w:sz w:val="24"/>
              </w:rPr>
            </w:pPr>
            <w:r>
              <w:rPr>
                <w:spacing w:val="-4"/>
                <w:sz w:val="24"/>
              </w:rPr>
              <w:t>.500</w:t>
            </w:r>
          </w:p>
        </w:tc>
      </w:tr>
      <w:tr>
        <w:trPr>
          <w:trHeight w:val="549" w:hRule="atLeast"/>
        </w:trPr>
        <w:tc>
          <w:tcPr>
            <w:tcW w:w="8463" w:type="dxa"/>
            <w:gridSpan w:val="6"/>
          </w:tcPr>
          <w:p>
            <w:pPr>
              <w:pStyle w:val="TableParagraph"/>
              <w:spacing w:before="133"/>
              <w:ind w:left="115"/>
              <w:rPr>
                <w:b/>
                <w:sz w:val="24"/>
              </w:rPr>
            </w:pPr>
            <w:r>
              <w:rPr>
                <w:b/>
                <w:sz w:val="24"/>
              </w:rPr>
              <w:t>Bartlett's</w:t>
            </w:r>
            <w:r>
              <w:rPr>
                <w:b/>
                <w:spacing w:val="-4"/>
                <w:sz w:val="24"/>
              </w:rPr>
              <w:t> </w:t>
            </w:r>
            <w:r>
              <w:rPr>
                <w:b/>
                <w:sz w:val="24"/>
              </w:rPr>
              <w:t>Test</w:t>
            </w:r>
            <w:r>
              <w:rPr>
                <w:b/>
                <w:spacing w:val="-2"/>
                <w:sz w:val="24"/>
              </w:rPr>
              <w:t> </w:t>
            </w:r>
            <w:r>
              <w:rPr>
                <w:b/>
                <w:sz w:val="24"/>
              </w:rPr>
              <w:t>of</w:t>
            </w:r>
            <w:r>
              <w:rPr>
                <w:b/>
                <w:spacing w:val="-1"/>
                <w:sz w:val="24"/>
              </w:rPr>
              <w:t> </w:t>
            </w:r>
            <w:r>
              <w:rPr>
                <w:b/>
                <w:spacing w:val="-2"/>
                <w:sz w:val="24"/>
              </w:rPr>
              <w:t>Sphericity:</w:t>
            </w:r>
          </w:p>
        </w:tc>
      </w:tr>
      <w:tr>
        <w:trPr>
          <w:trHeight w:val="1656" w:hRule="atLeast"/>
        </w:trPr>
        <w:tc>
          <w:tcPr>
            <w:tcW w:w="1150" w:type="dxa"/>
          </w:tcPr>
          <w:p>
            <w:pPr>
              <w:pStyle w:val="TableParagraph"/>
              <w:spacing w:before="135"/>
              <w:ind w:left="115"/>
              <w:rPr>
                <w:b/>
                <w:sz w:val="24"/>
              </w:rPr>
            </w:pPr>
            <w:r>
              <w:rPr>
                <w:b/>
                <w:spacing w:val="-4"/>
                <w:sz w:val="24"/>
              </w:rPr>
              <w:t>Chi-</w:t>
            </w:r>
          </w:p>
          <w:p>
            <w:pPr>
              <w:pStyle w:val="TableParagraph"/>
              <w:spacing w:line="550" w:lineRule="atLeast" w:before="2"/>
              <w:ind w:left="115" w:right="293"/>
              <w:rPr>
                <w:b/>
                <w:sz w:val="24"/>
              </w:rPr>
            </w:pPr>
            <w:r>
              <w:rPr>
                <w:b/>
                <w:spacing w:val="-2"/>
                <w:sz w:val="24"/>
              </w:rPr>
              <w:t>Square value</w:t>
            </w:r>
          </w:p>
        </w:tc>
        <w:tc>
          <w:tcPr>
            <w:tcW w:w="1718" w:type="dxa"/>
          </w:tcPr>
          <w:p>
            <w:pPr>
              <w:pStyle w:val="TableParagraph"/>
              <w:spacing w:before="130"/>
              <w:ind w:left="168" w:right="3"/>
              <w:jc w:val="center"/>
              <w:rPr>
                <w:sz w:val="24"/>
              </w:rPr>
            </w:pPr>
            <w:r>
              <w:rPr>
                <w:spacing w:val="-2"/>
                <w:sz w:val="24"/>
              </w:rPr>
              <w:t>36.43</w:t>
            </w:r>
          </w:p>
        </w:tc>
        <w:tc>
          <w:tcPr>
            <w:tcW w:w="1163" w:type="dxa"/>
          </w:tcPr>
          <w:p>
            <w:pPr>
              <w:pStyle w:val="TableParagraph"/>
              <w:spacing w:before="130"/>
              <w:ind w:left="2"/>
              <w:jc w:val="center"/>
              <w:rPr>
                <w:sz w:val="24"/>
              </w:rPr>
            </w:pPr>
            <w:r>
              <w:rPr>
                <w:spacing w:val="-2"/>
                <w:sz w:val="24"/>
              </w:rPr>
              <w:t>35.27</w:t>
            </w:r>
          </w:p>
        </w:tc>
        <w:tc>
          <w:tcPr>
            <w:tcW w:w="1482" w:type="dxa"/>
          </w:tcPr>
          <w:p>
            <w:pPr>
              <w:pStyle w:val="TableParagraph"/>
              <w:spacing w:before="130"/>
              <w:jc w:val="center"/>
              <w:rPr>
                <w:sz w:val="24"/>
              </w:rPr>
            </w:pPr>
            <w:r>
              <w:rPr>
                <w:spacing w:val="-2"/>
                <w:sz w:val="24"/>
              </w:rPr>
              <w:t>57.452</w:t>
            </w:r>
          </w:p>
        </w:tc>
        <w:tc>
          <w:tcPr>
            <w:tcW w:w="878" w:type="dxa"/>
          </w:tcPr>
          <w:p>
            <w:pPr>
              <w:pStyle w:val="TableParagraph"/>
              <w:spacing w:before="130"/>
              <w:ind w:left="108"/>
              <w:rPr>
                <w:sz w:val="24"/>
              </w:rPr>
            </w:pPr>
            <w:r>
              <w:rPr>
                <w:spacing w:val="-2"/>
                <w:sz w:val="24"/>
              </w:rPr>
              <w:t>10.383</w:t>
            </w:r>
          </w:p>
        </w:tc>
        <w:tc>
          <w:tcPr>
            <w:tcW w:w="2072" w:type="dxa"/>
          </w:tcPr>
          <w:p>
            <w:pPr>
              <w:pStyle w:val="TableParagraph"/>
              <w:spacing w:before="130"/>
              <w:ind w:right="4"/>
              <w:jc w:val="center"/>
              <w:rPr>
                <w:sz w:val="24"/>
              </w:rPr>
            </w:pPr>
            <w:r>
              <w:rPr>
                <w:spacing w:val="-2"/>
                <w:sz w:val="24"/>
              </w:rPr>
              <w:t>8.480</w:t>
            </w:r>
          </w:p>
        </w:tc>
      </w:tr>
      <w:tr>
        <w:trPr>
          <w:trHeight w:val="551" w:hRule="atLeast"/>
        </w:trPr>
        <w:tc>
          <w:tcPr>
            <w:tcW w:w="1150" w:type="dxa"/>
          </w:tcPr>
          <w:p>
            <w:pPr>
              <w:pStyle w:val="TableParagraph"/>
              <w:spacing w:before="135"/>
              <w:ind w:left="115"/>
              <w:rPr>
                <w:b/>
                <w:sz w:val="24"/>
              </w:rPr>
            </w:pPr>
            <w:r>
              <w:rPr>
                <w:b/>
                <w:spacing w:val="-5"/>
                <w:sz w:val="24"/>
              </w:rPr>
              <w:t>Df</w:t>
            </w:r>
          </w:p>
        </w:tc>
        <w:tc>
          <w:tcPr>
            <w:tcW w:w="1718" w:type="dxa"/>
          </w:tcPr>
          <w:p>
            <w:pPr>
              <w:pStyle w:val="TableParagraph"/>
              <w:spacing w:before="130"/>
              <w:ind w:left="168"/>
              <w:jc w:val="center"/>
              <w:rPr>
                <w:sz w:val="24"/>
              </w:rPr>
            </w:pPr>
            <w:r>
              <w:rPr>
                <w:spacing w:val="-10"/>
                <w:sz w:val="24"/>
              </w:rPr>
              <w:t>6</w:t>
            </w:r>
          </w:p>
        </w:tc>
        <w:tc>
          <w:tcPr>
            <w:tcW w:w="1163" w:type="dxa"/>
          </w:tcPr>
          <w:p>
            <w:pPr>
              <w:pStyle w:val="TableParagraph"/>
              <w:spacing w:before="130"/>
              <w:ind w:left="2" w:right="2"/>
              <w:jc w:val="center"/>
              <w:rPr>
                <w:sz w:val="24"/>
              </w:rPr>
            </w:pPr>
            <w:r>
              <w:rPr>
                <w:spacing w:val="-5"/>
                <w:sz w:val="24"/>
              </w:rPr>
              <w:t>10</w:t>
            </w:r>
          </w:p>
        </w:tc>
        <w:tc>
          <w:tcPr>
            <w:tcW w:w="1482" w:type="dxa"/>
          </w:tcPr>
          <w:p>
            <w:pPr>
              <w:pStyle w:val="TableParagraph"/>
              <w:spacing w:before="130"/>
              <w:jc w:val="center"/>
              <w:rPr>
                <w:sz w:val="24"/>
              </w:rPr>
            </w:pPr>
            <w:r>
              <w:rPr>
                <w:spacing w:val="-5"/>
                <w:sz w:val="24"/>
              </w:rPr>
              <w:t>15</w:t>
            </w:r>
          </w:p>
        </w:tc>
        <w:tc>
          <w:tcPr>
            <w:tcW w:w="878" w:type="dxa"/>
          </w:tcPr>
          <w:p>
            <w:pPr>
              <w:pStyle w:val="TableParagraph"/>
              <w:spacing w:before="130"/>
              <w:jc w:val="center"/>
              <w:rPr>
                <w:sz w:val="24"/>
              </w:rPr>
            </w:pPr>
            <w:r>
              <w:rPr>
                <w:spacing w:val="-10"/>
                <w:sz w:val="24"/>
              </w:rPr>
              <w:t>1</w:t>
            </w:r>
          </w:p>
        </w:tc>
        <w:tc>
          <w:tcPr>
            <w:tcW w:w="2072" w:type="dxa"/>
          </w:tcPr>
          <w:p>
            <w:pPr>
              <w:pStyle w:val="TableParagraph"/>
              <w:spacing w:before="130"/>
              <w:ind w:left="2" w:right="4"/>
              <w:jc w:val="center"/>
              <w:rPr>
                <w:sz w:val="24"/>
              </w:rPr>
            </w:pPr>
            <w:r>
              <w:rPr>
                <w:spacing w:val="-10"/>
                <w:sz w:val="24"/>
              </w:rPr>
              <w:t>1</w:t>
            </w:r>
          </w:p>
        </w:tc>
      </w:tr>
      <w:tr>
        <w:trPr>
          <w:trHeight w:val="692" w:hRule="atLeast"/>
        </w:trPr>
        <w:tc>
          <w:tcPr>
            <w:tcW w:w="1150" w:type="dxa"/>
            <w:tcBorders>
              <w:bottom w:val="single" w:sz="8" w:space="0" w:color="000000"/>
            </w:tcBorders>
          </w:tcPr>
          <w:p>
            <w:pPr>
              <w:pStyle w:val="TableParagraph"/>
              <w:spacing w:before="135"/>
              <w:ind w:left="115"/>
              <w:rPr>
                <w:b/>
                <w:sz w:val="24"/>
              </w:rPr>
            </w:pPr>
            <w:r>
              <w:rPr>
                <w:b/>
                <w:spacing w:val="-4"/>
                <w:sz w:val="24"/>
              </w:rPr>
              <w:t>Sig.</w:t>
            </w:r>
          </w:p>
        </w:tc>
        <w:tc>
          <w:tcPr>
            <w:tcW w:w="1718" w:type="dxa"/>
            <w:tcBorders>
              <w:bottom w:val="single" w:sz="8" w:space="0" w:color="000000"/>
            </w:tcBorders>
          </w:tcPr>
          <w:p>
            <w:pPr>
              <w:pStyle w:val="TableParagraph"/>
              <w:spacing w:before="130"/>
              <w:ind w:left="168" w:right="3"/>
              <w:jc w:val="center"/>
              <w:rPr>
                <w:sz w:val="24"/>
              </w:rPr>
            </w:pPr>
            <w:r>
              <w:rPr>
                <w:spacing w:val="-4"/>
                <w:sz w:val="24"/>
              </w:rPr>
              <w:t>.000</w:t>
            </w:r>
          </w:p>
        </w:tc>
        <w:tc>
          <w:tcPr>
            <w:tcW w:w="1163" w:type="dxa"/>
            <w:tcBorders>
              <w:bottom w:val="single" w:sz="8" w:space="0" w:color="000000"/>
            </w:tcBorders>
          </w:tcPr>
          <w:p>
            <w:pPr>
              <w:pStyle w:val="TableParagraph"/>
              <w:spacing w:before="130"/>
              <w:ind w:left="2"/>
              <w:jc w:val="center"/>
              <w:rPr>
                <w:sz w:val="24"/>
              </w:rPr>
            </w:pPr>
            <w:r>
              <w:rPr>
                <w:spacing w:val="-4"/>
                <w:sz w:val="24"/>
              </w:rPr>
              <w:t>.000</w:t>
            </w:r>
          </w:p>
        </w:tc>
        <w:tc>
          <w:tcPr>
            <w:tcW w:w="1482" w:type="dxa"/>
            <w:tcBorders>
              <w:bottom w:val="single" w:sz="8" w:space="0" w:color="000000"/>
            </w:tcBorders>
          </w:tcPr>
          <w:p>
            <w:pPr>
              <w:pStyle w:val="TableParagraph"/>
              <w:spacing w:before="130"/>
              <w:jc w:val="center"/>
              <w:rPr>
                <w:sz w:val="24"/>
              </w:rPr>
            </w:pPr>
            <w:r>
              <w:rPr>
                <w:spacing w:val="-2"/>
                <w:sz w:val="24"/>
              </w:rPr>
              <w:t>0.000</w:t>
            </w:r>
          </w:p>
        </w:tc>
        <w:tc>
          <w:tcPr>
            <w:tcW w:w="878" w:type="dxa"/>
            <w:tcBorders>
              <w:bottom w:val="single" w:sz="8" w:space="0" w:color="000000"/>
            </w:tcBorders>
          </w:tcPr>
          <w:p>
            <w:pPr>
              <w:pStyle w:val="TableParagraph"/>
              <w:spacing w:before="130"/>
              <w:ind w:left="168"/>
              <w:rPr>
                <w:sz w:val="24"/>
              </w:rPr>
            </w:pPr>
            <w:r>
              <w:rPr>
                <w:spacing w:val="-2"/>
                <w:sz w:val="24"/>
              </w:rPr>
              <w:t>0.001</w:t>
            </w:r>
          </w:p>
        </w:tc>
        <w:tc>
          <w:tcPr>
            <w:tcW w:w="2072" w:type="dxa"/>
            <w:tcBorders>
              <w:bottom w:val="single" w:sz="8" w:space="0" w:color="000000"/>
            </w:tcBorders>
          </w:tcPr>
          <w:p>
            <w:pPr>
              <w:pStyle w:val="TableParagraph"/>
              <w:spacing w:before="130"/>
              <w:ind w:right="4"/>
              <w:jc w:val="center"/>
              <w:rPr>
                <w:sz w:val="24"/>
              </w:rPr>
            </w:pPr>
            <w:r>
              <w:rPr>
                <w:spacing w:val="-4"/>
                <w:sz w:val="24"/>
              </w:rPr>
              <w:t>.004</w:t>
            </w:r>
          </w:p>
        </w:tc>
      </w:tr>
    </w:tbl>
    <w:p>
      <w:pPr>
        <w:pStyle w:val="BodyText"/>
        <w:rPr>
          <w:b/>
        </w:rPr>
      </w:pPr>
    </w:p>
    <w:p>
      <w:pPr>
        <w:pStyle w:val="BodyText"/>
        <w:spacing w:before="5"/>
        <w:rPr>
          <w:b/>
        </w:rPr>
      </w:pPr>
    </w:p>
    <w:p>
      <w:pPr>
        <w:pStyle w:val="BodyText"/>
        <w:spacing w:line="480" w:lineRule="auto"/>
        <w:ind w:left="267" w:right="107"/>
        <w:jc w:val="both"/>
      </w:pPr>
      <w:r>
        <w:rPr/>
        <w:t>Turning</w:t>
      </w:r>
      <w:r>
        <w:rPr>
          <w:spacing w:val="-14"/>
        </w:rPr>
        <w:t> </w:t>
      </w:r>
      <w:r>
        <w:rPr/>
        <w:t>to</w:t>
      </w:r>
      <w:r>
        <w:rPr>
          <w:spacing w:val="-12"/>
        </w:rPr>
        <w:t> </w:t>
      </w:r>
      <w:r>
        <w:rPr/>
        <w:t>the</w:t>
      </w:r>
      <w:r>
        <w:rPr>
          <w:spacing w:val="-13"/>
        </w:rPr>
        <w:t> </w:t>
      </w:r>
      <w:r>
        <w:rPr/>
        <w:t>result</w:t>
      </w:r>
      <w:r>
        <w:rPr>
          <w:spacing w:val="-11"/>
        </w:rPr>
        <w:t> </w:t>
      </w:r>
      <w:r>
        <w:rPr/>
        <w:t>output</w:t>
      </w:r>
      <w:r>
        <w:rPr>
          <w:spacing w:val="-11"/>
        </w:rPr>
        <w:t> </w:t>
      </w:r>
      <w:r>
        <w:rPr/>
        <w:t>of</w:t>
      </w:r>
      <w:r>
        <w:rPr>
          <w:spacing w:val="-13"/>
        </w:rPr>
        <w:t> </w:t>
      </w:r>
      <w:r>
        <w:rPr/>
        <w:t>the</w:t>
      </w:r>
      <w:r>
        <w:rPr>
          <w:spacing w:val="-13"/>
        </w:rPr>
        <w:t> </w:t>
      </w:r>
      <w:r>
        <w:rPr/>
        <w:t>principal</w:t>
      </w:r>
      <w:r>
        <w:rPr>
          <w:spacing w:val="-12"/>
        </w:rPr>
        <w:t> </w:t>
      </w:r>
      <w:r>
        <w:rPr/>
        <w:t>component</w:t>
      </w:r>
      <w:r>
        <w:rPr>
          <w:spacing w:val="-12"/>
        </w:rPr>
        <w:t> </w:t>
      </w:r>
      <w:r>
        <w:rPr/>
        <w:t>analysis</w:t>
      </w:r>
      <w:r>
        <w:rPr>
          <w:spacing w:val="-11"/>
        </w:rPr>
        <w:t> </w:t>
      </w:r>
      <w:r>
        <w:rPr/>
        <w:t>in</w:t>
      </w:r>
      <w:r>
        <w:rPr>
          <w:spacing w:val="-12"/>
        </w:rPr>
        <w:t> </w:t>
      </w:r>
      <w:r>
        <w:rPr/>
        <w:t>Table</w:t>
      </w:r>
      <w:r>
        <w:rPr>
          <w:spacing w:val="-13"/>
        </w:rPr>
        <w:t> </w:t>
      </w:r>
      <w:r>
        <w:rPr/>
        <w:t>4.21b,</w:t>
      </w:r>
      <w:r>
        <w:rPr>
          <w:spacing w:val="-12"/>
        </w:rPr>
        <w:t> </w:t>
      </w:r>
      <w:r>
        <w:rPr/>
        <w:t>it</w:t>
      </w:r>
      <w:r>
        <w:rPr>
          <w:spacing w:val="-11"/>
        </w:rPr>
        <w:t> </w:t>
      </w:r>
      <w:r>
        <w:rPr/>
        <w:t>can</w:t>
      </w:r>
      <w:r>
        <w:rPr>
          <w:spacing w:val="-12"/>
        </w:rPr>
        <w:t> </w:t>
      </w:r>
      <w:r>
        <w:rPr/>
        <w:t>be</w:t>
      </w:r>
      <w:r>
        <w:rPr>
          <w:spacing w:val="-13"/>
        </w:rPr>
        <w:t> </w:t>
      </w:r>
      <w:r>
        <w:rPr/>
        <w:t>seen that, the four (4) extracted principal components of the 4 resource indicators, the five (5) extracted principal components of the 5 access indicators and the six (6) extracted principal components of the 6 capacity indicators account for 100% of the variance in the resource, access</w:t>
      </w:r>
      <w:r>
        <w:rPr>
          <w:spacing w:val="56"/>
        </w:rPr>
        <w:t> </w:t>
      </w:r>
      <w:r>
        <w:rPr/>
        <w:t>and</w:t>
      </w:r>
      <w:r>
        <w:rPr>
          <w:spacing w:val="56"/>
        </w:rPr>
        <w:t> </w:t>
      </w:r>
      <w:r>
        <w:rPr/>
        <w:t>capacity</w:t>
      </w:r>
      <w:r>
        <w:rPr>
          <w:spacing w:val="53"/>
        </w:rPr>
        <w:t> </w:t>
      </w:r>
      <w:r>
        <w:rPr/>
        <w:t>component</w:t>
      </w:r>
      <w:r>
        <w:rPr>
          <w:spacing w:val="57"/>
        </w:rPr>
        <w:t> </w:t>
      </w:r>
      <w:r>
        <w:rPr/>
        <w:t>respectively.</w:t>
      </w:r>
      <w:r>
        <w:rPr>
          <w:spacing w:val="56"/>
        </w:rPr>
        <w:t> </w:t>
      </w:r>
      <w:r>
        <w:rPr/>
        <w:t>Similarly,</w:t>
      </w:r>
      <w:r>
        <w:rPr>
          <w:spacing w:val="56"/>
        </w:rPr>
        <w:t> </w:t>
      </w:r>
      <w:r>
        <w:rPr/>
        <w:t>the</w:t>
      </w:r>
      <w:r>
        <w:rPr>
          <w:spacing w:val="63"/>
        </w:rPr>
        <w:t> </w:t>
      </w:r>
      <w:r>
        <w:rPr/>
        <w:t>two</w:t>
      </w:r>
      <w:r>
        <w:rPr>
          <w:spacing w:val="56"/>
        </w:rPr>
        <w:t> </w:t>
      </w:r>
      <w:r>
        <w:rPr/>
        <w:t>(2)</w:t>
      </w:r>
      <w:r>
        <w:rPr>
          <w:spacing w:val="55"/>
        </w:rPr>
        <w:t> </w:t>
      </w:r>
      <w:r>
        <w:rPr/>
        <w:t>extracted</w:t>
      </w:r>
      <w:r>
        <w:rPr>
          <w:spacing w:val="56"/>
        </w:rPr>
        <w:t> </w:t>
      </w:r>
      <w:r>
        <w:rPr>
          <w:spacing w:val="-2"/>
        </w:rPr>
        <w:t>principal</w:t>
      </w:r>
    </w:p>
    <w:p>
      <w:pPr>
        <w:spacing w:after="0" w:line="480" w:lineRule="auto"/>
        <w:jc w:val="both"/>
        <w:sectPr>
          <w:pgSz w:w="12240" w:h="15840"/>
          <w:pgMar w:header="0" w:footer="1068" w:top="1340" w:bottom="1260" w:left="1720" w:right="1300"/>
        </w:sectPr>
      </w:pPr>
    </w:p>
    <w:p>
      <w:pPr>
        <w:pStyle w:val="BodyText"/>
        <w:spacing w:line="480" w:lineRule="auto" w:before="63"/>
        <w:ind w:left="267" w:right="108"/>
        <w:jc w:val="both"/>
      </w:pPr>
      <w:r>
        <w:rPr/>
        <w:t>components</w:t>
      </w:r>
      <w:r>
        <w:rPr>
          <w:spacing w:val="-8"/>
        </w:rPr>
        <w:t> </w:t>
      </w:r>
      <w:r>
        <w:rPr/>
        <w:t>of</w:t>
      </w:r>
      <w:r>
        <w:rPr>
          <w:spacing w:val="-8"/>
        </w:rPr>
        <w:t> </w:t>
      </w:r>
      <w:r>
        <w:rPr/>
        <w:t>the</w:t>
      </w:r>
      <w:r>
        <w:rPr>
          <w:spacing w:val="-8"/>
        </w:rPr>
        <w:t> </w:t>
      </w:r>
      <w:r>
        <w:rPr/>
        <w:t>2</w:t>
      </w:r>
      <w:r>
        <w:rPr>
          <w:spacing w:val="-5"/>
        </w:rPr>
        <w:t> </w:t>
      </w:r>
      <w:r>
        <w:rPr/>
        <w:t>use</w:t>
      </w:r>
      <w:r>
        <w:rPr>
          <w:spacing w:val="-7"/>
        </w:rPr>
        <w:t> </w:t>
      </w:r>
      <w:r>
        <w:rPr/>
        <w:t>and</w:t>
      </w:r>
      <w:r>
        <w:rPr>
          <w:spacing w:val="-8"/>
        </w:rPr>
        <w:t> </w:t>
      </w:r>
      <w:r>
        <w:rPr/>
        <w:t>environment</w:t>
      </w:r>
      <w:r>
        <w:rPr>
          <w:spacing w:val="-5"/>
        </w:rPr>
        <w:t> </w:t>
      </w:r>
      <w:r>
        <w:rPr/>
        <w:t>components</w:t>
      </w:r>
      <w:r>
        <w:rPr>
          <w:spacing w:val="-8"/>
        </w:rPr>
        <w:t> </w:t>
      </w:r>
      <w:r>
        <w:rPr/>
        <w:t>equally</w:t>
      </w:r>
      <w:r>
        <w:rPr>
          <w:spacing w:val="-12"/>
        </w:rPr>
        <w:t> </w:t>
      </w:r>
      <w:r>
        <w:rPr/>
        <w:t>account</w:t>
      </w:r>
      <w:r>
        <w:rPr>
          <w:spacing w:val="-8"/>
        </w:rPr>
        <w:t> </w:t>
      </w:r>
      <w:r>
        <w:rPr/>
        <w:t>for</w:t>
      </w:r>
      <w:r>
        <w:rPr>
          <w:spacing w:val="-7"/>
        </w:rPr>
        <w:t> </w:t>
      </w:r>
      <w:r>
        <w:rPr/>
        <w:t>100%</w:t>
      </w:r>
      <w:r>
        <w:rPr>
          <w:spacing w:val="-8"/>
        </w:rPr>
        <w:t> </w:t>
      </w:r>
      <w:r>
        <w:rPr/>
        <w:t>variance</w:t>
      </w:r>
      <w:r>
        <w:rPr>
          <w:spacing w:val="-8"/>
        </w:rPr>
        <w:t> </w:t>
      </w:r>
      <w:r>
        <w:rPr/>
        <w:t>of their component space.</w:t>
      </w:r>
    </w:p>
    <w:p>
      <w:pPr>
        <w:pStyle w:val="BodyText"/>
        <w:spacing w:before="7"/>
      </w:pPr>
    </w:p>
    <w:p>
      <w:pPr>
        <w:pStyle w:val="Heading1"/>
        <w:numPr>
          <w:ilvl w:val="4"/>
          <w:numId w:val="10"/>
        </w:numPr>
        <w:tabs>
          <w:tab w:pos="1707" w:val="left" w:leader="none"/>
        </w:tabs>
        <w:spacing w:line="240" w:lineRule="auto" w:before="1" w:after="0"/>
        <w:ind w:left="1707" w:right="0" w:hanging="1440"/>
        <w:jc w:val="left"/>
      </w:pPr>
      <w:r>
        <w:rPr/>
        <w:t>Derived</w:t>
      </w:r>
      <w:r>
        <w:rPr>
          <w:spacing w:val="-2"/>
        </w:rPr>
        <w:t> </w:t>
      </w:r>
      <w:r>
        <w:rPr/>
        <w:t>statistical</w:t>
      </w:r>
      <w:r>
        <w:rPr>
          <w:spacing w:val="-1"/>
        </w:rPr>
        <w:t> </w:t>
      </w:r>
      <w:r>
        <w:rPr/>
        <w:t>weights</w:t>
      </w:r>
      <w:r>
        <w:rPr>
          <w:spacing w:val="-1"/>
        </w:rPr>
        <w:t> </w:t>
      </w:r>
      <w:r>
        <w:rPr/>
        <w:t>for</w:t>
      </w:r>
      <w:r>
        <w:rPr>
          <w:spacing w:val="-1"/>
        </w:rPr>
        <w:t> </w:t>
      </w:r>
      <w:r>
        <w:rPr/>
        <w:t>water</w:t>
      </w:r>
      <w:r>
        <w:rPr>
          <w:spacing w:val="-2"/>
        </w:rPr>
        <w:t> </w:t>
      </w:r>
      <w:r>
        <w:rPr/>
        <w:t>poverty </w:t>
      </w:r>
      <w:r>
        <w:rPr>
          <w:spacing w:val="-2"/>
        </w:rPr>
        <w:t>indicators</w:t>
      </w:r>
    </w:p>
    <w:p>
      <w:pPr>
        <w:pStyle w:val="BodyText"/>
        <w:spacing w:before="14"/>
        <w:rPr>
          <w:b/>
        </w:rPr>
      </w:pPr>
    </w:p>
    <w:p>
      <w:pPr>
        <w:pStyle w:val="BodyText"/>
        <w:spacing w:line="480" w:lineRule="auto"/>
        <w:ind w:left="267" w:right="105"/>
        <w:jc w:val="both"/>
      </w:pPr>
      <w:r>
        <w:rPr/>
        <w:t>The derived statistical weights from the PCA vis-à-vis the weights from equal weighting scheme</w:t>
      </w:r>
      <w:r>
        <w:rPr>
          <w:spacing w:val="-2"/>
        </w:rPr>
        <w:t> </w:t>
      </w:r>
      <w:r>
        <w:rPr/>
        <w:t>for</w:t>
      </w:r>
      <w:r>
        <w:rPr>
          <w:spacing w:val="-1"/>
        </w:rPr>
        <w:t> </w:t>
      </w:r>
      <w:r>
        <w:rPr/>
        <w:t>each</w:t>
      </w:r>
      <w:r>
        <w:rPr>
          <w:spacing w:val="-2"/>
        </w:rPr>
        <w:t> </w:t>
      </w:r>
      <w:r>
        <w:rPr/>
        <w:t>water</w:t>
      </w:r>
      <w:r>
        <w:rPr>
          <w:spacing w:val="-2"/>
        </w:rPr>
        <w:t> </w:t>
      </w:r>
      <w:r>
        <w:rPr/>
        <w:t>poverty</w:t>
      </w:r>
      <w:r>
        <w:rPr>
          <w:spacing w:val="-7"/>
        </w:rPr>
        <w:t> </w:t>
      </w:r>
      <w:r>
        <w:rPr/>
        <w:t>indicator</w:t>
      </w:r>
      <w:r>
        <w:rPr>
          <w:spacing w:val="-2"/>
        </w:rPr>
        <w:t> </w:t>
      </w:r>
      <w:r>
        <w:rPr/>
        <w:t>are</w:t>
      </w:r>
      <w:r>
        <w:rPr>
          <w:spacing w:val="-4"/>
        </w:rPr>
        <w:t> </w:t>
      </w:r>
      <w:r>
        <w:rPr/>
        <w:t>shown</w:t>
      </w:r>
      <w:r>
        <w:rPr>
          <w:spacing w:val="-1"/>
        </w:rPr>
        <w:t> </w:t>
      </w:r>
      <w:r>
        <w:rPr/>
        <w:t>in</w:t>
      </w:r>
      <w:r>
        <w:rPr>
          <w:spacing w:val="-2"/>
        </w:rPr>
        <w:t> </w:t>
      </w:r>
      <w:r>
        <w:rPr/>
        <w:t>Table</w:t>
      </w:r>
      <w:r>
        <w:rPr>
          <w:spacing w:val="-2"/>
        </w:rPr>
        <w:t> </w:t>
      </w:r>
      <w:r>
        <w:rPr/>
        <w:t>4.22.</w:t>
      </w:r>
      <w:r>
        <w:rPr>
          <w:spacing w:val="-2"/>
        </w:rPr>
        <w:t> </w:t>
      </w:r>
      <w:r>
        <w:rPr/>
        <w:t>A</w:t>
      </w:r>
      <w:r>
        <w:rPr>
          <w:spacing w:val="-2"/>
        </w:rPr>
        <w:t> </w:t>
      </w:r>
      <w:r>
        <w:rPr/>
        <w:t>comparison</w:t>
      </w:r>
      <w:r>
        <w:rPr>
          <w:spacing w:val="-2"/>
        </w:rPr>
        <w:t> </w:t>
      </w:r>
      <w:r>
        <w:rPr/>
        <w:t>of</w:t>
      </w:r>
      <w:r>
        <w:rPr>
          <w:spacing w:val="-2"/>
        </w:rPr>
        <w:t> </w:t>
      </w:r>
      <w:r>
        <w:rPr/>
        <w:t>the</w:t>
      </w:r>
      <w:r>
        <w:rPr>
          <w:spacing w:val="-4"/>
        </w:rPr>
        <w:t> </w:t>
      </w:r>
      <w:r>
        <w:rPr/>
        <w:t>PCA derived weight with the equal weights shows that the PCA statistically derived weights produced</w:t>
      </w:r>
      <w:r>
        <w:rPr>
          <w:spacing w:val="-3"/>
        </w:rPr>
        <w:t> </w:t>
      </w:r>
      <w:r>
        <w:rPr/>
        <w:t>far</w:t>
      </w:r>
      <w:r>
        <w:rPr>
          <w:spacing w:val="-3"/>
        </w:rPr>
        <w:t> </w:t>
      </w:r>
      <w:r>
        <w:rPr/>
        <w:t>more</w:t>
      </w:r>
      <w:r>
        <w:rPr>
          <w:spacing w:val="-4"/>
        </w:rPr>
        <w:t> </w:t>
      </w:r>
      <w:r>
        <w:rPr/>
        <w:t>objective</w:t>
      </w:r>
      <w:r>
        <w:rPr>
          <w:spacing w:val="-3"/>
        </w:rPr>
        <w:t> </w:t>
      </w:r>
      <w:r>
        <w:rPr/>
        <w:t>and</w:t>
      </w:r>
      <w:r>
        <w:rPr>
          <w:spacing w:val="-3"/>
        </w:rPr>
        <w:t> </w:t>
      </w:r>
      <w:r>
        <w:rPr/>
        <w:t>statistically</w:t>
      </w:r>
      <w:r>
        <w:rPr>
          <w:spacing w:val="-8"/>
        </w:rPr>
        <w:t> </w:t>
      </w:r>
      <w:r>
        <w:rPr/>
        <w:t>robust</w:t>
      </w:r>
      <w:r>
        <w:rPr>
          <w:spacing w:val="-3"/>
        </w:rPr>
        <w:t> </w:t>
      </w:r>
      <w:r>
        <w:rPr/>
        <w:t>weights</w:t>
      </w:r>
      <w:r>
        <w:rPr>
          <w:spacing w:val="-3"/>
        </w:rPr>
        <w:t> </w:t>
      </w:r>
      <w:r>
        <w:rPr/>
        <w:t>in</w:t>
      </w:r>
      <w:r>
        <w:rPr>
          <w:spacing w:val="-3"/>
        </w:rPr>
        <w:t> </w:t>
      </w:r>
      <w:r>
        <w:rPr/>
        <w:t>contrast</w:t>
      </w:r>
      <w:r>
        <w:rPr>
          <w:spacing w:val="-3"/>
        </w:rPr>
        <w:t> </w:t>
      </w:r>
      <w:r>
        <w:rPr/>
        <w:t>to</w:t>
      </w:r>
      <w:r>
        <w:rPr>
          <w:spacing w:val="-3"/>
        </w:rPr>
        <w:t> </w:t>
      </w:r>
      <w:r>
        <w:rPr/>
        <w:t>the</w:t>
      </w:r>
      <w:r>
        <w:rPr>
          <w:spacing w:val="-4"/>
        </w:rPr>
        <w:t> </w:t>
      </w:r>
      <w:r>
        <w:rPr/>
        <w:t>subjective</w:t>
      </w:r>
      <w:r>
        <w:rPr>
          <w:spacing w:val="-4"/>
        </w:rPr>
        <w:t> </w:t>
      </w:r>
      <w:r>
        <w:rPr/>
        <w:t>and arbitrary weight selection used in the equal weighting scheme. Earlier studies (Cho </w:t>
      </w:r>
      <w:r>
        <w:rPr>
          <w:i/>
        </w:rPr>
        <w:t>et al. </w:t>
      </w:r>
      <w:r>
        <w:rPr/>
        <w:t>2010;</w:t>
      </w:r>
      <w:r>
        <w:rPr>
          <w:spacing w:val="-10"/>
        </w:rPr>
        <w:t> </w:t>
      </w:r>
      <w:r>
        <w:rPr/>
        <w:t>Jemmali</w:t>
      </w:r>
      <w:r>
        <w:rPr>
          <w:spacing w:val="-8"/>
        </w:rPr>
        <w:t> </w:t>
      </w:r>
      <w:r>
        <w:rPr/>
        <w:t>and</w:t>
      </w:r>
      <w:r>
        <w:rPr>
          <w:spacing w:val="-11"/>
        </w:rPr>
        <w:t> </w:t>
      </w:r>
      <w:r>
        <w:rPr/>
        <w:t>Sullivan,</w:t>
      </w:r>
      <w:r>
        <w:rPr>
          <w:spacing w:val="-8"/>
        </w:rPr>
        <w:t> </w:t>
      </w:r>
      <w:r>
        <w:rPr/>
        <w:t>2014)</w:t>
      </w:r>
      <w:r>
        <w:rPr>
          <w:spacing w:val="-9"/>
        </w:rPr>
        <w:t> </w:t>
      </w:r>
      <w:r>
        <w:rPr/>
        <w:t>have</w:t>
      </w:r>
      <w:r>
        <w:rPr>
          <w:spacing w:val="-9"/>
        </w:rPr>
        <w:t> </w:t>
      </w:r>
      <w:r>
        <w:rPr/>
        <w:t>shown</w:t>
      </w:r>
      <w:r>
        <w:rPr>
          <w:spacing w:val="-9"/>
        </w:rPr>
        <w:t> </w:t>
      </w:r>
      <w:r>
        <w:rPr/>
        <w:t>that</w:t>
      </w:r>
      <w:r>
        <w:rPr>
          <w:spacing w:val="-8"/>
        </w:rPr>
        <w:t> </w:t>
      </w:r>
      <w:r>
        <w:rPr/>
        <w:t>the</w:t>
      </w:r>
      <w:r>
        <w:rPr>
          <w:spacing w:val="-9"/>
        </w:rPr>
        <w:t> </w:t>
      </w:r>
      <w:r>
        <w:rPr/>
        <w:t>choice</w:t>
      </w:r>
      <w:r>
        <w:rPr>
          <w:spacing w:val="-10"/>
        </w:rPr>
        <w:t> </w:t>
      </w:r>
      <w:r>
        <w:rPr/>
        <w:t>of</w:t>
      </w:r>
      <w:r>
        <w:rPr>
          <w:spacing w:val="-9"/>
        </w:rPr>
        <w:t> </w:t>
      </w:r>
      <w:r>
        <w:rPr/>
        <w:t>subjective</w:t>
      </w:r>
      <w:r>
        <w:rPr>
          <w:spacing w:val="-12"/>
        </w:rPr>
        <w:t> </w:t>
      </w:r>
      <w:r>
        <w:rPr/>
        <w:t>weights</w:t>
      </w:r>
      <w:r>
        <w:rPr>
          <w:spacing w:val="-8"/>
        </w:rPr>
        <w:t> </w:t>
      </w:r>
      <w:r>
        <w:rPr/>
        <w:t>leads</w:t>
      </w:r>
      <w:r>
        <w:rPr>
          <w:spacing w:val="-8"/>
        </w:rPr>
        <w:t> </w:t>
      </w:r>
      <w:r>
        <w:rPr/>
        <w:t>to mis-interpretation and multi-collinearity problem as the components of the water poverty index</w:t>
      </w:r>
      <w:r>
        <w:rPr>
          <w:spacing w:val="-11"/>
        </w:rPr>
        <w:t> </w:t>
      </w:r>
      <w:r>
        <w:rPr/>
        <w:t>are</w:t>
      </w:r>
      <w:r>
        <w:rPr>
          <w:spacing w:val="-14"/>
        </w:rPr>
        <w:t> </w:t>
      </w:r>
      <w:r>
        <w:rPr/>
        <w:t>correlated.</w:t>
      </w:r>
      <w:r>
        <w:rPr>
          <w:spacing w:val="-11"/>
        </w:rPr>
        <w:t> </w:t>
      </w:r>
      <w:r>
        <w:rPr/>
        <w:t>Another</w:t>
      </w:r>
      <w:r>
        <w:rPr>
          <w:spacing w:val="-13"/>
        </w:rPr>
        <w:t> </w:t>
      </w:r>
      <w:r>
        <w:rPr/>
        <w:t>important</w:t>
      </w:r>
      <w:r>
        <w:rPr>
          <w:spacing w:val="-12"/>
        </w:rPr>
        <w:t> </w:t>
      </w:r>
      <w:r>
        <w:rPr/>
        <w:t>inference</w:t>
      </w:r>
      <w:r>
        <w:rPr>
          <w:spacing w:val="-13"/>
        </w:rPr>
        <w:t> </w:t>
      </w:r>
      <w:r>
        <w:rPr/>
        <w:t>from</w:t>
      </w:r>
      <w:r>
        <w:rPr>
          <w:spacing w:val="-12"/>
        </w:rPr>
        <w:t> </w:t>
      </w:r>
      <w:r>
        <w:rPr/>
        <w:t>Table</w:t>
      </w:r>
      <w:r>
        <w:rPr>
          <w:spacing w:val="-13"/>
        </w:rPr>
        <w:t> </w:t>
      </w:r>
      <w:r>
        <w:rPr/>
        <w:t>4.22</w:t>
      </w:r>
      <w:r>
        <w:rPr>
          <w:spacing w:val="-12"/>
        </w:rPr>
        <w:t> </w:t>
      </w:r>
      <w:r>
        <w:rPr/>
        <w:t>is</w:t>
      </w:r>
      <w:r>
        <w:rPr>
          <w:spacing w:val="-11"/>
        </w:rPr>
        <w:t> </w:t>
      </w:r>
      <w:r>
        <w:rPr/>
        <w:t>that</w:t>
      </w:r>
      <w:r>
        <w:rPr>
          <w:spacing w:val="-11"/>
        </w:rPr>
        <w:t> </w:t>
      </w:r>
      <w:r>
        <w:rPr/>
        <w:t>U2</w:t>
      </w:r>
      <w:r>
        <w:rPr>
          <w:spacing w:val="-11"/>
        </w:rPr>
        <w:t> </w:t>
      </w:r>
      <w:r>
        <w:rPr/>
        <w:t>(water</w:t>
      </w:r>
      <w:r>
        <w:rPr>
          <w:spacing w:val="-13"/>
        </w:rPr>
        <w:t> </w:t>
      </w:r>
      <w:r>
        <w:rPr/>
        <w:t>for</w:t>
      </w:r>
      <w:r>
        <w:rPr>
          <w:spacing w:val="-10"/>
        </w:rPr>
        <w:t> </w:t>
      </w:r>
      <w:r>
        <w:rPr/>
        <w:t>green use/watering crop) has the highest weight among the 19 water poverty indicators employed in the study.</w:t>
      </w:r>
    </w:p>
    <w:p>
      <w:pPr>
        <w:spacing w:after="0" w:line="480" w:lineRule="auto"/>
        <w:jc w:val="both"/>
        <w:sectPr>
          <w:pgSz w:w="12240" w:h="15840"/>
          <w:pgMar w:header="0" w:footer="1068" w:top="1340" w:bottom="1260" w:left="1720" w:right="1300"/>
        </w:sectPr>
      </w:pPr>
    </w:p>
    <w:p>
      <w:pPr>
        <w:spacing w:before="68" w:after="30"/>
        <w:ind w:left="267" w:right="0" w:firstLine="0"/>
        <w:jc w:val="left"/>
        <w:rPr>
          <w:b/>
          <w:sz w:val="24"/>
        </w:rPr>
      </w:pPr>
      <w:r>
        <w:rPr>
          <w:b/>
          <w:sz w:val="24"/>
          <w:u w:val="single"/>
        </w:rPr>
        <w:t>Table</w:t>
      </w:r>
      <w:r>
        <w:rPr>
          <w:b/>
          <w:spacing w:val="-9"/>
          <w:sz w:val="24"/>
          <w:u w:val="single"/>
        </w:rPr>
        <w:t> </w:t>
      </w:r>
      <w:r>
        <w:rPr>
          <w:b/>
          <w:sz w:val="24"/>
          <w:u w:val="single"/>
        </w:rPr>
        <w:t>4.21b:</w:t>
      </w:r>
      <w:r>
        <w:rPr>
          <w:b/>
          <w:spacing w:val="-7"/>
          <w:sz w:val="24"/>
          <w:u w:val="single"/>
        </w:rPr>
        <w:t> </w:t>
      </w:r>
      <w:r>
        <w:rPr>
          <w:b/>
          <w:sz w:val="24"/>
          <w:u w:val="single"/>
        </w:rPr>
        <w:t>Result</w:t>
      </w:r>
      <w:r>
        <w:rPr>
          <w:b/>
          <w:spacing w:val="-6"/>
          <w:sz w:val="24"/>
          <w:u w:val="single"/>
        </w:rPr>
        <w:t> </w:t>
      </w:r>
      <w:r>
        <w:rPr>
          <w:b/>
          <w:sz w:val="24"/>
          <w:u w:val="single"/>
        </w:rPr>
        <w:t>of</w:t>
      </w:r>
      <w:r>
        <w:rPr>
          <w:b/>
          <w:spacing w:val="-5"/>
          <w:sz w:val="24"/>
          <w:u w:val="single"/>
        </w:rPr>
        <w:t> </w:t>
      </w:r>
      <w:r>
        <w:rPr>
          <w:b/>
          <w:sz w:val="24"/>
          <w:u w:val="single"/>
        </w:rPr>
        <w:t>the</w:t>
      </w:r>
      <w:r>
        <w:rPr>
          <w:b/>
          <w:spacing w:val="-4"/>
          <w:sz w:val="24"/>
          <w:u w:val="single"/>
        </w:rPr>
        <w:t> </w:t>
      </w:r>
      <w:r>
        <w:rPr>
          <w:b/>
          <w:sz w:val="24"/>
          <w:u w:val="single"/>
        </w:rPr>
        <w:t>Principal</w:t>
      </w:r>
      <w:r>
        <w:rPr>
          <w:b/>
          <w:spacing w:val="-6"/>
          <w:sz w:val="24"/>
          <w:u w:val="single"/>
        </w:rPr>
        <w:t> </w:t>
      </w:r>
      <w:r>
        <w:rPr>
          <w:b/>
          <w:sz w:val="24"/>
          <w:u w:val="single"/>
        </w:rPr>
        <w:t>Component</w:t>
      </w:r>
      <w:r>
        <w:rPr>
          <w:b/>
          <w:spacing w:val="-7"/>
          <w:sz w:val="24"/>
          <w:u w:val="single"/>
        </w:rPr>
        <w:t> </w:t>
      </w:r>
      <w:r>
        <w:rPr>
          <w:b/>
          <w:sz w:val="24"/>
          <w:u w:val="single"/>
        </w:rPr>
        <w:t>Analysis</w:t>
      </w:r>
      <w:r>
        <w:rPr>
          <w:b/>
          <w:spacing w:val="-5"/>
          <w:sz w:val="24"/>
          <w:u w:val="single"/>
        </w:rPr>
        <w:t> </w:t>
      </w:r>
      <w:r>
        <w:rPr>
          <w:b/>
          <w:sz w:val="24"/>
          <w:u w:val="single"/>
        </w:rPr>
        <w:t>at</w:t>
      </w:r>
      <w:r>
        <w:rPr>
          <w:b/>
          <w:spacing w:val="-7"/>
          <w:sz w:val="24"/>
          <w:u w:val="single"/>
        </w:rPr>
        <w:t> </w:t>
      </w:r>
      <w:r>
        <w:rPr>
          <w:b/>
          <w:sz w:val="24"/>
          <w:u w:val="single"/>
        </w:rPr>
        <w:t>the</w:t>
      </w:r>
      <w:r>
        <w:rPr>
          <w:b/>
          <w:spacing w:val="-4"/>
          <w:sz w:val="24"/>
          <w:u w:val="single"/>
        </w:rPr>
        <w:t> </w:t>
      </w:r>
      <w:r>
        <w:rPr>
          <w:b/>
          <w:sz w:val="24"/>
          <w:u w:val="single"/>
        </w:rPr>
        <w:t>Sub-</w:t>
      </w:r>
      <w:r>
        <w:rPr>
          <w:b/>
          <w:spacing w:val="-7"/>
          <w:sz w:val="24"/>
          <w:u w:val="single"/>
        </w:rPr>
        <w:t> </w:t>
      </w:r>
      <w:r>
        <w:rPr>
          <w:b/>
          <w:sz w:val="24"/>
          <w:u w:val="single"/>
        </w:rPr>
        <w:t>Component</w:t>
      </w:r>
      <w:r>
        <w:rPr>
          <w:b/>
          <w:spacing w:val="-6"/>
          <w:sz w:val="24"/>
          <w:u w:val="single"/>
        </w:rPr>
        <w:t> </w:t>
      </w:r>
      <w:r>
        <w:rPr>
          <w:b/>
          <w:spacing w:val="-2"/>
          <w:sz w:val="24"/>
          <w:u w:val="single"/>
        </w:rPr>
        <w:t>Leve</w:t>
      </w:r>
      <w:r>
        <w:rPr>
          <w:b/>
          <w:spacing w:val="-2"/>
          <w:sz w:val="24"/>
        </w:rPr>
        <w:t>l</w:t>
      </w: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9"/>
        <w:gridCol w:w="1031"/>
        <w:gridCol w:w="1086"/>
        <w:gridCol w:w="1274"/>
        <w:gridCol w:w="1526"/>
      </w:tblGrid>
      <w:tr>
        <w:trPr>
          <w:trHeight w:val="306" w:hRule="atLeast"/>
        </w:trPr>
        <w:tc>
          <w:tcPr>
            <w:tcW w:w="8796" w:type="dxa"/>
            <w:gridSpan w:val="5"/>
            <w:tcBorders>
              <w:bottom w:val="single" w:sz="8" w:space="0" w:color="000000"/>
            </w:tcBorders>
          </w:tcPr>
          <w:p>
            <w:pPr>
              <w:pStyle w:val="TableParagraph"/>
              <w:spacing w:line="221" w:lineRule="exact"/>
              <w:ind w:left="107"/>
              <w:rPr>
                <w:b/>
                <w:sz w:val="20"/>
              </w:rPr>
            </w:pPr>
            <w:r>
              <w:rPr>
                <w:b/>
                <w:spacing w:val="-2"/>
                <w:sz w:val="20"/>
              </w:rPr>
              <w:t>RESOURCE</w:t>
            </w:r>
          </w:p>
        </w:tc>
      </w:tr>
      <w:tr>
        <w:trPr>
          <w:trHeight w:val="274" w:hRule="atLeast"/>
        </w:trPr>
        <w:tc>
          <w:tcPr>
            <w:tcW w:w="3879" w:type="dxa"/>
            <w:tcBorders>
              <w:top w:val="single" w:sz="8" w:space="0" w:color="000000"/>
            </w:tcBorders>
          </w:tcPr>
          <w:p>
            <w:pPr>
              <w:pStyle w:val="TableParagraph"/>
              <w:rPr>
                <w:sz w:val="20"/>
              </w:rPr>
            </w:pPr>
          </w:p>
        </w:tc>
        <w:tc>
          <w:tcPr>
            <w:tcW w:w="1031" w:type="dxa"/>
            <w:tcBorders>
              <w:top w:val="single" w:sz="8" w:space="0" w:color="000000"/>
            </w:tcBorders>
          </w:tcPr>
          <w:p>
            <w:pPr>
              <w:pStyle w:val="TableParagraph"/>
              <w:ind w:left="3" w:right="2"/>
              <w:jc w:val="center"/>
              <w:rPr>
                <w:b/>
                <w:sz w:val="20"/>
              </w:rPr>
            </w:pPr>
            <w:r>
              <w:rPr>
                <w:b/>
                <w:spacing w:val="-2"/>
                <w:sz w:val="20"/>
              </w:rPr>
              <w:t>COMP1</w:t>
            </w:r>
          </w:p>
        </w:tc>
        <w:tc>
          <w:tcPr>
            <w:tcW w:w="1086" w:type="dxa"/>
            <w:tcBorders>
              <w:top w:val="single" w:sz="8" w:space="0" w:color="000000"/>
            </w:tcBorders>
          </w:tcPr>
          <w:p>
            <w:pPr>
              <w:pStyle w:val="TableParagraph"/>
              <w:ind w:left="159"/>
              <w:rPr>
                <w:b/>
                <w:sz w:val="20"/>
              </w:rPr>
            </w:pPr>
            <w:r>
              <w:rPr>
                <w:b/>
                <w:spacing w:val="-2"/>
                <w:sz w:val="20"/>
              </w:rPr>
              <w:t>COMP2</w:t>
            </w:r>
          </w:p>
        </w:tc>
        <w:tc>
          <w:tcPr>
            <w:tcW w:w="1274" w:type="dxa"/>
            <w:tcBorders>
              <w:top w:val="single" w:sz="8" w:space="0" w:color="000000"/>
            </w:tcBorders>
          </w:tcPr>
          <w:p>
            <w:pPr>
              <w:pStyle w:val="TableParagraph"/>
              <w:ind w:left="144"/>
              <w:rPr>
                <w:b/>
                <w:sz w:val="20"/>
              </w:rPr>
            </w:pPr>
            <w:r>
              <w:rPr>
                <w:b/>
                <w:spacing w:val="-2"/>
                <w:sz w:val="20"/>
              </w:rPr>
              <w:t>COMP3</w:t>
            </w:r>
          </w:p>
        </w:tc>
        <w:tc>
          <w:tcPr>
            <w:tcW w:w="1526" w:type="dxa"/>
            <w:tcBorders>
              <w:top w:val="single" w:sz="8" w:space="0" w:color="000000"/>
            </w:tcBorders>
          </w:tcPr>
          <w:p>
            <w:pPr>
              <w:pStyle w:val="TableParagraph"/>
              <w:ind w:left="301"/>
              <w:rPr>
                <w:b/>
                <w:sz w:val="20"/>
              </w:rPr>
            </w:pPr>
            <w:r>
              <w:rPr>
                <w:b/>
                <w:spacing w:val="-2"/>
                <w:sz w:val="20"/>
              </w:rPr>
              <w:t>COMP4</w:t>
            </w:r>
          </w:p>
        </w:tc>
      </w:tr>
      <w:tr>
        <w:trPr>
          <w:trHeight w:val="314" w:hRule="atLeast"/>
        </w:trPr>
        <w:tc>
          <w:tcPr>
            <w:tcW w:w="3879" w:type="dxa"/>
          </w:tcPr>
          <w:p>
            <w:pPr>
              <w:pStyle w:val="TableParagraph"/>
              <w:spacing w:before="40"/>
              <w:ind w:left="107"/>
              <w:rPr>
                <w:b/>
                <w:sz w:val="20"/>
              </w:rPr>
            </w:pPr>
            <w:r>
              <w:rPr>
                <w:b/>
                <w:sz w:val="20"/>
              </w:rPr>
              <w:t>Eigen</w:t>
            </w:r>
            <w:r>
              <w:rPr>
                <w:b/>
                <w:spacing w:val="-6"/>
                <w:sz w:val="20"/>
              </w:rPr>
              <w:t> </w:t>
            </w:r>
            <w:r>
              <w:rPr>
                <w:b/>
                <w:spacing w:val="-2"/>
                <w:sz w:val="20"/>
              </w:rPr>
              <w:t>values</w:t>
            </w:r>
          </w:p>
        </w:tc>
        <w:tc>
          <w:tcPr>
            <w:tcW w:w="1031" w:type="dxa"/>
          </w:tcPr>
          <w:p>
            <w:pPr>
              <w:pStyle w:val="TableParagraph"/>
              <w:spacing w:before="35"/>
              <w:ind w:left="3" w:right="2"/>
              <w:jc w:val="center"/>
              <w:rPr>
                <w:sz w:val="20"/>
              </w:rPr>
            </w:pPr>
            <w:r>
              <w:rPr>
                <w:spacing w:val="-4"/>
                <w:sz w:val="20"/>
              </w:rPr>
              <w:t>1.39</w:t>
            </w:r>
          </w:p>
        </w:tc>
        <w:tc>
          <w:tcPr>
            <w:tcW w:w="1086" w:type="dxa"/>
          </w:tcPr>
          <w:p>
            <w:pPr>
              <w:pStyle w:val="TableParagraph"/>
              <w:spacing w:before="35"/>
              <w:ind w:left="411"/>
              <w:rPr>
                <w:sz w:val="20"/>
              </w:rPr>
            </w:pPr>
            <w:r>
              <w:rPr>
                <w:spacing w:val="-4"/>
                <w:sz w:val="20"/>
              </w:rPr>
              <w:t>0.97</w:t>
            </w:r>
          </w:p>
        </w:tc>
        <w:tc>
          <w:tcPr>
            <w:tcW w:w="1274" w:type="dxa"/>
          </w:tcPr>
          <w:p>
            <w:pPr>
              <w:pStyle w:val="TableParagraph"/>
              <w:spacing w:before="35"/>
              <w:ind w:right="345"/>
              <w:jc w:val="right"/>
              <w:rPr>
                <w:sz w:val="20"/>
              </w:rPr>
            </w:pPr>
            <w:r>
              <w:rPr>
                <w:spacing w:val="-4"/>
                <w:sz w:val="20"/>
              </w:rPr>
              <w:t>0.89</w:t>
            </w:r>
          </w:p>
        </w:tc>
        <w:tc>
          <w:tcPr>
            <w:tcW w:w="1526" w:type="dxa"/>
          </w:tcPr>
          <w:p>
            <w:pPr>
              <w:pStyle w:val="TableParagraph"/>
              <w:spacing w:before="35"/>
              <w:ind w:right="487"/>
              <w:jc w:val="right"/>
              <w:rPr>
                <w:sz w:val="20"/>
              </w:rPr>
            </w:pPr>
            <w:r>
              <w:rPr>
                <w:spacing w:val="-4"/>
                <w:sz w:val="20"/>
              </w:rPr>
              <w:t>0.76</w:t>
            </w:r>
          </w:p>
        </w:tc>
      </w:tr>
      <w:tr>
        <w:trPr>
          <w:trHeight w:val="315" w:hRule="atLeast"/>
        </w:trPr>
        <w:tc>
          <w:tcPr>
            <w:tcW w:w="3879" w:type="dxa"/>
          </w:tcPr>
          <w:p>
            <w:pPr>
              <w:pStyle w:val="TableParagraph"/>
              <w:spacing w:before="40"/>
              <w:ind w:left="107"/>
              <w:rPr>
                <w:b/>
                <w:sz w:val="20"/>
              </w:rPr>
            </w:pPr>
            <w:r>
              <w:rPr>
                <w:b/>
                <w:sz w:val="20"/>
              </w:rPr>
              <w:t>Proportion</w:t>
            </w:r>
            <w:r>
              <w:rPr>
                <w:b/>
                <w:spacing w:val="-7"/>
                <w:sz w:val="20"/>
              </w:rPr>
              <w:t> </w:t>
            </w:r>
            <w:r>
              <w:rPr>
                <w:b/>
                <w:sz w:val="20"/>
              </w:rPr>
              <w:t>of</w:t>
            </w:r>
            <w:r>
              <w:rPr>
                <w:b/>
                <w:spacing w:val="-7"/>
                <w:sz w:val="20"/>
              </w:rPr>
              <w:t> </w:t>
            </w:r>
            <w:r>
              <w:rPr>
                <w:b/>
                <w:sz w:val="20"/>
              </w:rPr>
              <w:t>variance</w:t>
            </w:r>
            <w:r>
              <w:rPr>
                <w:b/>
                <w:spacing w:val="-6"/>
                <w:sz w:val="20"/>
              </w:rPr>
              <w:t> </w:t>
            </w:r>
            <w:r>
              <w:rPr>
                <w:b/>
                <w:sz w:val="20"/>
              </w:rPr>
              <w:t>explained</w:t>
            </w:r>
            <w:r>
              <w:rPr>
                <w:b/>
                <w:spacing w:val="-6"/>
                <w:sz w:val="20"/>
              </w:rPr>
              <w:t> </w:t>
            </w:r>
            <w:r>
              <w:rPr>
                <w:b/>
                <w:spacing w:val="-5"/>
                <w:sz w:val="20"/>
              </w:rPr>
              <w:t>(%)</w:t>
            </w:r>
          </w:p>
        </w:tc>
        <w:tc>
          <w:tcPr>
            <w:tcW w:w="1031" w:type="dxa"/>
          </w:tcPr>
          <w:p>
            <w:pPr>
              <w:pStyle w:val="TableParagraph"/>
              <w:spacing w:before="35"/>
              <w:ind w:left="3" w:right="2"/>
              <w:jc w:val="center"/>
              <w:rPr>
                <w:sz w:val="20"/>
              </w:rPr>
            </w:pPr>
            <w:r>
              <w:rPr>
                <w:spacing w:val="-2"/>
                <w:sz w:val="20"/>
              </w:rPr>
              <w:t>34.70</w:t>
            </w:r>
          </w:p>
        </w:tc>
        <w:tc>
          <w:tcPr>
            <w:tcW w:w="1086" w:type="dxa"/>
          </w:tcPr>
          <w:p>
            <w:pPr>
              <w:pStyle w:val="TableParagraph"/>
              <w:spacing w:before="35"/>
              <w:ind w:left="361"/>
              <w:rPr>
                <w:sz w:val="20"/>
              </w:rPr>
            </w:pPr>
            <w:r>
              <w:rPr>
                <w:spacing w:val="-2"/>
                <w:sz w:val="20"/>
              </w:rPr>
              <w:t>24.15</w:t>
            </w:r>
          </w:p>
        </w:tc>
        <w:tc>
          <w:tcPr>
            <w:tcW w:w="1274" w:type="dxa"/>
          </w:tcPr>
          <w:p>
            <w:pPr>
              <w:pStyle w:val="TableParagraph"/>
              <w:spacing w:before="35"/>
              <w:ind w:right="297"/>
              <w:jc w:val="right"/>
              <w:rPr>
                <w:sz w:val="20"/>
              </w:rPr>
            </w:pPr>
            <w:r>
              <w:rPr>
                <w:spacing w:val="-2"/>
                <w:sz w:val="20"/>
              </w:rPr>
              <w:t>22.17</w:t>
            </w:r>
          </w:p>
        </w:tc>
        <w:tc>
          <w:tcPr>
            <w:tcW w:w="1526" w:type="dxa"/>
          </w:tcPr>
          <w:p>
            <w:pPr>
              <w:pStyle w:val="TableParagraph"/>
              <w:spacing w:before="35"/>
              <w:ind w:right="437"/>
              <w:jc w:val="right"/>
              <w:rPr>
                <w:sz w:val="20"/>
              </w:rPr>
            </w:pPr>
            <w:r>
              <w:rPr>
                <w:spacing w:val="-2"/>
                <w:sz w:val="20"/>
              </w:rPr>
              <w:t>18.98</w:t>
            </w:r>
          </w:p>
        </w:tc>
      </w:tr>
      <w:tr>
        <w:trPr>
          <w:trHeight w:val="661" w:hRule="atLeast"/>
        </w:trPr>
        <w:tc>
          <w:tcPr>
            <w:tcW w:w="3879" w:type="dxa"/>
          </w:tcPr>
          <w:p>
            <w:pPr>
              <w:pStyle w:val="TableParagraph"/>
              <w:tabs>
                <w:tab w:pos="1364" w:val="left" w:leader="none"/>
                <w:tab w:pos="2558" w:val="left" w:leader="none"/>
                <w:tab w:pos="2984" w:val="left" w:leader="none"/>
              </w:tabs>
              <w:spacing w:before="41"/>
              <w:ind w:left="107" w:right="158"/>
              <w:rPr>
                <w:b/>
                <w:sz w:val="20"/>
              </w:rPr>
            </w:pPr>
            <w:r>
              <w:rPr>
                <w:b/>
                <w:spacing w:val="-2"/>
                <w:sz w:val="20"/>
              </w:rPr>
              <w:t>Cumulative</w:t>
            </w:r>
            <w:r>
              <w:rPr>
                <w:b/>
                <w:sz w:val="20"/>
              </w:rPr>
              <w:tab/>
            </w:r>
            <w:r>
              <w:rPr>
                <w:b/>
                <w:spacing w:val="-2"/>
                <w:sz w:val="20"/>
              </w:rPr>
              <w:t>proportion</w:t>
            </w:r>
            <w:r>
              <w:rPr>
                <w:b/>
                <w:sz w:val="20"/>
              </w:rPr>
              <w:tab/>
            </w:r>
            <w:r>
              <w:rPr>
                <w:b/>
                <w:spacing w:val="-6"/>
                <w:sz w:val="20"/>
              </w:rPr>
              <w:t>of</w:t>
            </w:r>
            <w:r>
              <w:rPr>
                <w:b/>
                <w:sz w:val="20"/>
              </w:rPr>
              <w:tab/>
            </w:r>
            <w:r>
              <w:rPr>
                <w:b/>
                <w:spacing w:val="-2"/>
                <w:sz w:val="20"/>
              </w:rPr>
              <w:t>variance </w:t>
            </w:r>
            <w:r>
              <w:rPr>
                <w:b/>
                <w:sz w:val="20"/>
              </w:rPr>
              <w:t>explained (%)</w:t>
            </w:r>
          </w:p>
        </w:tc>
        <w:tc>
          <w:tcPr>
            <w:tcW w:w="1031" w:type="dxa"/>
          </w:tcPr>
          <w:p>
            <w:pPr>
              <w:pStyle w:val="TableParagraph"/>
              <w:spacing w:before="36"/>
              <w:ind w:left="3" w:right="2"/>
              <w:jc w:val="center"/>
              <w:rPr>
                <w:sz w:val="20"/>
              </w:rPr>
            </w:pPr>
            <w:r>
              <w:rPr>
                <w:spacing w:val="-2"/>
                <w:sz w:val="20"/>
              </w:rPr>
              <w:t>34.70</w:t>
            </w:r>
          </w:p>
        </w:tc>
        <w:tc>
          <w:tcPr>
            <w:tcW w:w="1086" w:type="dxa"/>
          </w:tcPr>
          <w:p>
            <w:pPr>
              <w:pStyle w:val="TableParagraph"/>
              <w:spacing w:before="36"/>
              <w:ind w:left="361"/>
              <w:rPr>
                <w:sz w:val="20"/>
              </w:rPr>
            </w:pPr>
            <w:r>
              <w:rPr>
                <w:spacing w:val="-2"/>
                <w:sz w:val="20"/>
              </w:rPr>
              <w:t>58.85</w:t>
            </w:r>
          </w:p>
        </w:tc>
        <w:tc>
          <w:tcPr>
            <w:tcW w:w="1274" w:type="dxa"/>
          </w:tcPr>
          <w:p>
            <w:pPr>
              <w:pStyle w:val="TableParagraph"/>
              <w:spacing w:before="36"/>
              <w:ind w:right="297"/>
              <w:jc w:val="right"/>
              <w:rPr>
                <w:sz w:val="20"/>
              </w:rPr>
            </w:pPr>
            <w:r>
              <w:rPr>
                <w:spacing w:val="-2"/>
                <w:sz w:val="20"/>
              </w:rPr>
              <w:t>81.02</w:t>
            </w:r>
          </w:p>
        </w:tc>
        <w:tc>
          <w:tcPr>
            <w:tcW w:w="1526" w:type="dxa"/>
          </w:tcPr>
          <w:p>
            <w:pPr>
              <w:pStyle w:val="TableParagraph"/>
              <w:spacing w:before="36"/>
              <w:ind w:right="389"/>
              <w:jc w:val="right"/>
              <w:rPr>
                <w:sz w:val="20"/>
              </w:rPr>
            </w:pPr>
            <w:r>
              <w:rPr>
                <w:spacing w:val="-2"/>
                <w:sz w:val="20"/>
              </w:rPr>
              <w:t>100.00</w:t>
            </w:r>
          </w:p>
        </w:tc>
      </w:tr>
      <w:tr>
        <w:trPr>
          <w:trHeight w:val="428" w:hRule="atLeast"/>
        </w:trPr>
        <w:tc>
          <w:tcPr>
            <w:tcW w:w="3879" w:type="dxa"/>
          </w:tcPr>
          <w:p>
            <w:pPr>
              <w:pStyle w:val="TableParagraph"/>
              <w:spacing w:before="153"/>
              <w:ind w:left="158"/>
              <w:rPr>
                <w:b/>
                <w:sz w:val="20"/>
              </w:rPr>
            </w:pPr>
            <w:r>
              <w:rPr>
                <w:b/>
                <w:spacing w:val="-2"/>
                <w:sz w:val="20"/>
              </w:rPr>
              <w:t>ACCESS</w:t>
            </w:r>
          </w:p>
        </w:tc>
        <w:tc>
          <w:tcPr>
            <w:tcW w:w="1031" w:type="dxa"/>
          </w:tcPr>
          <w:p>
            <w:pPr>
              <w:pStyle w:val="TableParagraph"/>
              <w:spacing w:before="153"/>
              <w:ind w:left="3" w:right="2"/>
              <w:jc w:val="center"/>
              <w:rPr>
                <w:b/>
                <w:sz w:val="20"/>
              </w:rPr>
            </w:pPr>
            <w:r>
              <w:rPr>
                <w:b/>
                <w:spacing w:val="-2"/>
                <w:sz w:val="20"/>
              </w:rPr>
              <w:t>COMP1</w:t>
            </w:r>
          </w:p>
        </w:tc>
        <w:tc>
          <w:tcPr>
            <w:tcW w:w="1086" w:type="dxa"/>
          </w:tcPr>
          <w:p>
            <w:pPr>
              <w:pStyle w:val="TableParagraph"/>
              <w:spacing w:before="153"/>
              <w:ind w:left="159"/>
              <w:rPr>
                <w:b/>
                <w:sz w:val="20"/>
              </w:rPr>
            </w:pPr>
            <w:r>
              <w:rPr>
                <w:b/>
                <w:spacing w:val="-2"/>
                <w:sz w:val="20"/>
              </w:rPr>
              <w:t>COMP2</w:t>
            </w:r>
          </w:p>
        </w:tc>
        <w:tc>
          <w:tcPr>
            <w:tcW w:w="1274" w:type="dxa"/>
          </w:tcPr>
          <w:p>
            <w:pPr>
              <w:pStyle w:val="TableParagraph"/>
              <w:spacing w:before="153"/>
              <w:ind w:left="144"/>
              <w:rPr>
                <w:b/>
                <w:sz w:val="20"/>
              </w:rPr>
            </w:pPr>
            <w:r>
              <w:rPr>
                <w:b/>
                <w:spacing w:val="-2"/>
                <w:sz w:val="20"/>
              </w:rPr>
              <w:t>COMP3</w:t>
            </w:r>
          </w:p>
        </w:tc>
        <w:tc>
          <w:tcPr>
            <w:tcW w:w="1526" w:type="dxa"/>
          </w:tcPr>
          <w:p>
            <w:pPr>
              <w:pStyle w:val="TableParagraph"/>
              <w:spacing w:before="153"/>
              <w:ind w:left="301"/>
              <w:rPr>
                <w:b/>
                <w:sz w:val="20"/>
              </w:rPr>
            </w:pPr>
            <w:r>
              <w:rPr>
                <w:b/>
                <w:spacing w:val="-2"/>
                <w:sz w:val="20"/>
              </w:rPr>
              <w:t>COMP4</w:t>
            </w:r>
          </w:p>
        </w:tc>
      </w:tr>
      <w:tr>
        <w:trPr>
          <w:trHeight w:val="315" w:hRule="atLeast"/>
        </w:trPr>
        <w:tc>
          <w:tcPr>
            <w:tcW w:w="3879" w:type="dxa"/>
          </w:tcPr>
          <w:p>
            <w:pPr>
              <w:pStyle w:val="TableParagraph"/>
              <w:spacing w:before="41"/>
              <w:ind w:left="107"/>
              <w:rPr>
                <w:b/>
                <w:sz w:val="20"/>
              </w:rPr>
            </w:pPr>
            <w:r>
              <w:rPr>
                <w:b/>
                <w:sz w:val="20"/>
              </w:rPr>
              <w:t>Eigen</w:t>
            </w:r>
            <w:r>
              <w:rPr>
                <w:b/>
                <w:spacing w:val="-6"/>
                <w:sz w:val="20"/>
              </w:rPr>
              <w:t> </w:t>
            </w:r>
            <w:r>
              <w:rPr>
                <w:b/>
                <w:spacing w:val="-2"/>
                <w:sz w:val="20"/>
              </w:rPr>
              <w:t>values</w:t>
            </w:r>
          </w:p>
        </w:tc>
        <w:tc>
          <w:tcPr>
            <w:tcW w:w="1031" w:type="dxa"/>
          </w:tcPr>
          <w:p>
            <w:pPr>
              <w:pStyle w:val="TableParagraph"/>
              <w:spacing w:before="36"/>
              <w:ind w:left="3" w:right="2"/>
              <w:jc w:val="center"/>
              <w:rPr>
                <w:sz w:val="20"/>
              </w:rPr>
            </w:pPr>
            <w:r>
              <w:rPr>
                <w:spacing w:val="-4"/>
                <w:sz w:val="20"/>
              </w:rPr>
              <w:t>1.28</w:t>
            </w:r>
          </w:p>
        </w:tc>
        <w:tc>
          <w:tcPr>
            <w:tcW w:w="1086" w:type="dxa"/>
          </w:tcPr>
          <w:p>
            <w:pPr>
              <w:pStyle w:val="TableParagraph"/>
              <w:spacing w:before="36"/>
              <w:ind w:left="411"/>
              <w:rPr>
                <w:sz w:val="20"/>
              </w:rPr>
            </w:pPr>
            <w:r>
              <w:rPr>
                <w:spacing w:val="-4"/>
                <w:sz w:val="20"/>
              </w:rPr>
              <w:t>1.16</w:t>
            </w:r>
          </w:p>
        </w:tc>
        <w:tc>
          <w:tcPr>
            <w:tcW w:w="1274" w:type="dxa"/>
          </w:tcPr>
          <w:p>
            <w:pPr>
              <w:pStyle w:val="TableParagraph"/>
              <w:spacing w:before="36"/>
              <w:ind w:right="347"/>
              <w:jc w:val="right"/>
              <w:rPr>
                <w:sz w:val="20"/>
              </w:rPr>
            </w:pPr>
            <w:r>
              <w:rPr>
                <w:spacing w:val="-4"/>
                <w:sz w:val="20"/>
              </w:rPr>
              <w:t>1.00</w:t>
            </w:r>
          </w:p>
        </w:tc>
        <w:tc>
          <w:tcPr>
            <w:tcW w:w="1526" w:type="dxa"/>
          </w:tcPr>
          <w:p>
            <w:pPr>
              <w:pStyle w:val="TableParagraph"/>
              <w:spacing w:before="36"/>
              <w:ind w:right="487"/>
              <w:jc w:val="right"/>
              <w:rPr>
                <w:sz w:val="20"/>
              </w:rPr>
            </w:pPr>
            <w:r>
              <w:rPr>
                <w:spacing w:val="-4"/>
                <w:sz w:val="20"/>
              </w:rPr>
              <w:t>0.80</w:t>
            </w:r>
          </w:p>
        </w:tc>
      </w:tr>
      <w:tr>
        <w:trPr>
          <w:trHeight w:val="314" w:hRule="atLeast"/>
        </w:trPr>
        <w:tc>
          <w:tcPr>
            <w:tcW w:w="3879" w:type="dxa"/>
          </w:tcPr>
          <w:p>
            <w:pPr>
              <w:pStyle w:val="TableParagraph"/>
              <w:spacing w:before="40"/>
              <w:ind w:left="107"/>
              <w:rPr>
                <w:b/>
                <w:sz w:val="20"/>
              </w:rPr>
            </w:pPr>
            <w:r>
              <w:rPr>
                <w:b/>
                <w:sz w:val="20"/>
              </w:rPr>
              <w:t>Proportion</w:t>
            </w:r>
            <w:r>
              <w:rPr>
                <w:b/>
                <w:spacing w:val="-7"/>
                <w:sz w:val="20"/>
              </w:rPr>
              <w:t> </w:t>
            </w:r>
            <w:r>
              <w:rPr>
                <w:b/>
                <w:sz w:val="20"/>
              </w:rPr>
              <w:t>of</w:t>
            </w:r>
            <w:r>
              <w:rPr>
                <w:b/>
                <w:spacing w:val="-7"/>
                <w:sz w:val="20"/>
              </w:rPr>
              <w:t> </w:t>
            </w:r>
            <w:r>
              <w:rPr>
                <w:b/>
                <w:sz w:val="20"/>
              </w:rPr>
              <w:t>variance</w:t>
            </w:r>
            <w:r>
              <w:rPr>
                <w:b/>
                <w:spacing w:val="-6"/>
                <w:sz w:val="20"/>
              </w:rPr>
              <w:t> </w:t>
            </w:r>
            <w:r>
              <w:rPr>
                <w:b/>
                <w:sz w:val="20"/>
              </w:rPr>
              <w:t>explained</w:t>
            </w:r>
            <w:r>
              <w:rPr>
                <w:b/>
                <w:spacing w:val="-6"/>
                <w:sz w:val="20"/>
              </w:rPr>
              <w:t> </w:t>
            </w:r>
            <w:r>
              <w:rPr>
                <w:b/>
                <w:spacing w:val="-5"/>
                <w:sz w:val="20"/>
              </w:rPr>
              <w:t>(%)</w:t>
            </w:r>
          </w:p>
        </w:tc>
        <w:tc>
          <w:tcPr>
            <w:tcW w:w="1031" w:type="dxa"/>
          </w:tcPr>
          <w:p>
            <w:pPr>
              <w:pStyle w:val="TableParagraph"/>
              <w:spacing w:before="35"/>
              <w:ind w:left="3" w:right="2"/>
              <w:jc w:val="center"/>
              <w:rPr>
                <w:sz w:val="20"/>
              </w:rPr>
            </w:pPr>
            <w:r>
              <w:rPr>
                <w:spacing w:val="-2"/>
                <w:sz w:val="20"/>
              </w:rPr>
              <w:t>25.52</w:t>
            </w:r>
          </w:p>
        </w:tc>
        <w:tc>
          <w:tcPr>
            <w:tcW w:w="1086" w:type="dxa"/>
          </w:tcPr>
          <w:p>
            <w:pPr>
              <w:pStyle w:val="TableParagraph"/>
              <w:spacing w:before="35"/>
              <w:ind w:left="361"/>
              <w:rPr>
                <w:sz w:val="20"/>
              </w:rPr>
            </w:pPr>
            <w:r>
              <w:rPr>
                <w:spacing w:val="-2"/>
                <w:sz w:val="20"/>
              </w:rPr>
              <w:t>23.11</w:t>
            </w:r>
          </w:p>
        </w:tc>
        <w:tc>
          <w:tcPr>
            <w:tcW w:w="1274" w:type="dxa"/>
          </w:tcPr>
          <w:p>
            <w:pPr>
              <w:pStyle w:val="TableParagraph"/>
              <w:spacing w:before="35"/>
              <w:ind w:right="297"/>
              <w:jc w:val="right"/>
              <w:rPr>
                <w:sz w:val="20"/>
              </w:rPr>
            </w:pPr>
            <w:r>
              <w:rPr>
                <w:spacing w:val="-2"/>
                <w:sz w:val="20"/>
              </w:rPr>
              <w:t>20.08</w:t>
            </w:r>
          </w:p>
        </w:tc>
        <w:tc>
          <w:tcPr>
            <w:tcW w:w="1526" w:type="dxa"/>
          </w:tcPr>
          <w:p>
            <w:pPr>
              <w:pStyle w:val="TableParagraph"/>
              <w:spacing w:before="35"/>
              <w:ind w:right="437"/>
              <w:jc w:val="right"/>
              <w:rPr>
                <w:sz w:val="20"/>
              </w:rPr>
            </w:pPr>
            <w:r>
              <w:rPr>
                <w:spacing w:val="-2"/>
                <w:sz w:val="20"/>
              </w:rPr>
              <w:t>15.91</w:t>
            </w:r>
          </w:p>
        </w:tc>
      </w:tr>
      <w:tr>
        <w:trPr>
          <w:trHeight w:val="505" w:hRule="atLeast"/>
        </w:trPr>
        <w:tc>
          <w:tcPr>
            <w:tcW w:w="3879" w:type="dxa"/>
          </w:tcPr>
          <w:p>
            <w:pPr>
              <w:pStyle w:val="TableParagraph"/>
              <w:tabs>
                <w:tab w:pos="1364" w:val="left" w:leader="none"/>
                <w:tab w:pos="2558" w:val="left" w:leader="none"/>
                <w:tab w:pos="2984" w:val="left" w:leader="none"/>
              </w:tabs>
              <w:spacing w:line="230" w:lineRule="atLeast" w:before="25"/>
              <w:ind w:left="107" w:right="158"/>
              <w:rPr>
                <w:b/>
                <w:sz w:val="20"/>
              </w:rPr>
            </w:pPr>
            <w:r>
              <w:rPr>
                <w:b/>
                <w:spacing w:val="-2"/>
                <w:sz w:val="20"/>
              </w:rPr>
              <w:t>Cumulative</w:t>
            </w:r>
            <w:r>
              <w:rPr>
                <w:b/>
                <w:sz w:val="20"/>
              </w:rPr>
              <w:tab/>
            </w:r>
            <w:r>
              <w:rPr>
                <w:b/>
                <w:spacing w:val="-2"/>
                <w:sz w:val="20"/>
              </w:rPr>
              <w:t>proportion</w:t>
            </w:r>
            <w:r>
              <w:rPr>
                <w:b/>
                <w:sz w:val="20"/>
              </w:rPr>
              <w:tab/>
            </w:r>
            <w:r>
              <w:rPr>
                <w:b/>
                <w:spacing w:val="-6"/>
                <w:sz w:val="20"/>
              </w:rPr>
              <w:t>of</w:t>
            </w:r>
            <w:r>
              <w:rPr>
                <w:b/>
                <w:sz w:val="20"/>
              </w:rPr>
              <w:tab/>
            </w:r>
            <w:r>
              <w:rPr>
                <w:b/>
                <w:spacing w:val="-2"/>
                <w:sz w:val="20"/>
              </w:rPr>
              <w:t>variance </w:t>
            </w:r>
            <w:r>
              <w:rPr>
                <w:b/>
                <w:sz w:val="20"/>
              </w:rPr>
              <w:t>explained (%)</w:t>
            </w:r>
          </w:p>
        </w:tc>
        <w:tc>
          <w:tcPr>
            <w:tcW w:w="1031" w:type="dxa"/>
          </w:tcPr>
          <w:p>
            <w:pPr>
              <w:pStyle w:val="TableParagraph"/>
              <w:spacing w:before="35"/>
              <w:ind w:left="3" w:right="2"/>
              <w:jc w:val="center"/>
              <w:rPr>
                <w:sz w:val="20"/>
              </w:rPr>
            </w:pPr>
            <w:r>
              <w:rPr>
                <w:spacing w:val="-2"/>
                <w:sz w:val="20"/>
              </w:rPr>
              <w:t>25.52</w:t>
            </w:r>
          </w:p>
        </w:tc>
        <w:tc>
          <w:tcPr>
            <w:tcW w:w="1086" w:type="dxa"/>
          </w:tcPr>
          <w:p>
            <w:pPr>
              <w:pStyle w:val="TableParagraph"/>
              <w:spacing w:before="35"/>
              <w:ind w:left="361"/>
              <w:rPr>
                <w:sz w:val="20"/>
              </w:rPr>
            </w:pPr>
            <w:r>
              <w:rPr>
                <w:spacing w:val="-2"/>
                <w:sz w:val="20"/>
              </w:rPr>
              <w:t>48.63</w:t>
            </w:r>
          </w:p>
        </w:tc>
        <w:tc>
          <w:tcPr>
            <w:tcW w:w="1274" w:type="dxa"/>
          </w:tcPr>
          <w:p>
            <w:pPr>
              <w:pStyle w:val="TableParagraph"/>
              <w:spacing w:before="35"/>
              <w:ind w:right="297"/>
              <w:jc w:val="right"/>
              <w:rPr>
                <w:sz w:val="20"/>
              </w:rPr>
            </w:pPr>
            <w:r>
              <w:rPr>
                <w:spacing w:val="-2"/>
                <w:sz w:val="20"/>
              </w:rPr>
              <w:t>68.71</w:t>
            </w:r>
          </w:p>
        </w:tc>
        <w:tc>
          <w:tcPr>
            <w:tcW w:w="1526" w:type="dxa"/>
          </w:tcPr>
          <w:p>
            <w:pPr>
              <w:pStyle w:val="TableParagraph"/>
              <w:spacing w:before="35"/>
              <w:ind w:right="437"/>
              <w:jc w:val="right"/>
              <w:rPr>
                <w:sz w:val="20"/>
              </w:rPr>
            </w:pPr>
            <w:r>
              <w:rPr>
                <w:spacing w:val="-2"/>
                <w:sz w:val="20"/>
              </w:rPr>
              <w:t>84.63</w:t>
            </w:r>
          </w:p>
        </w:tc>
      </w:tr>
      <w:tr>
        <w:trPr>
          <w:trHeight w:val="277" w:hRule="atLeast"/>
        </w:trPr>
        <w:tc>
          <w:tcPr>
            <w:tcW w:w="3879" w:type="dxa"/>
          </w:tcPr>
          <w:p>
            <w:pPr>
              <w:pStyle w:val="TableParagraph"/>
              <w:rPr>
                <w:sz w:val="20"/>
              </w:rPr>
            </w:pPr>
          </w:p>
        </w:tc>
        <w:tc>
          <w:tcPr>
            <w:tcW w:w="1031" w:type="dxa"/>
          </w:tcPr>
          <w:p>
            <w:pPr>
              <w:pStyle w:val="TableParagraph"/>
              <w:spacing w:line="226" w:lineRule="exact"/>
              <w:ind w:left="3" w:right="2"/>
              <w:jc w:val="center"/>
              <w:rPr>
                <w:b/>
                <w:sz w:val="20"/>
              </w:rPr>
            </w:pPr>
            <w:r>
              <w:rPr>
                <w:b/>
                <w:spacing w:val="-2"/>
                <w:sz w:val="20"/>
              </w:rPr>
              <w:t>COMP5</w:t>
            </w:r>
          </w:p>
        </w:tc>
        <w:tc>
          <w:tcPr>
            <w:tcW w:w="1086" w:type="dxa"/>
          </w:tcPr>
          <w:p>
            <w:pPr>
              <w:pStyle w:val="TableParagraph"/>
              <w:rPr>
                <w:sz w:val="20"/>
              </w:rPr>
            </w:pPr>
          </w:p>
        </w:tc>
        <w:tc>
          <w:tcPr>
            <w:tcW w:w="1274" w:type="dxa"/>
          </w:tcPr>
          <w:p>
            <w:pPr>
              <w:pStyle w:val="TableParagraph"/>
              <w:rPr>
                <w:sz w:val="20"/>
              </w:rPr>
            </w:pPr>
          </w:p>
        </w:tc>
        <w:tc>
          <w:tcPr>
            <w:tcW w:w="1526" w:type="dxa"/>
          </w:tcPr>
          <w:p>
            <w:pPr>
              <w:pStyle w:val="TableParagraph"/>
              <w:rPr>
                <w:sz w:val="20"/>
              </w:rPr>
            </w:pPr>
          </w:p>
        </w:tc>
      </w:tr>
      <w:tr>
        <w:trPr>
          <w:trHeight w:val="327" w:hRule="atLeast"/>
        </w:trPr>
        <w:tc>
          <w:tcPr>
            <w:tcW w:w="3879" w:type="dxa"/>
          </w:tcPr>
          <w:p>
            <w:pPr>
              <w:pStyle w:val="TableParagraph"/>
              <w:rPr>
                <w:sz w:val="20"/>
              </w:rPr>
            </w:pPr>
          </w:p>
        </w:tc>
        <w:tc>
          <w:tcPr>
            <w:tcW w:w="1031" w:type="dxa"/>
          </w:tcPr>
          <w:p>
            <w:pPr>
              <w:pStyle w:val="TableParagraph"/>
              <w:spacing w:before="42"/>
              <w:ind w:left="3" w:right="2"/>
              <w:jc w:val="center"/>
              <w:rPr>
                <w:sz w:val="20"/>
              </w:rPr>
            </w:pPr>
            <w:r>
              <w:rPr>
                <w:spacing w:val="-4"/>
                <w:sz w:val="20"/>
              </w:rPr>
              <w:t>0.77</w:t>
            </w:r>
          </w:p>
        </w:tc>
        <w:tc>
          <w:tcPr>
            <w:tcW w:w="1086" w:type="dxa"/>
          </w:tcPr>
          <w:p>
            <w:pPr>
              <w:pStyle w:val="TableParagraph"/>
              <w:rPr>
                <w:sz w:val="20"/>
              </w:rPr>
            </w:pPr>
          </w:p>
        </w:tc>
        <w:tc>
          <w:tcPr>
            <w:tcW w:w="1274" w:type="dxa"/>
          </w:tcPr>
          <w:p>
            <w:pPr>
              <w:pStyle w:val="TableParagraph"/>
              <w:rPr>
                <w:sz w:val="20"/>
              </w:rPr>
            </w:pPr>
          </w:p>
        </w:tc>
        <w:tc>
          <w:tcPr>
            <w:tcW w:w="1526" w:type="dxa"/>
          </w:tcPr>
          <w:p>
            <w:pPr>
              <w:pStyle w:val="TableParagraph"/>
              <w:rPr>
                <w:sz w:val="20"/>
              </w:rPr>
            </w:pPr>
          </w:p>
        </w:tc>
      </w:tr>
      <w:tr>
        <w:trPr>
          <w:trHeight w:val="330" w:hRule="atLeast"/>
        </w:trPr>
        <w:tc>
          <w:tcPr>
            <w:tcW w:w="3879" w:type="dxa"/>
          </w:tcPr>
          <w:p>
            <w:pPr>
              <w:pStyle w:val="TableParagraph"/>
              <w:rPr>
                <w:sz w:val="20"/>
              </w:rPr>
            </w:pPr>
          </w:p>
        </w:tc>
        <w:tc>
          <w:tcPr>
            <w:tcW w:w="1031" w:type="dxa"/>
          </w:tcPr>
          <w:p>
            <w:pPr>
              <w:pStyle w:val="TableParagraph"/>
              <w:spacing w:before="46"/>
              <w:ind w:left="3" w:right="2"/>
              <w:jc w:val="center"/>
              <w:rPr>
                <w:sz w:val="20"/>
              </w:rPr>
            </w:pPr>
            <w:r>
              <w:rPr>
                <w:spacing w:val="-2"/>
                <w:sz w:val="20"/>
              </w:rPr>
              <w:t>15.37</w:t>
            </w:r>
          </w:p>
        </w:tc>
        <w:tc>
          <w:tcPr>
            <w:tcW w:w="1086" w:type="dxa"/>
          </w:tcPr>
          <w:p>
            <w:pPr>
              <w:pStyle w:val="TableParagraph"/>
              <w:rPr>
                <w:sz w:val="20"/>
              </w:rPr>
            </w:pPr>
          </w:p>
        </w:tc>
        <w:tc>
          <w:tcPr>
            <w:tcW w:w="1274" w:type="dxa"/>
          </w:tcPr>
          <w:p>
            <w:pPr>
              <w:pStyle w:val="TableParagraph"/>
              <w:rPr>
                <w:sz w:val="20"/>
              </w:rPr>
            </w:pPr>
          </w:p>
        </w:tc>
        <w:tc>
          <w:tcPr>
            <w:tcW w:w="1526" w:type="dxa"/>
          </w:tcPr>
          <w:p>
            <w:pPr>
              <w:pStyle w:val="TableParagraph"/>
              <w:rPr>
                <w:sz w:val="20"/>
              </w:rPr>
            </w:pPr>
          </w:p>
        </w:tc>
      </w:tr>
      <w:tr>
        <w:trPr>
          <w:trHeight w:val="489" w:hRule="atLeast"/>
        </w:trPr>
        <w:tc>
          <w:tcPr>
            <w:tcW w:w="3879" w:type="dxa"/>
          </w:tcPr>
          <w:p>
            <w:pPr>
              <w:pStyle w:val="TableParagraph"/>
              <w:rPr>
                <w:sz w:val="20"/>
              </w:rPr>
            </w:pPr>
          </w:p>
        </w:tc>
        <w:tc>
          <w:tcPr>
            <w:tcW w:w="1031" w:type="dxa"/>
          </w:tcPr>
          <w:p>
            <w:pPr>
              <w:pStyle w:val="TableParagraph"/>
              <w:spacing w:before="45"/>
              <w:ind w:left="3" w:right="4"/>
              <w:jc w:val="center"/>
              <w:rPr>
                <w:sz w:val="20"/>
              </w:rPr>
            </w:pPr>
            <w:r>
              <w:rPr>
                <w:spacing w:val="-2"/>
                <w:sz w:val="20"/>
              </w:rPr>
              <w:t>100.00</w:t>
            </w:r>
          </w:p>
        </w:tc>
        <w:tc>
          <w:tcPr>
            <w:tcW w:w="1086" w:type="dxa"/>
          </w:tcPr>
          <w:p>
            <w:pPr>
              <w:pStyle w:val="TableParagraph"/>
              <w:rPr>
                <w:sz w:val="20"/>
              </w:rPr>
            </w:pPr>
          </w:p>
        </w:tc>
        <w:tc>
          <w:tcPr>
            <w:tcW w:w="1274" w:type="dxa"/>
          </w:tcPr>
          <w:p>
            <w:pPr>
              <w:pStyle w:val="TableParagraph"/>
              <w:rPr>
                <w:sz w:val="20"/>
              </w:rPr>
            </w:pPr>
          </w:p>
        </w:tc>
        <w:tc>
          <w:tcPr>
            <w:tcW w:w="1526" w:type="dxa"/>
          </w:tcPr>
          <w:p>
            <w:pPr>
              <w:pStyle w:val="TableParagraph"/>
              <w:rPr>
                <w:sz w:val="20"/>
              </w:rPr>
            </w:pPr>
          </w:p>
        </w:tc>
      </w:tr>
      <w:tr>
        <w:trPr>
          <w:trHeight w:val="480" w:hRule="atLeast"/>
        </w:trPr>
        <w:tc>
          <w:tcPr>
            <w:tcW w:w="3879" w:type="dxa"/>
          </w:tcPr>
          <w:p>
            <w:pPr>
              <w:pStyle w:val="TableParagraph"/>
              <w:spacing w:before="205"/>
              <w:ind w:left="158"/>
              <w:rPr>
                <w:b/>
                <w:sz w:val="20"/>
              </w:rPr>
            </w:pPr>
            <w:r>
              <w:rPr>
                <w:b/>
                <w:spacing w:val="-2"/>
                <w:sz w:val="20"/>
              </w:rPr>
              <w:t>CAPACITY</w:t>
            </w:r>
          </w:p>
        </w:tc>
        <w:tc>
          <w:tcPr>
            <w:tcW w:w="1031" w:type="dxa"/>
          </w:tcPr>
          <w:p>
            <w:pPr>
              <w:pStyle w:val="TableParagraph"/>
              <w:spacing w:before="205"/>
              <w:ind w:left="3" w:right="2"/>
              <w:jc w:val="center"/>
              <w:rPr>
                <w:b/>
                <w:sz w:val="20"/>
              </w:rPr>
            </w:pPr>
            <w:r>
              <w:rPr>
                <w:b/>
                <w:spacing w:val="-2"/>
                <w:sz w:val="20"/>
              </w:rPr>
              <w:t>COMP1</w:t>
            </w:r>
          </w:p>
        </w:tc>
        <w:tc>
          <w:tcPr>
            <w:tcW w:w="1086" w:type="dxa"/>
          </w:tcPr>
          <w:p>
            <w:pPr>
              <w:pStyle w:val="TableParagraph"/>
              <w:spacing w:before="205"/>
              <w:ind w:left="159"/>
              <w:rPr>
                <w:b/>
                <w:sz w:val="20"/>
              </w:rPr>
            </w:pPr>
            <w:r>
              <w:rPr>
                <w:b/>
                <w:spacing w:val="-2"/>
                <w:sz w:val="20"/>
              </w:rPr>
              <w:t>COMP2</w:t>
            </w:r>
          </w:p>
        </w:tc>
        <w:tc>
          <w:tcPr>
            <w:tcW w:w="1274" w:type="dxa"/>
          </w:tcPr>
          <w:p>
            <w:pPr>
              <w:pStyle w:val="TableParagraph"/>
              <w:spacing w:before="205"/>
              <w:ind w:left="144"/>
              <w:rPr>
                <w:b/>
                <w:sz w:val="20"/>
              </w:rPr>
            </w:pPr>
            <w:r>
              <w:rPr>
                <w:b/>
                <w:spacing w:val="-2"/>
                <w:sz w:val="20"/>
              </w:rPr>
              <w:t>COMP3</w:t>
            </w:r>
          </w:p>
        </w:tc>
        <w:tc>
          <w:tcPr>
            <w:tcW w:w="1526" w:type="dxa"/>
          </w:tcPr>
          <w:p>
            <w:pPr>
              <w:pStyle w:val="TableParagraph"/>
              <w:spacing w:before="205"/>
              <w:ind w:left="301"/>
              <w:rPr>
                <w:b/>
                <w:sz w:val="20"/>
              </w:rPr>
            </w:pPr>
            <w:r>
              <w:rPr>
                <w:b/>
                <w:spacing w:val="-2"/>
                <w:sz w:val="20"/>
              </w:rPr>
              <w:t>COMP4</w:t>
            </w:r>
          </w:p>
        </w:tc>
      </w:tr>
      <w:tr>
        <w:trPr>
          <w:trHeight w:val="315" w:hRule="atLeast"/>
        </w:trPr>
        <w:tc>
          <w:tcPr>
            <w:tcW w:w="3879" w:type="dxa"/>
          </w:tcPr>
          <w:p>
            <w:pPr>
              <w:pStyle w:val="TableParagraph"/>
              <w:spacing w:before="40"/>
              <w:ind w:left="107"/>
              <w:rPr>
                <w:b/>
                <w:sz w:val="20"/>
              </w:rPr>
            </w:pPr>
            <w:r>
              <w:rPr>
                <w:b/>
                <w:sz w:val="20"/>
              </w:rPr>
              <w:t>Eigen</w:t>
            </w:r>
            <w:r>
              <w:rPr>
                <w:b/>
                <w:spacing w:val="-6"/>
                <w:sz w:val="20"/>
              </w:rPr>
              <w:t> </w:t>
            </w:r>
            <w:r>
              <w:rPr>
                <w:b/>
                <w:spacing w:val="-2"/>
                <w:sz w:val="20"/>
              </w:rPr>
              <w:t>values</w:t>
            </w:r>
          </w:p>
        </w:tc>
        <w:tc>
          <w:tcPr>
            <w:tcW w:w="1031" w:type="dxa"/>
          </w:tcPr>
          <w:p>
            <w:pPr>
              <w:pStyle w:val="TableParagraph"/>
              <w:spacing w:before="35"/>
              <w:ind w:left="3" w:right="2"/>
              <w:jc w:val="center"/>
              <w:rPr>
                <w:sz w:val="20"/>
              </w:rPr>
            </w:pPr>
            <w:r>
              <w:rPr>
                <w:spacing w:val="-4"/>
                <w:sz w:val="20"/>
              </w:rPr>
              <w:t>1.46</w:t>
            </w:r>
          </w:p>
        </w:tc>
        <w:tc>
          <w:tcPr>
            <w:tcW w:w="1086" w:type="dxa"/>
          </w:tcPr>
          <w:p>
            <w:pPr>
              <w:pStyle w:val="TableParagraph"/>
              <w:spacing w:before="35"/>
              <w:ind w:left="411"/>
              <w:rPr>
                <w:sz w:val="20"/>
              </w:rPr>
            </w:pPr>
            <w:r>
              <w:rPr>
                <w:spacing w:val="-4"/>
                <w:sz w:val="20"/>
              </w:rPr>
              <w:t>1.06</w:t>
            </w:r>
          </w:p>
        </w:tc>
        <w:tc>
          <w:tcPr>
            <w:tcW w:w="1274" w:type="dxa"/>
          </w:tcPr>
          <w:p>
            <w:pPr>
              <w:pStyle w:val="TableParagraph"/>
              <w:spacing w:before="35"/>
              <w:ind w:right="347"/>
              <w:jc w:val="right"/>
              <w:rPr>
                <w:sz w:val="20"/>
              </w:rPr>
            </w:pPr>
            <w:r>
              <w:rPr>
                <w:spacing w:val="-4"/>
                <w:sz w:val="20"/>
              </w:rPr>
              <w:t>0.99</w:t>
            </w:r>
          </w:p>
        </w:tc>
        <w:tc>
          <w:tcPr>
            <w:tcW w:w="1526" w:type="dxa"/>
          </w:tcPr>
          <w:p>
            <w:pPr>
              <w:pStyle w:val="TableParagraph"/>
              <w:spacing w:before="35"/>
              <w:ind w:right="487"/>
              <w:jc w:val="right"/>
              <w:rPr>
                <w:sz w:val="20"/>
              </w:rPr>
            </w:pPr>
            <w:r>
              <w:rPr>
                <w:spacing w:val="-4"/>
                <w:sz w:val="20"/>
              </w:rPr>
              <w:t>0.93</w:t>
            </w:r>
          </w:p>
        </w:tc>
      </w:tr>
      <w:tr>
        <w:trPr>
          <w:trHeight w:val="315" w:hRule="atLeast"/>
        </w:trPr>
        <w:tc>
          <w:tcPr>
            <w:tcW w:w="3879" w:type="dxa"/>
          </w:tcPr>
          <w:p>
            <w:pPr>
              <w:pStyle w:val="TableParagraph"/>
              <w:spacing w:before="41"/>
              <w:ind w:left="107"/>
              <w:rPr>
                <w:b/>
                <w:sz w:val="20"/>
              </w:rPr>
            </w:pPr>
            <w:r>
              <w:rPr>
                <w:b/>
                <w:sz w:val="20"/>
              </w:rPr>
              <w:t>Proportion</w:t>
            </w:r>
            <w:r>
              <w:rPr>
                <w:b/>
                <w:spacing w:val="-7"/>
                <w:sz w:val="20"/>
              </w:rPr>
              <w:t> </w:t>
            </w:r>
            <w:r>
              <w:rPr>
                <w:b/>
                <w:sz w:val="20"/>
              </w:rPr>
              <w:t>of</w:t>
            </w:r>
            <w:r>
              <w:rPr>
                <w:b/>
                <w:spacing w:val="-7"/>
                <w:sz w:val="20"/>
              </w:rPr>
              <w:t> </w:t>
            </w:r>
            <w:r>
              <w:rPr>
                <w:b/>
                <w:sz w:val="20"/>
              </w:rPr>
              <w:t>variance</w:t>
            </w:r>
            <w:r>
              <w:rPr>
                <w:b/>
                <w:spacing w:val="-6"/>
                <w:sz w:val="20"/>
              </w:rPr>
              <w:t> </w:t>
            </w:r>
            <w:r>
              <w:rPr>
                <w:b/>
                <w:sz w:val="20"/>
              </w:rPr>
              <w:t>explained</w:t>
            </w:r>
            <w:r>
              <w:rPr>
                <w:b/>
                <w:spacing w:val="-6"/>
                <w:sz w:val="20"/>
              </w:rPr>
              <w:t> </w:t>
            </w:r>
            <w:r>
              <w:rPr>
                <w:b/>
                <w:spacing w:val="-5"/>
                <w:sz w:val="20"/>
              </w:rPr>
              <w:t>(%)</w:t>
            </w:r>
          </w:p>
        </w:tc>
        <w:tc>
          <w:tcPr>
            <w:tcW w:w="1031" w:type="dxa"/>
          </w:tcPr>
          <w:p>
            <w:pPr>
              <w:pStyle w:val="TableParagraph"/>
              <w:spacing w:before="36"/>
              <w:ind w:left="4" w:right="1"/>
              <w:jc w:val="center"/>
              <w:rPr>
                <w:sz w:val="20"/>
              </w:rPr>
            </w:pPr>
            <w:r>
              <w:rPr>
                <w:spacing w:val="-2"/>
                <w:sz w:val="20"/>
              </w:rPr>
              <w:t>24.35</w:t>
            </w:r>
          </w:p>
        </w:tc>
        <w:tc>
          <w:tcPr>
            <w:tcW w:w="1086" w:type="dxa"/>
          </w:tcPr>
          <w:p>
            <w:pPr>
              <w:pStyle w:val="TableParagraph"/>
              <w:spacing w:before="36"/>
              <w:ind w:left="361"/>
              <w:rPr>
                <w:sz w:val="20"/>
              </w:rPr>
            </w:pPr>
            <w:r>
              <w:rPr>
                <w:spacing w:val="-2"/>
                <w:sz w:val="20"/>
              </w:rPr>
              <w:t>17.72</w:t>
            </w:r>
          </w:p>
        </w:tc>
        <w:tc>
          <w:tcPr>
            <w:tcW w:w="1274" w:type="dxa"/>
          </w:tcPr>
          <w:p>
            <w:pPr>
              <w:pStyle w:val="TableParagraph"/>
              <w:spacing w:before="36"/>
              <w:ind w:right="297"/>
              <w:jc w:val="right"/>
              <w:rPr>
                <w:sz w:val="20"/>
              </w:rPr>
            </w:pPr>
            <w:r>
              <w:rPr>
                <w:spacing w:val="-2"/>
                <w:sz w:val="20"/>
              </w:rPr>
              <w:t>16.51</w:t>
            </w:r>
          </w:p>
        </w:tc>
        <w:tc>
          <w:tcPr>
            <w:tcW w:w="1526" w:type="dxa"/>
          </w:tcPr>
          <w:p>
            <w:pPr>
              <w:pStyle w:val="TableParagraph"/>
              <w:spacing w:before="36"/>
              <w:ind w:right="437"/>
              <w:jc w:val="right"/>
              <w:rPr>
                <w:sz w:val="20"/>
              </w:rPr>
            </w:pPr>
            <w:r>
              <w:rPr>
                <w:spacing w:val="-2"/>
                <w:sz w:val="20"/>
              </w:rPr>
              <w:t>15.53</w:t>
            </w:r>
          </w:p>
        </w:tc>
      </w:tr>
      <w:tr>
        <w:trPr>
          <w:trHeight w:val="505" w:hRule="atLeast"/>
        </w:trPr>
        <w:tc>
          <w:tcPr>
            <w:tcW w:w="3879" w:type="dxa"/>
          </w:tcPr>
          <w:p>
            <w:pPr>
              <w:pStyle w:val="TableParagraph"/>
              <w:tabs>
                <w:tab w:pos="1364" w:val="left" w:leader="none"/>
                <w:tab w:pos="2558" w:val="left" w:leader="none"/>
                <w:tab w:pos="2984" w:val="left" w:leader="none"/>
              </w:tabs>
              <w:spacing w:line="230" w:lineRule="atLeast" w:before="25"/>
              <w:ind w:left="107" w:right="158"/>
              <w:rPr>
                <w:b/>
                <w:sz w:val="20"/>
              </w:rPr>
            </w:pPr>
            <w:r>
              <w:rPr>
                <w:b/>
                <w:spacing w:val="-2"/>
                <w:sz w:val="20"/>
              </w:rPr>
              <w:t>Cumulative</w:t>
            </w:r>
            <w:r>
              <w:rPr>
                <w:b/>
                <w:sz w:val="20"/>
              </w:rPr>
              <w:tab/>
            </w:r>
            <w:r>
              <w:rPr>
                <w:b/>
                <w:spacing w:val="-2"/>
                <w:sz w:val="20"/>
              </w:rPr>
              <w:t>proportion</w:t>
            </w:r>
            <w:r>
              <w:rPr>
                <w:b/>
                <w:sz w:val="20"/>
              </w:rPr>
              <w:tab/>
            </w:r>
            <w:r>
              <w:rPr>
                <w:b/>
                <w:spacing w:val="-6"/>
                <w:sz w:val="20"/>
              </w:rPr>
              <w:t>of</w:t>
            </w:r>
            <w:r>
              <w:rPr>
                <w:b/>
                <w:sz w:val="20"/>
              </w:rPr>
              <w:tab/>
            </w:r>
            <w:r>
              <w:rPr>
                <w:b/>
                <w:spacing w:val="-2"/>
                <w:sz w:val="20"/>
              </w:rPr>
              <w:t>variance </w:t>
            </w:r>
            <w:r>
              <w:rPr>
                <w:b/>
                <w:sz w:val="20"/>
              </w:rPr>
              <w:t>explained (%)</w:t>
            </w:r>
          </w:p>
        </w:tc>
        <w:tc>
          <w:tcPr>
            <w:tcW w:w="1031" w:type="dxa"/>
          </w:tcPr>
          <w:p>
            <w:pPr>
              <w:pStyle w:val="TableParagraph"/>
              <w:spacing w:before="35"/>
              <w:ind w:left="3" w:right="2"/>
              <w:jc w:val="center"/>
              <w:rPr>
                <w:sz w:val="20"/>
              </w:rPr>
            </w:pPr>
            <w:r>
              <w:rPr>
                <w:spacing w:val="-2"/>
                <w:sz w:val="20"/>
              </w:rPr>
              <w:t>24.35</w:t>
            </w:r>
          </w:p>
        </w:tc>
        <w:tc>
          <w:tcPr>
            <w:tcW w:w="1086" w:type="dxa"/>
          </w:tcPr>
          <w:p>
            <w:pPr>
              <w:pStyle w:val="TableParagraph"/>
              <w:spacing w:before="35"/>
              <w:ind w:left="361"/>
              <w:rPr>
                <w:sz w:val="20"/>
              </w:rPr>
            </w:pPr>
            <w:r>
              <w:rPr>
                <w:spacing w:val="-2"/>
                <w:sz w:val="20"/>
              </w:rPr>
              <w:t>42.07</w:t>
            </w:r>
          </w:p>
        </w:tc>
        <w:tc>
          <w:tcPr>
            <w:tcW w:w="1274" w:type="dxa"/>
          </w:tcPr>
          <w:p>
            <w:pPr>
              <w:pStyle w:val="TableParagraph"/>
              <w:spacing w:before="35"/>
              <w:ind w:right="297"/>
              <w:jc w:val="right"/>
              <w:rPr>
                <w:sz w:val="20"/>
              </w:rPr>
            </w:pPr>
            <w:r>
              <w:rPr>
                <w:spacing w:val="-2"/>
                <w:sz w:val="20"/>
              </w:rPr>
              <w:t>58.58</w:t>
            </w:r>
          </w:p>
        </w:tc>
        <w:tc>
          <w:tcPr>
            <w:tcW w:w="1526" w:type="dxa"/>
          </w:tcPr>
          <w:p>
            <w:pPr>
              <w:pStyle w:val="TableParagraph"/>
              <w:spacing w:before="35"/>
              <w:ind w:right="437"/>
              <w:jc w:val="right"/>
              <w:rPr>
                <w:sz w:val="20"/>
              </w:rPr>
            </w:pPr>
            <w:r>
              <w:rPr>
                <w:spacing w:val="-2"/>
                <w:sz w:val="20"/>
              </w:rPr>
              <w:t>74.11</w:t>
            </w:r>
          </w:p>
        </w:tc>
      </w:tr>
      <w:tr>
        <w:trPr>
          <w:trHeight w:val="277" w:hRule="atLeast"/>
        </w:trPr>
        <w:tc>
          <w:tcPr>
            <w:tcW w:w="3879" w:type="dxa"/>
          </w:tcPr>
          <w:p>
            <w:pPr>
              <w:pStyle w:val="TableParagraph"/>
              <w:rPr>
                <w:sz w:val="20"/>
              </w:rPr>
            </w:pPr>
          </w:p>
        </w:tc>
        <w:tc>
          <w:tcPr>
            <w:tcW w:w="1031" w:type="dxa"/>
          </w:tcPr>
          <w:p>
            <w:pPr>
              <w:pStyle w:val="TableParagraph"/>
              <w:spacing w:line="226" w:lineRule="exact"/>
              <w:ind w:left="3" w:right="2"/>
              <w:jc w:val="center"/>
              <w:rPr>
                <w:b/>
                <w:sz w:val="20"/>
              </w:rPr>
            </w:pPr>
            <w:r>
              <w:rPr>
                <w:b/>
                <w:spacing w:val="-2"/>
                <w:sz w:val="20"/>
              </w:rPr>
              <w:t>COMP5</w:t>
            </w:r>
          </w:p>
        </w:tc>
        <w:tc>
          <w:tcPr>
            <w:tcW w:w="1086" w:type="dxa"/>
          </w:tcPr>
          <w:p>
            <w:pPr>
              <w:pStyle w:val="TableParagraph"/>
              <w:spacing w:line="226" w:lineRule="exact"/>
              <w:ind w:right="141"/>
              <w:jc w:val="right"/>
              <w:rPr>
                <w:b/>
                <w:sz w:val="20"/>
              </w:rPr>
            </w:pPr>
            <w:r>
              <w:rPr>
                <w:b/>
                <w:spacing w:val="-2"/>
                <w:sz w:val="20"/>
              </w:rPr>
              <w:t>COMP6</w:t>
            </w:r>
          </w:p>
        </w:tc>
        <w:tc>
          <w:tcPr>
            <w:tcW w:w="1274" w:type="dxa"/>
          </w:tcPr>
          <w:p>
            <w:pPr>
              <w:pStyle w:val="TableParagraph"/>
              <w:rPr>
                <w:sz w:val="20"/>
              </w:rPr>
            </w:pPr>
          </w:p>
        </w:tc>
        <w:tc>
          <w:tcPr>
            <w:tcW w:w="1526" w:type="dxa"/>
          </w:tcPr>
          <w:p>
            <w:pPr>
              <w:pStyle w:val="TableParagraph"/>
              <w:rPr>
                <w:sz w:val="20"/>
              </w:rPr>
            </w:pPr>
          </w:p>
        </w:tc>
      </w:tr>
      <w:tr>
        <w:trPr>
          <w:trHeight w:val="327" w:hRule="atLeast"/>
        </w:trPr>
        <w:tc>
          <w:tcPr>
            <w:tcW w:w="3879" w:type="dxa"/>
          </w:tcPr>
          <w:p>
            <w:pPr>
              <w:pStyle w:val="TableParagraph"/>
              <w:rPr>
                <w:sz w:val="20"/>
              </w:rPr>
            </w:pPr>
          </w:p>
        </w:tc>
        <w:tc>
          <w:tcPr>
            <w:tcW w:w="1031" w:type="dxa"/>
          </w:tcPr>
          <w:p>
            <w:pPr>
              <w:pStyle w:val="TableParagraph"/>
              <w:spacing w:before="42"/>
              <w:ind w:left="3" w:right="2"/>
              <w:jc w:val="center"/>
              <w:rPr>
                <w:sz w:val="20"/>
              </w:rPr>
            </w:pPr>
            <w:r>
              <w:rPr>
                <w:spacing w:val="-4"/>
                <w:sz w:val="20"/>
              </w:rPr>
              <w:t>0.88</w:t>
            </w:r>
          </w:p>
        </w:tc>
        <w:tc>
          <w:tcPr>
            <w:tcW w:w="1086" w:type="dxa"/>
          </w:tcPr>
          <w:p>
            <w:pPr>
              <w:pStyle w:val="TableParagraph"/>
              <w:spacing w:before="42"/>
              <w:ind w:left="411"/>
              <w:rPr>
                <w:sz w:val="20"/>
              </w:rPr>
            </w:pPr>
            <w:r>
              <w:rPr>
                <w:spacing w:val="-4"/>
                <w:sz w:val="20"/>
              </w:rPr>
              <w:t>0.70</w:t>
            </w:r>
          </w:p>
        </w:tc>
        <w:tc>
          <w:tcPr>
            <w:tcW w:w="1274" w:type="dxa"/>
          </w:tcPr>
          <w:p>
            <w:pPr>
              <w:pStyle w:val="TableParagraph"/>
              <w:rPr>
                <w:sz w:val="20"/>
              </w:rPr>
            </w:pPr>
          </w:p>
        </w:tc>
        <w:tc>
          <w:tcPr>
            <w:tcW w:w="1526" w:type="dxa"/>
          </w:tcPr>
          <w:p>
            <w:pPr>
              <w:pStyle w:val="TableParagraph"/>
              <w:rPr>
                <w:sz w:val="20"/>
              </w:rPr>
            </w:pPr>
          </w:p>
        </w:tc>
      </w:tr>
      <w:tr>
        <w:trPr>
          <w:trHeight w:val="330" w:hRule="atLeast"/>
        </w:trPr>
        <w:tc>
          <w:tcPr>
            <w:tcW w:w="3879" w:type="dxa"/>
          </w:tcPr>
          <w:p>
            <w:pPr>
              <w:pStyle w:val="TableParagraph"/>
              <w:rPr>
                <w:sz w:val="20"/>
              </w:rPr>
            </w:pPr>
          </w:p>
        </w:tc>
        <w:tc>
          <w:tcPr>
            <w:tcW w:w="1031" w:type="dxa"/>
          </w:tcPr>
          <w:p>
            <w:pPr>
              <w:pStyle w:val="TableParagraph"/>
              <w:spacing w:before="46"/>
              <w:ind w:left="3" w:right="2"/>
              <w:jc w:val="center"/>
              <w:rPr>
                <w:sz w:val="20"/>
              </w:rPr>
            </w:pPr>
            <w:r>
              <w:rPr>
                <w:spacing w:val="-2"/>
                <w:sz w:val="20"/>
              </w:rPr>
              <w:t>14.62</w:t>
            </w:r>
          </w:p>
        </w:tc>
        <w:tc>
          <w:tcPr>
            <w:tcW w:w="1086" w:type="dxa"/>
          </w:tcPr>
          <w:p>
            <w:pPr>
              <w:pStyle w:val="TableParagraph"/>
              <w:spacing w:before="46"/>
              <w:ind w:left="361"/>
              <w:rPr>
                <w:sz w:val="20"/>
              </w:rPr>
            </w:pPr>
            <w:r>
              <w:rPr>
                <w:spacing w:val="-2"/>
                <w:sz w:val="20"/>
              </w:rPr>
              <w:t>11.28</w:t>
            </w:r>
          </w:p>
        </w:tc>
        <w:tc>
          <w:tcPr>
            <w:tcW w:w="1274" w:type="dxa"/>
          </w:tcPr>
          <w:p>
            <w:pPr>
              <w:pStyle w:val="TableParagraph"/>
              <w:rPr>
                <w:sz w:val="20"/>
              </w:rPr>
            </w:pPr>
          </w:p>
        </w:tc>
        <w:tc>
          <w:tcPr>
            <w:tcW w:w="1526" w:type="dxa"/>
          </w:tcPr>
          <w:p>
            <w:pPr>
              <w:pStyle w:val="TableParagraph"/>
              <w:rPr>
                <w:sz w:val="20"/>
              </w:rPr>
            </w:pPr>
          </w:p>
        </w:tc>
      </w:tr>
      <w:tr>
        <w:trPr>
          <w:trHeight w:val="332" w:hRule="atLeast"/>
        </w:trPr>
        <w:tc>
          <w:tcPr>
            <w:tcW w:w="3879" w:type="dxa"/>
          </w:tcPr>
          <w:p>
            <w:pPr>
              <w:pStyle w:val="TableParagraph"/>
              <w:rPr>
                <w:sz w:val="20"/>
              </w:rPr>
            </w:pPr>
          </w:p>
        </w:tc>
        <w:tc>
          <w:tcPr>
            <w:tcW w:w="1031" w:type="dxa"/>
          </w:tcPr>
          <w:p>
            <w:pPr>
              <w:pStyle w:val="TableParagraph"/>
              <w:spacing w:before="45"/>
              <w:ind w:left="3" w:right="2"/>
              <w:jc w:val="center"/>
              <w:rPr>
                <w:sz w:val="20"/>
              </w:rPr>
            </w:pPr>
            <w:r>
              <w:rPr>
                <w:spacing w:val="-2"/>
                <w:sz w:val="20"/>
              </w:rPr>
              <w:t>88.72</w:t>
            </w:r>
          </w:p>
        </w:tc>
        <w:tc>
          <w:tcPr>
            <w:tcW w:w="1086" w:type="dxa"/>
          </w:tcPr>
          <w:p>
            <w:pPr>
              <w:pStyle w:val="TableParagraph"/>
              <w:spacing w:before="45"/>
              <w:ind w:left="310"/>
              <w:rPr>
                <w:sz w:val="20"/>
              </w:rPr>
            </w:pPr>
            <w:r>
              <w:rPr>
                <w:spacing w:val="-2"/>
                <w:sz w:val="20"/>
              </w:rPr>
              <w:t>100.00</w:t>
            </w:r>
          </w:p>
        </w:tc>
        <w:tc>
          <w:tcPr>
            <w:tcW w:w="1274" w:type="dxa"/>
          </w:tcPr>
          <w:p>
            <w:pPr>
              <w:pStyle w:val="TableParagraph"/>
              <w:rPr>
                <w:sz w:val="20"/>
              </w:rPr>
            </w:pPr>
          </w:p>
        </w:tc>
        <w:tc>
          <w:tcPr>
            <w:tcW w:w="1526" w:type="dxa"/>
          </w:tcPr>
          <w:p>
            <w:pPr>
              <w:pStyle w:val="TableParagraph"/>
              <w:rPr>
                <w:sz w:val="20"/>
              </w:rPr>
            </w:pPr>
          </w:p>
        </w:tc>
      </w:tr>
      <w:tr>
        <w:trPr>
          <w:trHeight w:val="322" w:hRule="atLeast"/>
        </w:trPr>
        <w:tc>
          <w:tcPr>
            <w:tcW w:w="3879" w:type="dxa"/>
          </w:tcPr>
          <w:p>
            <w:pPr>
              <w:pStyle w:val="TableParagraph"/>
              <w:spacing w:before="48"/>
              <w:ind w:left="158"/>
              <w:rPr>
                <w:b/>
                <w:sz w:val="20"/>
              </w:rPr>
            </w:pPr>
            <w:r>
              <w:rPr>
                <w:b/>
                <w:spacing w:val="-5"/>
                <w:sz w:val="20"/>
              </w:rPr>
              <w:t>USE</w:t>
            </w:r>
          </w:p>
        </w:tc>
        <w:tc>
          <w:tcPr>
            <w:tcW w:w="1031" w:type="dxa"/>
          </w:tcPr>
          <w:p>
            <w:pPr>
              <w:pStyle w:val="TableParagraph"/>
              <w:spacing w:before="48"/>
              <w:ind w:left="3" w:right="2"/>
              <w:jc w:val="center"/>
              <w:rPr>
                <w:b/>
                <w:sz w:val="20"/>
              </w:rPr>
            </w:pPr>
            <w:r>
              <w:rPr>
                <w:b/>
                <w:spacing w:val="-2"/>
                <w:sz w:val="20"/>
              </w:rPr>
              <w:t>COMP1</w:t>
            </w:r>
          </w:p>
        </w:tc>
        <w:tc>
          <w:tcPr>
            <w:tcW w:w="1086" w:type="dxa"/>
          </w:tcPr>
          <w:p>
            <w:pPr>
              <w:pStyle w:val="TableParagraph"/>
              <w:spacing w:before="48"/>
              <w:ind w:right="141"/>
              <w:jc w:val="right"/>
              <w:rPr>
                <w:b/>
                <w:sz w:val="20"/>
              </w:rPr>
            </w:pPr>
            <w:r>
              <w:rPr>
                <w:b/>
                <w:spacing w:val="-2"/>
                <w:sz w:val="20"/>
              </w:rPr>
              <w:t>COMP2</w:t>
            </w:r>
          </w:p>
        </w:tc>
        <w:tc>
          <w:tcPr>
            <w:tcW w:w="1274" w:type="dxa"/>
          </w:tcPr>
          <w:p>
            <w:pPr>
              <w:pStyle w:val="TableParagraph"/>
              <w:rPr>
                <w:sz w:val="20"/>
              </w:rPr>
            </w:pPr>
          </w:p>
        </w:tc>
        <w:tc>
          <w:tcPr>
            <w:tcW w:w="1526" w:type="dxa"/>
          </w:tcPr>
          <w:p>
            <w:pPr>
              <w:pStyle w:val="TableParagraph"/>
              <w:rPr>
                <w:sz w:val="20"/>
              </w:rPr>
            </w:pPr>
          </w:p>
        </w:tc>
      </w:tr>
      <w:tr>
        <w:trPr>
          <w:trHeight w:val="314" w:hRule="atLeast"/>
        </w:trPr>
        <w:tc>
          <w:tcPr>
            <w:tcW w:w="3879" w:type="dxa"/>
          </w:tcPr>
          <w:p>
            <w:pPr>
              <w:pStyle w:val="TableParagraph"/>
              <w:spacing w:before="40"/>
              <w:ind w:left="107"/>
              <w:rPr>
                <w:b/>
                <w:sz w:val="20"/>
              </w:rPr>
            </w:pPr>
            <w:r>
              <w:rPr>
                <w:b/>
                <w:sz w:val="20"/>
              </w:rPr>
              <w:t>Eigen</w:t>
            </w:r>
            <w:r>
              <w:rPr>
                <w:b/>
                <w:spacing w:val="-6"/>
                <w:sz w:val="20"/>
              </w:rPr>
              <w:t> </w:t>
            </w:r>
            <w:r>
              <w:rPr>
                <w:b/>
                <w:spacing w:val="-2"/>
                <w:sz w:val="20"/>
              </w:rPr>
              <w:t>values</w:t>
            </w:r>
          </w:p>
        </w:tc>
        <w:tc>
          <w:tcPr>
            <w:tcW w:w="1031" w:type="dxa"/>
          </w:tcPr>
          <w:p>
            <w:pPr>
              <w:pStyle w:val="TableParagraph"/>
              <w:spacing w:before="35"/>
              <w:ind w:left="3" w:right="2"/>
              <w:jc w:val="center"/>
              <w:rPr>
                <w:sz w:val="20"/>
              </w:rPr>
            </w:pPr>
            <w:r>
              <w:rPr>
                <w:spacing w:val="-4"/>
                <w:sz w:val="20"/>
              </w:rPr>
              <w:t>1.17</w:t>
            </w:r>
          </w:p>
        </w:tc>
        <w:tc>
          <w:tcPr>
            <w:tcW w:w="1086" w:type="dxa"/>
          </w:tcPr>
          <w:p>
            <w:pPr>
              <w:pStyle w:val="TableParagraph"/>
              <w:spacing w:before="35"/>
              <w:ind w:left="411"/>
              <w:rPr>
                <w:sz w:val="20"/>
              </w:rPr>
            </w:pPr>
            <w:r>
              <w:rPr>
                <w:spacing w:val="-4"/>
                <w:sz w:val="20"/>
              </w:rPr>
              <w:t>0.83</w:t>
            </w:r>
          </w:p>
        </w:tc>
        <w:tc>
          <w:tcPr>
            <w:tcW w:w="1274" w:type="dxa"/>
          </w:tcPr>
          <w:p>
            <w:pPr>
              <w:pStyle w:val="TableParagraph"/>
              <w:rPr>
                <w:sz w:val="20"/>
              </w:rPr>
            </w:pPr>
          </w:p>
        </w:tc>
        <w:tc>
          <w:tcPr>
            <w:tcW w:w="1526" w:type="dxa"/>
          </w:tcPr>
          <w:p>
            <w:pPr>
              <w:pStyle w:val="TableParagraph"/>
              <w:rPr>
                <w:sz w:val="20"/>
              </w:rPr>
            </w:pPr>
          </w:p>
        </w:tc>
      </w:tr>
      <w:tr>
        <w:trPr>
          <w:trHeight w:val="314" w:hRule="atLeast"/>
        </w:trPr>
        <w:tc>
          <w:tcPr>
            <w:tcW w:w="3879" w:type="dxa"/>
          </w:tcPr>
          <w:p>
            <w:pPr>
              <w:pStyle w:val="TableParagraph"/>
              <w:spacing w:before="40"/>
              <w:ind w:left="107"/>
              <w:rPr>
                <w:b/>
                <w:sz w:val="20"/>
              </w:rPr>
            </w:pPr>
            <w:r>
              <w:rPr>
                <w:b/>
                <w:sz w:val="20"/>
              </w:rPr>
              <w:t>Proportion</w:t>
            </w:r>
            <w:r>
              <w:rPr>
                <w:b/>
                <w:spacing w:val="-7"/>
                <w:sz w:val="20"/>
              </w:rPr>
              <w:t> </w:t>
            </w:r>
            <w:r>
              <w:rPr>
                <w:b/>
                <w:sz w:val="20"/>
              </w:rPr>
              <w:t>of</w:t>
            </w:r>
            <w:r>
              <w:rPr>
                <w:b/>
                <w:spacing w:val="-7"/>
                <w:sz w:val="20"/>
              </w:rPr>
              <w:t> </w:t>
            </w:r>
            <w:r>
              <w:rPr>
                <w:b/>
                <w:sz w:val="20"/>
              </w:rPr>
              <w:t>variance</w:t>
            </w:r>
            <w:r>
              <w:rPr>
                <w:b/>
                <w:spacing w:val="-6"/>
                <w:sz w:val="20"/>
              </w:rPr>
              <w:t> </w:t>
            </w:r>
            <w:r>
              <w:rPr>
                <w:b/>
                <w:sz w:val="20"/>
              </w:rPr>
              <w:t>explained</w:t>
            </w:r>
            <w:r>
              <w:rPr>
                <w:b/>
                <w:spacing w:val="-6"/>
                <w:sz w:val="20"/>
              </w:rPr>
              <w:t> </w:t>
            </w:r>
            <w:r>
              <w:rPr>
                <w:b/>
                <w:spacing w:val="-5"/>
                <w:sz w:val="20"/>
              </w:rPr>
              <w:t>(%)</w:t>
            </w:r>
          </w:p>
        </w:tc>
        <w:tc>
          <w:tcPr>
            <w:tcW w:w="1031" w:type="dxa"/>
          </w:tcPr>
          <w:p>
            <w:pPr>
              <w:pStyle w:val="TableParagraph"/>
              <w:spacing w:before="35"/>
              <w:ind w:left="3" w:right="2"/>
              <w:jc w:val="center"/>
              <w:rPr>
                <w:sz w:val="20"/>
              </w:rPr>
            </w:pPr>
            <w:r>
              <w:rPr>
                <w:spacing w:val="-2"/>
                <w:sz w:val="20"/>
              </w:rPr>
              <w:t>58.47</w:t>
            </w:r>
          </w:p>
        </w:tc>
        <w:tc>
          <w:tcPr>
            <w:tcW w:w="1086" w:type="dxa"/>
          </w:tcPr>
          <w:p>
            <w:pPr>
              <w:pStyle w:val="TableParagraph"/>
              <w:spacing w:before="35"/>
              <w:ind w:left="361"/>
              <w:rPr>
                <w:sz w:val="20"/>
              </w:rPr>
            </w:pPr>
            <w:r>
              <w:rPr>
                <w:spacing w:val="-2"/>
                <w:sz w:val="20"/>
              </w:rPr>
              <w:t>41.53</w:t>
            </w:r>
          </w:p>
        </w:tc>
        <w:tc>
          <w:tcPr>
            <w:tcW w:w="1274" w:type="dxa"/>
          </w:tcPr>
          <w:p>
            <w:pPr>
              <w:pStyle w:val="TableParagraph"/>
              <w:rPr>
                <w:sz w:val="20"/>
              </w:rPr>
            </w:pPr>
          </w:p>
        </w:tc>
        <w:tc>
          <w:tcPr>
            <w:tcW w:w="1526" w:type="dxa"/>
          </w:tcPr>
          <w:p>
            <w:pPr>
              <w:pStyle w:val="TableParagraph"/>
              <w:rPr>
                <w:sz w:val="20"/>
              </w:rPr>
            </w:pPr>
          </w:p>
        </w:tc>
      </w:tr>
      <w:tr>
        <w:trPr>
          <w:trHeight w:val="662" w:hRule="atLeast"/>
        </w:trPr>
        <w:tc>
          <w:tcPr>
            <w:tcW w:w="3879" w:type="dxa"/>
          </w:tcPr>
          <w:p>
            <w:pPr>
              <w:pStyle w:val="TableParagraph"/>
              <w:tabs>
                <w:tab w:pos="1364" w:val="left" w:leader="none"/>
                <w:tab w:pos="2558" w:val="left" w:leader="none"/>
                <w:tab w:pos="2984" w:val="left" w:leader="none"/>
              </w:tabs>
              <w:spacing w:before="40"/>
              <w:ind w:left="107" w:right="158"/>
              <w:rPr>
                <w:b/>
                <w:sz w:val="20"/>
              </w:rPr>
            </w:pPr>
            <w:r>
              <w:rPr>
                <w:b/>
                <w:spacing w:val="-2"/>
                <w:sz w:val="20"/>
              </w:rPr>
              <w:t>Cumulative</w:t>
            </w:r>
            <w:r>
              <w:rPr>
                <w:b/>
                <w:sz w:val="20"/>
              </w:rPr>
              <w:tab/>
            </w:r>
            <w:r>
              <w:rPr>
                <w:b/>
                <w:spacing w:val="-2"/>
                <w:sz w:val="20"/>
              </w:rPr>
              <w:t>proportion</w:t>
            </w:r>
            <w:r>
              <w:rPr>
                <w:b/>
                <w:sz w:val="20"/>
              </w:rPr>
              <w:tab/>
            </w:r>
            <w:r>
              <w:rPr>
                <w:b/>
                <w:spacing w:val="-6"/>
                <w:sz w:val="20"/>
              </w:rPr>
              <w:t>of</w:t>
            </w:r>
            <w:r>
              <w:rPr>
                <w:b/>
                <w:sz w:val="20"/>
              </w:rPr>
              <w:tab/>
            </w:r>
            <w:r>
              <w:rPr>
                <w:b/>
                <w:spacing w:val="-2"/>
                <w:sz w:val="20"/>
              </w:rPr>
              <w:t>variance </w:t>
            </w:r>
            <w:r>
              <w:rPr>
                <w:b/>
                <w:sz w:val="20"/>
              </w:rPr>
              <w:t>explained (%)</w:t>
            </w:r>
          </w:p>
        </w:tc>
        <w:tc>
          <w:tcPr>
            <w:tcW w:w="1031" w:type="dxa"/>
          </w:tcPr>
          <w:p>
            <w:pPr>
              <w:pStyle w:val="TableParagraph"/>
              <w:spacing w:before="35"/>
              <w:ind w:left="3" w:right="2"/>
              <w:jc w:val="center"/>
              <w:rPr>
                <w:sz w:val="20"/>
              </w:rPr>
            </w:pPr>
            <w:r>
              <w:rPr>
                <w:spacing w:val="-2"/>
                <w:sz w:val="20"/>
              </w:rPr>
              <w:t>58.47</w:t>
            </w:r>
          </w:p>
        </w:tc>
        <w:tc>
          <w:tcPr>
            <w:tcW w:w="1086" w:type="dxa"/>
          </w:tcPr>
          <w:p>
            <w:pPr>
              <w:pStyle w:val="TableParagraph"/>
              <w:spacing w:before="35"/>
              <w:ind w:left="310"/>
              <w:rPr>
                <w:sz w:val="20"/>
              </w:rPr>
            </w:pPr>
            <w:r>
              <w:rPr>
                <w:spacing w:val="-2"/>
                <w:sz w:val="20"/>
              </w:rPr>
              <w:t>100.00</w:t>
            </w:r>
          </w:p>
        </w:tc>
        <w:tc>
          <w:tcPr>
            <w:tcW w:w="1274" w:type="dxa"/>
          </w:tcPr>
          <w:p>
            <w:pPr>
              <w:pStyle w:val="TableParagraph"/>
              <w:rPr>
                <w:sz w:val="20"/>
              </w:rPr>
            </w:pPr>
          </w:p>
        </w:tc>
        <w:tc>
          <w:tcPr>
            <w:tcW w:w="1526" w:type="dxa"/>
          </w:tcPr>
          <w:p>
            <w:pPr>
              <w:pStyle w:val="TableParagraph"/>
              <w:rPr>
                <w:sz w:val="20"/>
              </w:rPr>
            </w:pPr>
          </w:p>
        </w:tc>
      </w:tr>
      <w:tr>
        <w:trPr>
          <w:trHeight w:val="427" w:hRule="atLeast"/>
        </w:trPr>
        <w:tc>
          <w:tcPr>
            <w:tcW w:w="3879" w:type="dxa"/>
          </w:tcPr>
          <w:p>
            <w:pPr>
              <w:pStyle w:val="TableParagraph"/>
              <w:spacing w:before="153"/>
              <w:ind w:left="158"/>
              <w:rPr>
                <w:b/>
                <w:sz w:val="20"/>
              </w:rPr>
            </w:pPr>
            <w:r>
              <w:rPr>
                <w:b/>
                <w:spacing w:val="-2"/>
                <w:sz w:val="20"/>
              </w:rPr>
              <w:t>ENVIRONEMENT</w:t>
            </w:r>
          </w:p>
        </w:tc>
        <w:tc>
          <w:tcPr>
            <w:tcW w:w="1031" w:type="dxa"/>
          </w:tcPr>
          <w:p>
            <w:pPr>
              <w:pStyle w:val="TableParagraph"/>
              <w:spacing w:before="153"/>
              <w:ind w:left="3" w:right="2"/>
              <w:jc w:val="center"/>
              <w:rPr>
                <w:b/>
                <w:sz w:val="20"/>
              </w:rPr>
            </w:pPr>
            <w:r>
              <w:rPr>
                <w:b/>
                <w:spacing w:val="-2"/>
                <w:sz w:val="20"/>
              </w:rPr>
              <w:t>COMP1</w:t>
            </w:r>
          </w:p>
        </w:tc>
        <w:tc>
          <w:tcPr>
            <w:tcW w:w="1086" w:type="dxa"/>
          </w:tcPr>
          <w:p>
            <w:pPr>
              <w:pStyle w:val="TableParagraph"/>
              <w:spacing w:before="153"/>
              <w:ind w:left="159"/>
              <w:rPr>
                <w:b/>
                <w:sz w:val="20"/>
              </w:rPr>
            </w:pPr>
            <w:r>
              <w:rPr>
                <w:b/>
                <w:spacing w:val="-2"/>
                <w:sz w:val="20"/>
              </w:rPr>
              <w:t>COMP2</w:t>
            </w:r>
          </w:p>
        </w:tc>
        <w:tc>
          <w:tcPr>
            <w:tcW w:w="1274" w:type="dxa"/>
          </w:tcPr>
          <w:p>
            <w:pPr>
              <w:pStyle w:val="TableParagraph"/>
              <w:rPr>
                <w:sz w:val="20"/>
              </w:rPr>
            </w:pPr>
          </w:p>
        </w:tc>
        <w:tc>
          <w:tcPr>
            <w:tcW w:w="1526" w:type="dxa"/>
          </w:tcPr>
          <w:p>
            <w:pPr>
              <w:pStyle w:val="TableParagraph"/>
              <w:rPr>
                <w:sz w:val="20"/>
              </w:rPr>
            </w:pPr>
          </w:p>
        </w:tc>
      </w:tr>
      <w:tr>
        <w:trPr>
          <w:trHeight w:val="315" w:hRule="atLeast"/>
        </w:trPr>
        <w:tc>
          <w:tcPr>
            <w:tcW w:w="3879" w:type="dxa"/>
          </w:tcPr>
          <w:p>
            <w:pPr>
              <w:pStyle w:val="TableParagraph"/>
              <w:spacing w:before="40"/>
              <w:ind w:left="107"/>
              <w:rPr>
                <w:b/>
                <w:sz w:val="20"/>
              </w:rPr>
            </w:pPr>
            <w:r>
              <w:rPr>
                <w:b/>
                <w:sz w:val="20"/>
              </w:rPr>
              <w:t>Eigen</w:t>
            </w:r>
            <w:r>
              <w:rPr>
                <w:b/>
                <w:spacing w:val="-6"/>
                <w:sz w:val="20"/>
              </w:rPr>
              <w:t> </w:t>
            </w:r>
            <w:r>
              <w:rPr>
                <w:b/>
                <w:spacing w:val="-2"/>
                <w:sz w:val="20"/>
              </w:rPr>
              <w:t>values</w:t>
            </w:r>
          </w:p>
        </w:tc>
        <w:tc>
          <w:tcPr>
            <w:tcW w:w="1031" w:type="dxa"/>
          </w:tcPr>
          <w:p>
            <w:pPr>
              <w:pStyle w:val="TableParagraph"/>
              <w:spacing w:before="35"/>
              <w:ind w:left="3" w:right="2"/>
              <w:jc w:val="center"/>
              <w:rPr>
                <w:sz w:val="20"/>
              </w:rPr>
            </w:pPr>
            <w:r>
              <w:rPr>
                <w:spacing w:val="-4"/>
                <w:sz w:val="20"/>
              </w:rPr>
              <w:t>1.15</w:t>
            </w:r>
          </w:p>
        </w:tc>
        <w:tc>
          <w:tcPr>
            <w:tcW w:w="1086" w:type="dxa"/>
          </w:tcPr>
          <w:p>
            <w:pPr>
              <w:pStyle w:val="TableParagraph"/>
              <w:spacing w:before="35"/>
              <w:ind w:left="411"/>
              <w:rPr>
                <w:sz w:val="20"/>
              </w:rPr>
            </w:pPr>
            <w:r>
              <w:rPr>
                <w:spacing w:val="-4"/>
                <w:sz w:val="20"/>
              </w:rPr>
              <w:t>0.85</w:t>
            </w:r>
          </w:p>
        </w:tc>
        <w:tc>
          <w:tcPr>
            <w:tcW w:w="1274" w:type="dxa"/>
          </w:tcPr>
          <w:p>
            <w:pPr>
              <w:pStyle w:val="TableParagraph"/>
              <w:rPr>
                <w:sz w:val="20"/>
              </w:rPr>
            </w:pPr>
          </w:p>
        </w:tc>
        <w:tc>
          <w:tcPr>
            <w:tcW w:w="1526" w:type="dxa"/>
          </w:tcPr>
          <w:p>
            <w:pPr>
              <w:pStyle w:val="TableParagraph"/>
              <w:rPr>
                <w:sz w:val="20"/>
              </w:rPr>
            </w:pPr>
          </w:p>
        </w:tc>
      </w:tr>
      <w:tr>
        <w:trPr>
          <w:trHeight w:val="273" w:hRule="atLeast"/>
        </w:trPr>
        <w:tc>
          <w:tcPr>
            <w:tcW w:w="3879" w:type="dxa"/>
          </w:tcPr>
          <w:p>
            <w:pPr>
              <w:pStyle w:val="TableParagraph"/>
              <w:spacing w:line="212" w:lineRule="exact" w:before="41"/>
              <w:ind w:left="107"/>
              <w:rPr>
                <w:b/>
                <w:sz w:val="20"/>
              </w:rPr>
            </w:pPr>
            <w:r>
              <w:rPr>
                <w:b/>
                <w:sz w:val="20"/>
              </w:rPr>
              <w:t>Proportion</w:t>
            </w:r>
            <w:r>
              <w:rPr>
                <w:b/>
                <w:spacing w:val="-7"/>
                <w:sz w:val="20"/>
              </w:rPr>
              <w:t> </w:t>
            </w:r>
            <w:r>
              <w:rPr>
                <w:b/>
                <w:sz w:val="20"/>
              </w:rPr>
              <w:t>of</w:t>
            </w:r>
            <w:r>
              <w:rPr>
                <w:b/>
                <w:spacing w:val="-7"/>
                <w:sz w:val="20"/>
              </w:rPr>
              <w:t> </w:t>
            </w:r>
            <w:r>
              <w:rPr>
                <w:b/>
                <w:sz w:val="20"/>
              </w:rPr>
              <w:t>variance</w:t>
            </w:r>
            <w:r>
              <w:rPr>
                <w:b/>
                <w:spacing w:val="-6"/>
                <w:sz w:val="20"/>
              </w:rPr>
              <w:t> </w:t>
            </w:r>
            <w:r>
              <w:rPr>
                <w:b/>
                <w:sz w:val="20"/>
              </w:rPr>
              <w:t>explained</w:t>
            </w:r>
            <w:r>
              <w:rPr>
                <w:b/>
                <w:spacing w:val="-6"/>
                <w:sz w:val="20"/>
              </w:rPr>
              <w:t> </w:t>
            </w:r>
            <w:r>
              <w:rPr>
                <w:b/>
                <w:spacing w:val="-5"/>
                <w:sz w:val="20"/>
              </w:rPr>
              <w:t>(%)</w:t>
            </w:r>
          </w:p>
        </w:tc>
        <w:tc>
          <w:tcPr>
            <w:tcW w:w="1031" w:type="dxa"/>
          </w:tcPr>
          <w:p>
            <w:pPr>
              <w:pStyle w:val="TableParagraph"/>
              <w:spacing w:line="217" w:lineRule="exact" w:before="36"/>
              <w:ind w:left="3" w:right="2"/>
              <w:jc w:val="center"/>
              <w:rPr>
                <w:sz w:val="20"/>
              </w:rPr>
            </w:pPr>
            <w:r>
              <w:rPr>
                <w:spacing w:val="-2"/>
                <w:sz w:val="20"/>
              </w:rPr>
              <w:t>57.67</w:t>
            </w:r>
          </w:p>
        </w:tc>
        <w:tc>
          <w:tcPr>
            <w:tcW w:w="1086" w:type="dxa"/>
          </w:tcPr>
          <w:p>
            <w:pPr>
              <w:pStyle w:val="TableParagraph"/>
              <w:spacing w:line="217" w:lineRule="exact" w:before="36"/>
              <w:ind w:left="361"/>
              <w:rPr>
                <w:sz w:val="20"/>
              </w:rPr>
            </w:pPr>
            <w:r>
              <w:rPr>
                <w:spacing w:val="-2"/>
                <w:sz w:val="20"/>
              </w:rPr>
              <w:t>42.33</w:t>
            </w:r>
          </w:p>
        </w:tc>
        <w:tc>
          <w:tcPr>
            <w:tcW w:w="1274" w:type="dxa"/>
          </w:tcPr>
          <w:p>
            <w:pPr>
              <w:pStyle w:val="TableParagraph"/>
              <w:rPr>
                <w:sz w:val="20"/>
              </w:rPr>
            </w:pPr>
          </w:p>
        </w:tc>
        <w:tc>
          <w:tcPr>
            <w:tcW w:w="1526" w:type="dxa"/>
          </w:tcPr>
          <w:p>
            <w:pPr>
              <w:pStyle w:val="TableParagraph"/>
              <w:rPr>
                <w:sz w:val="20"/>
              </w:rPr>
            </w:pPr>
          </w:p>
        </w:tc>
      </w:tr>
      <w:tr>
        <w:trPr>
          <w:trHeight w:val="455" w:hRule="atLeast"/>
        </w:trPr>
        <w:tc>
          <w:tcPr>
            <w:tcW w:w="3879" w:type="dxa"/>
          </w:tcPr>
          <w:p>
            <w:pPr>
              <w:pStyle w:val="TableParagraph"/>
              <w:tabs>
                <w:tab w:pos="1364" w:val="left" w:leader="none"/>
                <w:tab w:pos="2558" w:val="left" w:leader="none"/>
                <w:tab w:pos="2984" w:val="left" w:leader="none"/>
              </w:tabs>
              <w:spacing w:line="227" w:lineRule="exact"/>
              <w:ind w:left="107"/>
              <w:rPr>
                <w:b/>
                <w:sz w:val="20"/>
              </w:rPr>
            </w:pPr>
            <w:r>
              <w:rPr>
                <w:b/>
                <w:spacing w:val="-2"/>
                <w:sz w:val="20"/>
              </w:rPr>
              <w:t>Cumulative</w:t>
            </w:r>
            <w:r>
              <w:rPr>
                <w:b/>
                <w:sz w:val="20"/>
              </w:rPr>
              <w:tab/>
            </w:r>
            <w:r>
              <w:rPr>
                <w:b/>
                <w:spacing w:val="-2"/>
                <w:sz w:val="20"/>
              </w:rPr>
              <w:t>proportion</w:t>
            </w:r>
            <w:r>
              <w:rPr>
                <w:b/>
                <w:sz w:val="20"/>
              </w:rPr>
              <w:tab/>
            </w:r>
            <w:r>
              <w:rPr>
                <w:b/>
                <w:spacing w:val="-5"/>
                <w:sz w:val="20"/>
              </w:rPr>
              <w:t>of</w:t>
            </w:r>
            <w:r>
              <w:rPr>
                <w:b/>
                <w:sz w:val="20"/>
              </w:rPr>
              <w:tab/>
            </w:r>
            <w:r>
              <w:rPr>
                <w:b/>
                <w:spacing w:val="-2"/>
                <w:sz w:val="20"/>
              </w:rPr>
              <w:t>variance</w:t>
            </w:r>
          </w:p>
          <w:p>
            <w:pPr>
              <w:pStyle w:val="TableParagraph"/>
              <w:tabs>
                <w:tab w:pos="8797" w:val="left" w:leader="none"/>
              </w:tabs>
              <w:spacing w:line="209" w:lineRule="exact"/>
              <w:ind w:left="-15" w:right="-4925"/>
              <w:rPr>
                <w:b/>
                <w:sz w:val="20"/>
              </w:rPr>
            </w:pPr>
            <w:r>
              <w:rPr>
                <w:b/>
                <w:spacing w:val="65"/>
                <w:sz w:val="20"/>
                <w:u w:val="single"/>
              </w:rPr>
              <w:t> </w:t>
            </w:r>
            <w:r>
              <w:rPr>
                <w:b/>
                <w:sz w:val="20"/>
                <w:u w:val="single"/>
              </w:rPr>
              <w:t>explained</w:t>
            </w:r>
            <w:r>
              <w:rPr>
                <w:b/>
                <w:spacing w:val="-3"/>
                <w:sz w:val="20"/>
                <w:u w:val="single"/>
              </w:rPr>
              <w:t> </w:t>
            </w:r>
            <w:r>
              <w:rPr>
                <w:b/>
                <w:spacing w:val="-5"/>
                <w:sz w:val="20"/>
                <w:u w:val="single"/>
              </w:rPr>
              <w:t>(%)</w:t>
            </w:r>
            <w:r>
              <w:rPr>
                <w:b/>
                <w:sz w:val="20"/>
                <w:u w:val="single"/>
              </w:rPr>
              <w:tab/>
            </w:r>
          </w:p>
        </w:tc>
        <w:tc>
          <w:tcPr>
            <w:tcW w:w="1031" w:type="dxa"/>
          </w:tcPr>
          <w:p>
            <w:pPr>
              <w:pStyle w:val="TableParagraph"/>
              <w:spacing w:line="223" w:lineRule="exact"/>
              <w:ind w:left="3" w:right="2"/>
              <w:jc w:val="center"/>
              <w:rPr>
                <w:sz w:val="20"/>
              </w:rPr>
            </w:pPr>
            <w:r>
              <w:rPr>
                <w:spacing w:val="-2"/>
                <w:sz w:val="20"/>
              </w:rPr>
              <w:t>57.67</w:t>
            </w:r>
          </w:p>
        </w:tc>
        <w:tc>
          <w:tcPr>
            <w:tcW w:w="1086" w:type="dxa"/>
          </w:tcPr>
          <w:p>
            <w:pPr>
              <w:pStyle w:val="TableParagraph"/>
              <w:spacing w:line="223" w:lineRule="exact"/>
              <w:ind w:left="310"/>
              <w:rPr>
                <w:sz w:val="20"/>
              </w:rPr>
            </w:pPr>
            <w:r>
              <w:rPr>
                <w:spacing w:val="-2"/>
                <w:sz w:val="20"/>
              </w:rPr>
              <w:t>100.00</w:t>
            </w:r>
          </w:p>
        </w:tc>
        <w:tc>
          <w:tcPr>
            <w:tcW w:w="1274" w:type="dxa"/>
          </w:tcPr>
          <w:p>
            <w:pPr>
              <w:pStyle w:val="TableParagraph"/>
              <w:rPr>
                <w:sz w:val="20"/>
              </w:rPr>
            </w:pPr>
          </w:p>
        </w:tc>
        <w:tc>
          <w:tcPr>
            <w:tcW w:w="1526" w:type="dxa"/>
          </w:tcPr>
          <w:p>
            <w:pPr>
              <w:pStyle w:val="TableParagraph"/>
              <w:rPr>
                <w:sz w:val="20"/>
              </w:rPr>
            </w:pPr>
          </w:p>
        </w:tc>
      </w:tr>
    </w:tbl>
    <w:p>
      <w:pPr>
        <w:spacing w:after="0"/>
        <w:rPr>
          <w:sz w:val="20"/>
        </w:rPr>
        <w:sectPr>
          <w:pgSz w:w="12240" w:h="15840"/>
          <w:pgMar w:header="0" w:footer="1068" w:top="1340" w:bottom="1260" w:left="1720" w:right="1300"/>
        </w:sectPr>
      </w:pPr>
    </w:p>
    <w:p>
      <w:pPr>
        <w:pStyle w:val="Heading1"/>
        <w:spacing w:before="68" w:after="4"/>
        <w:jc w:val="both"/>
      </w:pPr>
      <w:r>
        <w:rPr/>
        <w:t>Table</w:t>
      </w:r>
      <w:r>
        <w:rPr>
          <w:spacing w:val="-4"/>
        </w:rPr>
        <w:t> </w:t>
      </w:r>
      <w:r>
        <w:rPr/>
        <w:t>4.22:</w:t>
      </w:r>
      <w:r>
        <w:rPr>
          <w:spacing w:val="-2"/>
        </w:rPr>
        <w:t> </w:t>
      </w:r>
      <w:r>
        <w:rPr/>
        <w:t>Comparison</w:t>
      </w:r>
      <w:r>
        <w:rPr>
          <w:spacing w:val="-2"/>
        </w:rPr>
        <w:t> </w:t>
      </w:r>
      <w:r>
        <w:rPr/>
        <w:t>of Statistical</w:t>
      </w:r>
      <w:r>
        <w:rPr>
          <w:spacing w:val="-2"/>
        </w:rPr>
        <w:t> </w:t>
      </w:r>
      <w:r>
        <w:rPr/>
        <w:t>and</w:t>
      </w:r>
      <w:r>
        <w:rPr>
          <w:spacing w:val="-2"/>
        </w:rPr>
        <w:t> </w:t>
      </w:r>
      <w:r>
        <w:rPr/>
        <w:t>Equal</w:t>
      </w:r>
      <w:r>
        <w:rPr>
          <w:spacing w:val="-2"/>
        </w:rPr>
        <w:t> </w:t>
      </w:r>
      <w:r>
        <w:rPr/>
        <w:t>Weights</w:t>
      </w:r>
      <w:r>
        <w:rPr>
          <w:spacing w:val="-1"/>
        </w:rPr>
        <w:t> </w:t>
      </w:r>
      <w:r>
        <w:rPr/>
        <w:t>for</w:t>
      </w:r>
      <w:r>
        <w:rPr>
          <w:spacing w:val="-3"/>
        </w:rPr>
        <w:t> </w:t>
      </w:r>
      <w:r>
        <w:rPr/>
        <w:t>Water</w:t>
      </w:r>
      <w:r>
        <w:rPr>
          <w:spacing w:val="-1"/>
        </w:rPr>
        <w:t> </w:t>
      </w:r>
      <w:r>
        <w:rPr/>
        <w:t>Poverty</w:t>
      </w:r>
      <w:r>
        <w:rPr>
          <w:spacing w:val="-1"/>
        </w:rPr>
        <w:t> </w:t>
      </w:r>
      <w:r>
        <w:rPr>
          <w:spacing w:val="-2"/>
        </w:rPr>
        <w:t>Index</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8"/>
        <w:gridCol w:w="6075"/>
        <w:gridCol w:w="773"/>
        <w:gridCol w:w="773"/>
      </w:tblGrid>
      <w:tr>
        <w:trPr>
          <w:trHeight w:val="690" w:hRule="atLeast"/>
        </w:trPr>
        <w:tc>
          <w:tcPr>
            <w:tcW w:w="1238" w:type="dxa"/>
            <w:tcBorders>
              <w:top w:val="single" w:sz="8" w:space="0" w:color="000000"/>
              <w:bottom w:val="single" w:sz="8" w:space="0" w:color="000000"/>
            </w:tcBorders>
          </w:tcPr>
          <w:p>
            <w:pPr>
              <w:pStyle w:val="TableParagraph"/>
              <w:spacing w:line="228" w:lineRule="exact"/>
              <w:ind w:left="127"/>
              <w:rPr>
                <w:b/>
                <w:sz w:val="20"/>
              </w:rPr>
            </w:pPr>
            <w:r>
              <w:rPr>
                <w:b/>
                <w:spacing w:val="-2"/>
                <w:sz w:val="20"/>
              </w:rPr>
              <w:t>Component</w:t>
            </w:r>
          </w:p>
        </w:tc>
        <w:tc>
          <w:tcPr>
            <w:tcW w:w="6075" w:type="dxa"/>
            <w:tcBorders>
              <w:top w:val="single" w:sz="8" w:space="0" w:color="000000"/>
              <w:bottom w:val="single" w:sz="8" w:space="0" w:color="000000"/>
            </w:tcBorders>
          </w:tcPr>
          <w:p>
            <w:pPr>
              <w:pStyle w:val="TableParagraph"/>
              <w:spacing w:line="228" w:lineRule="exact"/>
              <w:ind w:left="5"/>
              <w:jc w:val="center"/>
              <w:rPr>
                <w:b/>
                <w:sz w:val="20"/>
              </w:rPr>
            </w:pPr>
            <w:r>
              <w:rPr>
                <w:b/>
                <w:spacing w:val="-2"/>
                <w:sz w:val="20"/>
              </w:rPr>
              <w:t>Indicator</w:t>
            </w:r>
          </w:p>
        </w:tc>
        <w:tc>
          <w:tcPr>
            <w:tcW w:w="773" w:type="dxa"/>
            <w:tcBorders>
              <w:top w:val="single" w:sz="8" w:space="0" w:color="000000"/>
              <w:bottom w:val="single" w:sz="8" w:space="0" w:color="000000"/>
            </w:tcBorders>
          </w:tcPr>
          <w:p>
            <w:pPr>
              <w:pStyle w:val="TableParagraph"/>
              <w:spacing w:line="228" w:lineRule="exact"/>
              <w:ind w:left="106" w:right="106"/>
              <w:jc w:val="center"/>
              <w:rPr>
                <w:b/>
                <w:sz w:val="20"/>
              </w:rPr>
            </w:pPr>
            <w:r>
              <w:rPr>
                <w:b/>
                <w:spacing w:val="-5"/>
                <w:sz w:val="20"/>
              </w:rPr>
              <w:t>PCA</w:t>
            </w:r>
          </w:p>
          <w:p>
            <w:pPr>
              <w:pStyle w:val="TableParagraph"/>
              <w:spacing w:line="230" w:lineRule="atLeast"/>
              <w:ind w:left="106" w:right="104"/>
              <w:jc w:val="center"/>
              <w:rPr>
                <w:b/>
                <w:sz w:val="20"/>
              </w:rPr>
            </w:pPr>
            <w:r>
              <w:rPr>
                <w:b/>
                <w:spacing w:val="-2"/>
                <w:sz w:val="20"/>
              </w:rPr>
              <w:t>Weigh </w:t>
            </w:r>
            <w:r>
              <w:rPr>
                <w:b/>
                <w:spacing w:val="-10"/>
                <w:sz w:val="20"/>
              </w:rPr>
              <w:t>t</w:t>
            </w:r>
          </w:p>
        </w:tc>
        <w:tc>
          <w:tcPr>
            <w:tcW w:w="773" w:type="dxa"/>
            <w:tcBorders>
              <w:top w:val="single" w:sz="8" w:space="0" w:color="000000"/>
              <w:bottom w:val="single" w:sz="8" w:space="0" w:color="000000"/>
            </w:tcBorders>
          </w:tcPr>
          <w:p>
            <w:pPr>
              <w:pStyle w:val="TableParagraph"/>
              <w:spacing w:line="230" w:lineRule="exact"/>
              <w:ind w:left="106" w:right="109" w:firstLine="2"/>
              <w:jc w:val="center"/>
              <w:rPr>
                <w:b/>
                <w:sz w:val="20"/>
              </w:rPr>
            </w:pPr>
            <w:r>
              <w:rPr>
                <w:b/>
                <w:spacing w:val="-2"/>
                <w:sz w:val="20"/>
              </w:rPr>
              <w:t>Equal Weigh </w:t>
            </w:r>
            <w:r>
              <w:rPr>
                <w:b/>
                <w:spacing w:val="-10"/>
                <w:sz w:val="20"/>
              </w:rPr>
              <w:t>t</w:t>
            </w:r>
          </w:p>
        </w:tc>
      </w:tr>
      <w:tr>
        <w:trPr>
          <w:trHeight w:val="264" w:hRule="atLeast"/>
        </w:trPr>
        <w:tc>
          <w:tcPr>
            <w:tcW w:w="1238" w:type="dxa"/>
            <w:tcBorders>
              <w:top w:val="single" w:sz="8" w:space="0" w:color="000000"/>
            </w:tcBorders>
          </w:tcPr>
          <w:p>
            <w:pPr>
              <w:pStyle w:val="TableParagraph"/>
              <w:spacing w:line="228" w:lineRule="exact"/>
              <w:ind w:left="122"/>
              <w:rPr>
                <w:b/>
                <w:sz w:val="20"/>
              </w:rPr>
            </w:pPr>
            <w:r>
              <w:rPr>
                <w:b/>
                <w:spacing w:val="-2"/>
                <w:sz w:val="20"/>
              </w:rPr>
              <w:t>Resource</w:t>
            </w:r>
          </w:p>
        </w:tc>
        <w:tc>
          <w:tcPr>
            <w:tcW w:w="6075" w:type="dxa"/>
            <w:tcBorders>
              <w:top w:val="single" w:sz="8" w:space="0" w:color="000000"/>
            </w:tcBorders>
          </w:tcPr>
          <w:p>
            <w:pPr>
              <w:pStyle w:val="TableParagraph"/>
              <w:spacing w:line="223" w:lineRule="exact"/>
              <w:ind w:left="113"/>
              <w:rPr>
                <w:sz w:val="20"/>
              </w:rPr>
            </w:pPr>
            <w:r>
              <w:rPr>
                <w:sz w:val="20"/>
              </w:rPr>
              <w:t>[R1]:</w:t>
            </w:r>
            <w:r>
              <w:rPr>
                <w:spacing w:val="-7"/>
                <w:sz w:val="20"/>
              </w:rPr>
              <w:t> </w:t>
            </w:r>
            <w:r>
              <w:rPr>
                <w:sz w:val="20"/>
              </w:rPr>
              <w:t>Sufficiency</w:t>
            </w:r>
            <w:r>
              <w:rPr>
                <w:spacing w:val="-6"/>
                <w:sz w:val="20"/>
              </w:rPr>
              <w:t> </w:t>
            </w:r>
            <w:r>
              <w:rPr>
                <w:sz w:val="20"/>
              </w:rPr>
              <w:t>of</w:t>
            </w:r>
            <w:r>
              <w:rPr>
                <w:spacing w:val="-5"/>
                <w:sz w:val="20"/>
              </w:rPr>
              <w:t> </w:t>
            </w:r>
            <w:r>
              <w:rPr>
                <w:sz w:val="20"/>
              </w:rPr>
              <w:t>water</w:t>
            </w:r>
            <w:r>
              <w:rPr>
                <w:spacing w:val="-4"/>
                <w:sz w:val="20"/>
              </w:rPr>
              <w:t> </w:t>
            </w:r>
            <w:r>
              <w:rPr>
                <w:spacing w:val="-2"/>
                <w:sz w:val="20"/>
              </w:rPr>
              <w:t>quantity</w:t>
            </w:r>
          </w:p>
        </w:tc>
        <w:tc>
          <w:tcPr>
            <w:tcW w:w="773" w:type="dxa"/>
            <w:tcBorders>
              <w:top w:val="single" w:sz="8" w:space="0" w:color="000000"/>
            </w:tcBorders>
          </w:tcPr>
          <w:p>
            <w:pPr>
              <w:pStyle w:val="TableParagraph"/>
              <w:spacing w:line="223" w:lineRule="exact"/>
              <w:ind w:left="106" w:right="104"/>
              <w:jc w:val="center"/>
              <w:rPr>
                <w:sz w:val="20"/>
              </w:rPr>
            </w:pPr>
            <w:r>
              <w:rPr>
                <w:spacing w:val="-2"/>
                <w:sz w:val="20"/>
              </w:rPr>
              <w:t>0.296</w:t>
            </w:r>
          </w:p>
        </w:tc>
        <w:tc>
          <w:tcPr>
            <w:tcW w:w="773" w:type="dxa"/>
            <w:tcBorders>
              <w:top w:val="single" w:sz="8" w:space="0" w:color="000000"/>
            </w:tcBorders>
          </w:tcPr>
          <w:p>
            <w:pPr>
              <w:pStyle w:val="TableParagraph"/>
              <w:spacing w:line="223" w:lineRule="exact"/>
              <w:ind w:left="106" w:right="106"/>
              <w:jc w:val="center"/>
              <w:rPr>
                <w:sz w:val="20"/>
              </w:rPr>
            </w:pPr>
            <w:r>
              <w:rPr>
                <w:spacing w:val="-2"/>
                <w:sz w:val="20"/>
              </w:rPr>
              <w:t>0.250</w:t>
            </w:r>
          </w:p>
        </w:tc>
      </w:tr>
      <w:tr>
        <w:trPr>
          <w:trHeight w:val="297" w:hRule="atLeast"/>
        </w:trPr>
        <w:tc>
          <w:tcPr>
            <w:tcW w:w="1238" w:type="dxa"/>
          </w:tcPr>
          <w:p>
            <w:pPr>
              <w:pStyle w:val="TableParagraph"/>
              <w:rPr>
                <w:sz w:val="20"/>
              </w:rPr>
            </w:pPr>
          </w:p>
        </w:tc>
        <w:tc>
          <w:tcPr>
            <w:tcW w:w="6075" w:type="dxa"/>
          </w:tcPr>
          <w:p>
            <w:pPr>
              <w:pStyle w:val="TableParagraph"/>
              <w:spacing w:before="28"/>
              <w:ind w:left="113"/>
              <w:rPr>
                <w:sz w:val="20"/>
              </w:rPr>
            </w:pPr>
            <w:r>
              <w:rPr>
                <w:sz w:val="20"/>
              </w:rPr>
              <w:t>[R2]:</w:t>
            </w:r>
            <w:r>
              <w:rPr>
                <w:spacing w:val="-6"/>
                <w:sz w:val="20"/>
              </w:rPr>
              <w:t> </w:t>
            </w:r>
            <w:r>
              <w:rPr>
                <w:sz w:val="20"/>
              </w:rPr>
              <w:t>Water</w:t>
            </w:r>
            <w:r>
              <w:rPr>
                <w:spacing w:val="-4"/>
                <w:sz w:val="20"/>
              </w:rPr>
              <w:t> </w:t>
            </w:r>
            <w:r>
              <w:rPr>
                <w:sz w:val="20"/>
              </w:rPr>
              <w:t>supply</w:t>
            </w:r>
            <w:r>
              <w:rPr>
                <w:spacing w:val="-9"/>
                <w:sz w:val="20"/>
              </w:rPr>
              <w:t> </w:t>
            </w:r>
            <w:r>
              <w:rPr>
                <w:sz w:val="20"/>
              </w:rPr>
              <w:t>reliability</w:t>
            </w:r>
            <w:r>
              <w:rPr>
                <w:spacing w:val="-6"/>
                <w:sz w:val="20"/>
              </w:rPr>
              <w:t> </w:t>
            </w:r>
            <w:r>
              <w:rPr>
                <w:sz w:val="20"/>
              </w:rPr>
              <w:t>(hours</w:t>
            </w:r>
            <w:r>
              <w:rPr>
                <w:spacing w:val="-5"/>
                <w:sz w:val="20"/>
              </w:rPr>
              <w:t> </w:t>
            </w:r>
            <w:r>
              <w:rPr>
                <w:sz w:val="20"/>
              </w:rPr>
              <w:t>not</w:t>
            </w:r>
            <w:r>
              <w:rPr>
                <w:spacing w:val="-6"/>
                <w:sz w:val="20"/>
              </w:rPr>
              <w:t> </w:t>
            </w:r>
            <w:r>
              <w:rPr>
                <w:sz w:val="20"/>
              </w:rPr>
              <w:t>operational</w:t>
            </w:r>
            <w:r>
              <w:rPr>
                <w:spacing w:val="-5"/>
                <w:sz w:val="20"/>
              </w:rPr>
              <w:t> </w:t>
            </w:r>
            <w:r>
              <w:rPr>
                <w:sz w:val="20"/>
              </w:rPr>
              <w:t>per</w:t>
            </w:r>
            <w:r>
              <w:rPr>
                <w:spacing w:val="-4"/>
                <w:sz w:val="20"/>
              </w:rPr>
              <w:t> day)</w:t>
            </w:r>
          </w:p>
        </w:tc>
        <w:tc>
          <w:tcPr>
            <w:tcW w:w="773" w:type="dxa"/>
          </w:tcPr>
          <w:p>
            <w:pPr>
              <w:pStyle w:val="TableParagraph"/>
              <w:spacing w:before="28"/>
              <w:ind w:left="106" w:right="104"/>
              <w:jc w:val="center"/>
              <w:rPr>
                <w:sz w:val="20"/>
              </w:rPr>
            </w:pPr>
            <w:r>
              <w:rPr>
                <w:spacing w:val="-2"/>
                <w:sz w:val="20"/>
              </w:rPr>
              <w:t>0.247</w:t>
            </w:r>
          </w:p>
        </w:tc>
        <w:tc>
          <w:tcPr>
            <w:tcW w:w="773" w:type="dxa"/>
          </w:tcPr>
          <w:p>
            <w:pPr>
              <w:pStyle w:val="TableParagraph"/>
              <w:spacing w:before="28"/>
              <w:ind w:left="106" w:right="106"/>
              <w:jc w:val="center"/>
              <w:rPr>
                <w:sz w:val="20"/>
              </w:rPr>
            </w:pPr>
            <w:r>
              <w:rPr>
                <w:spacing w:val="-2"/>
                <w:sz w:val="20"/>
              </w:rPr>
              <w:t>0.250</w:t>
            </w:r>
          </w:p>
        </w:tc>
      </w:tr>
      <w:tr>
        <w:trPr>
          <w:trHeight w:val="30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[R3]</w:t>
            </w:r>
            <w:r>
              <w:rPr>
                <w:spacing w:val="-5"/>
                <w:sz w:val="20"/>
              </w:rPr>
              <w:t> </w:t>
            </w:r>
            <w:r>
              <w:rPr>
                <w:sz w:val="20"/>
              </w:rPr>
              <w:t>Perceived</w:t>
            </w:r>
            <w:r>
              <w:rPr>
                <w:spacing w:val="-4"/>
                <w:sz w:val="20"/>
              </w:rPr>
              <w:t> </w:t>
            </w:r>
            <w:r>
              <w:rPr>
                <w:sz w:val="20"/>
              </w:rPr>
              <w:t>variability</w:t>
            </w:r>
            <w:r>
              <w:rPr>
                <w:spacing w:val="-9"/>
                <w:sz w:val="20"/>
              </w:rPr>
              <w:t> </w:t>
            </w:r>
            <w:r>
              <w:rPr>
                <w:sz w:val="20"/>
              </w:rPr>
              <w:t>in</w:t>
            </w:r>
            <w:r>
              <w:rPr>
                <w:spacing w:val="-7"/>
                <w:sz w:val="20"/>
              </w:rPr>
              <w:t> </w:t>
            </w:r>
            <w:r>
              <w:rPr>
                <w:sz w:val="20"/>
              </w:rPr>
              <w:t>rainfall</w:t>
            </w:r>
            <w:r>
              <w:rPr>
                <w:spacing w:val="-5"/>
                <w:sz w:val="20"/>
              </w:rPr>
              <w:t> </w:t>
            </w:r>
            <w:r>
              <w:rPr>
                <w:sz w:val="20"/>
              </w:rPr>
              <w:t>patterns</w:t>
            </w:r>
            <w:r>
              <w:rPr>
                <w:spacing w:val="-6"/>
                <w:sz w:val="20"/>
              </w:rPr>
              <w:t> </w:t>
            </w:r>
            <w:r>
              <w:rPr>
                <w:sz w:val="20"/>
              </w:rPr>
              <w:t>throughout</w:t>
            </w:r>
            <w:r>
              <w:rPr>
                <w:spacing w:val="-6"/>
                <w:sz w:val="20"/>
              </w:rPr>
              <w:t> </w:t>
            </w:r>
            <w:r>
              <w:rPr>
                <w:sz w:val="20"/>
              </w:rPr>
              <w:t>the</w:t>
            </w:r>
            <w:r>
              <w:rPr>
                <w:spacing w:val="-1"/>
                <w:sz w:val="20"/>
              </w:rPr>
              <w:t> </w:t>
            </w:r>
            <w:r>
              <w:rPr>
                <w:spacing w:val="-4"/>
                <w:sz w:val="20"/>
              </w:rPr>
              <w:t>year</w:t>
            </w:r>
          </w:p>
        </w:tc>
        <w:tc>
          <w:tcPr>
            <w:tcW w:w="773" w:type="dxa"/>
          </w:tcPr>
          <w:p>
            <w:pPr>
              <w:pStyle w:val="TableParagraph"/>
              <w:spacing w:before="30"/>
              <w:ind w:left="106" w:right="104"/>
              <w:jc w:val="center"/>
              <w:rPr>
                <w:sz w:val="20"/>
              </w:rPr>
            </w:pPr>
            <w:r>
              <w:rPr>
                <w:spacing w:val="-2"/>
                <w:sz w:val="20"/>
              </w:rPr>
              <w:t>0.237</w:t>
            </w:r>
          </w:p>
        </w:tc>
        <w:tc>
          <w:tcPr>
            <w:tcW w:w="773" w:type="dxa"/>
          </w:tcPr>
          <w:p>
            <w:pPr>
              <w:pStyle w:val="TableParagraph"/>
              <w:spacing w:before="30"/>
              <w:ind w:left="106" w:right="106"/>
              <w:jc w:val="center"/>
              <w:rPr>
                <w:sz w:val="20"/>
              </w:rPr>
            </w:pPr>
            <w:r>
              <w:rPr>
                <w:spacing w:val="-2"/>
                <w:sz w:val="20"/>
              </w:rPr>
              <w:t>0.250</w:t>
            </w:r>
          </w:p>
        </w:tc>
      </w:tr>
      <w:tr>
        <w:trPr>
          <w:trHeight w:val="45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[R4]:</w:t>
            </w:r>
            <w:r>
              <w:rPr>
                <w:spacing w:val="-5"/>
                <w:sz w:val="20"/>
              </w:rPr>
              <w:t> </w:t>
            </w:r>
            <w:r>
              <w:rPr>
                <w:sz w:val="20"/>
              </w:rPr>
              <w:t>Seasonal</w:t>
            </w:r>
            <w:r>
              <w:rPr>
                <w:spacing w:val="-2"/>
                <w:sz w:val="20"/>
              </w:rPr>
              <w:t> </w:t>
            </w:r>
            <w:r>
              <w:rPr>
                <w:sz w:val="20"/>
              </w:rPr>
              <w:t>variability</w:t>
            </w:r>
            <w:r>
              <w:rPr>
                <w:spacing w:val="-7"/>
                <w:sz w:val="20"/>
              </w:rPr>
              <w:t> </w:t>
            </w:r>
            <w:r>
              <w:rPr>
                <w:sz w:val="20"/>
              </w:rPr>
              <w:t>of</w:t>
            </w:r>
            <w:r>
              <w:rPr>
                <w:spacing w:val="-6"/>
                <w:sz w:val="20"/>
              </w:rPr>
              <w:t> </w:t>
            </w:r>
            <w:r>
              <w:rPr>
                <w:sz w:val="20"/>
              </w:rPr>
              <w:t>water</w:t>
            </w:r>
            <w:r>
              <w:rPr>
                <w:spacing w:val="-2"/>
                <w:sz w:val="20"/>
              </w:rPr>
              <w:t> </w:t>
            </w:r>
            <w:r>
              <w:rPr>
                <w:sz w:val="20"/>
              </w:rPr>
              <w:t>supply</w:t>
            </w:r>
            <w:r>
              <w:rPr>
                <w:spacing w:val="-8"/>
                <w:sz w:val="20"/>
              </w:rPr>
              <w:t> </w:t>
            </w:r>
            <w:r>
              <w:rPr>
                <w:sz w:val="20"/>
              </w:rPr>
              <w:t>in</w:t>
            </w:r>
            <w:r>
              <w:rPr>
                <w:spacing w:val="-4"/>
                <w:sz w:val="20"/>
              </w:rPr>
              <w:t> </w:t>
            </w:r>
            <w:r>
              <w:rPr>
                <w:sz w:val="20"/>
              </w:rPr>
              <w:t>dry</w:t>
            </w:r>
            <w:r>
              <w:rPr>
                <w:spacing w:val="-8"/>
                <w:sz w:val="20"/>
              </w:rPr>
              <w:t> </w:t>
            </w:r>
            <w:r>
              <w:rPr>
                <w:spacing w:val="-2"/>
                <w:sz w:val="20"/>
              </w:rPr>
              <w:t>season</w:t>
            </w:r>
          </w:p>
        </w:tc>
        <w:tc>
          <w:tcPr>
            <w:tcW w:w="773" w:type="dxa"/>
          </w:tcPr>
          <w:p>
            <w:pPr>
              <w:pStyle w:val="TableParagraph"/>
              <w:spacing w:before="30"/>
              <w:ind w:left="106" w:right="104"/>
              <w:jc w:val="center"/>
              <w:rPr>
                <w:sz w:val="20"/>
              </w:rPr>
            </w:pPr>
            <w:r>
              <w:rPr>
                <w:spacing w:val="-2"/>
                <w:sz w:val="20"/>
              </w:rPr>
              <w:t>0.219</w:t>
            </w:r>
          </w:p>
        </w:tc>
        <w:tc>
          <w:tcPr>
            <w:tcW w:w="773" w:type="dxa"/>
          </w:tcPr>
          <w:p>
            <w:pPr>
              <w:pStyle w:val="TableParagraph"/>
              <w:spacing w:before="30"/>
              <w:ind w:left="106" w:right="106"/>
              <w:jc w:val="center"/>
              <w:rPr>
                <w:sz w:val="20"/>
              </w:rPr>
            </w:pPr>
            <w:r>
              <w:rPr>
                <w:spacing w:val="-2"/>
                <w:sz w:val="20"/>
              </w:rPr>
              <w:t>0.250</w:t>
            </w:r>
          </w:p>
        </w:tc>
      </w:tr>
      <w:tr>
        <w:trPr>
          <w:trHeight w:val="452" w:hRule="atLeast"/>
        </w:trPr>
        <w:tc>
          <w:tcPr>
            <w:tcW w:w="1238" w:type="dxa"/>
          </w:tcPr>
          <w:p>
            <w:pPr>
              <w:pStyle w:val="TableParagraph"/>
              <w:spacing w:before="185"/>
              <w:ind w:left="122"/>
              <w:rPr>
                <w:b/>
                <w:sz w:val="20"/>
              </w:rPr>
            </w:pPr>
            <w:r>
              <w:rPr>
                <w:b/>
                <w:spacing w:val="-2"/>
                <w:sz w:val="20"/>
              </w:rPr>
              <w:t>Access</w:t>
            </w:r>
          </w:p>
        </w:tc>
        <w:tc>
          <w:tcPr>
            <w:tcW w:w="6075" w:type="dxa"/>
          </w:tcPr>
          <w:p>
            <w:pPr>
              <w:pStyle w:val="TableParagraph"/>
              <w:spacing w:before="180"/>
              <w:ind w:left="113"/>
              <w:rPr>
                <w:sz w:val="20"/>
              </w:rPr>
            </w:pPr>
            <w:r>
              <w:rPr>
                <w:sz w:val="20"/>
              </w:rPr>
              <w:t>[A1]:</w:t>
            </w:r>
            <w:r>
              <w:rPr>
                <w:spacing w:val="-7"/>
                <w:sz w:val="20"/>
              </w:rPr>
              <w:t> </w:t>
            </w:r>
            <w:r>
              <w:rPr>
                <w:sz w:val="20"/>
              </w:rPr>
              <w:t>Household</w:t>
            </w:r>
            <w:r>
              <w:rPr>
                <w:spacing w:val="-3"/>
                <w:sz w:val="20"/>
              </w:rPr>
              <w:t> </w:t>
            </w:r>
            <w:r>
              <w:rPr>
                <w:sz w:val="20"/>
              </w:rPr>
              <w:t>with</w:t>
            </w:r>
            <w:r>
              <w:rPr>
                <w:spacing w:val="-8"/>
                <w:sz w:val="20"/>
              </w:rPr>
              <w:t> </w:t>
            </w:r>
            <w:r>
              <w:rPr>
                <w:sz w:val="20"/>
              </w:rPr>
              <w:t>access</w:t>
            </w:r>
            <w:r>
              <w:rPr>
                <w:spacing w:val="-6"/>
                <w:sz w:val="20"/>
              </w:rPr>
              <w:t> </w:t>
            </w:r>
            <w:r>
              <w:rPr>
                <w:sz w:val="20"/>
              </w:rPr>
              <w:t>to</w:t>
            </w:r>
            <w:r>
              <w:rPr>
                <w:spacing w:val="-5"/>
                <w:sz w:val="20"/>
              </w:rPr>
              <w:t> </w:t>
            </w:r>
            <w:r>
              <w:rPr>
                <w:sz w:val="20"/>
              </w:rPr>
              <w:t>public</w:t>
            </w:r>
            <w:r>
              <w:rPr>
                <w:spacing w:val="-4"/>
                <w:sz w:val="20"/>
              </w:rPr>
              <w:t> </w:t>
            </w:r>
            <w:r>
              <w:rPr>
                <w:sz w:val="20"/>
              </w:rPr>
              <w:t>water</w:t>
            </w:r>
            <w:r>
              <w:rPr>
                <w:spacing w:val="-5"/>
                <w:sz w:val="20"/>
              </w:rPr>
              <w:t> </w:t>
            </w:r>
            <w:r>
              <w:rPr>
                <w:spacing w:val="-2"/>
                <w:sz w:val="20"/>
              </w:rPr>
              <w:t>supply</w:t>
            </w:r>
          </w:p>
        </w:tc>
        <w:tc>
          <w:tcPr>
            <w:tcW w:w="773" w:type="dxa"/>
          </w:tcPr>
          <w:p>
            <w:pPr>
              <w:pStyle w:val="TableParagraph"/>
              <w:spacing w:before="180"/>
              <w:ind w:left="106" w:right="104"/>
              <w:jc w:val="center"/>
              <w:rPr>
                <w:sz w:val="20"/>
              </w:rPr>
            </w:pPr>
            <w:r>
              <w:rPr>
                <w:spacing w:val="-2"/>
                <w:sz w:val="20"/>
              </w:rPr>
              <w:t>0.227</w:t>
            </w:r>
          </w:p>
        </w:tc>
        <w:tc>
          <w:tcPr>
            <w:tcW w:w="773" w:type="dxa"/>
          </w:tcPr>
          <w:p>
            <w:pPr>
              <w:pStyle w:val="TableParagraph"/>
              <w:spacing w:before="180"/>
              <w:ind w:left="106" w:right="106"/>
              <w:jc w:val="center"/>
              <w:rPr>
                <w:sz w:val="20"/>
              </w:rPr>
            </w:pPr>
            <w:r>
              <w:rPr>
                <w:spacing w:val="-2"/>
                <w:sz w:val="20"/>
              </w:rPr>
              <w:t>0.200</w:t>
            </w:r>
          </w:p>
        </w:tc>
      </w:tr>
      <w:tr>
        <w:trPr>
          <w:trHeight w:val="297" w:hRule="atLeast"/>
        </w:trPr>
        <w:tc>
          <w:tcPr>
            <w:tcW w:w="1238" w:type="dxa"/>
          </w:tcPr>
          <w:p>
            <w:pPr>
              <w:pStyle w:val="TableParagraph"/>
              <w:rPr>
                <w:sz w:val="20"/>
              </w:rPr>
            </w:pPr>
          </w:p>
        </w:tc>
        <w:tc>
          <w:tcPr>
            <w:tcW w:w="6075" w:type="dxa"/>
          </w:tcPr>
          <w:p>
            <w:pPr>
              <w:pStyle w:val="TableParagraph"/>
              <w:spacing w:before="28"/>
              <w:ind w:left="113"/>
              <w:rPr>
                <w:sz w:val="20"/>
              </w:rPr>
            </w:pPr>
            <w:r>
              <w:rPr>
                <w:sz w:val="20"/>
              </w:rPr>
              <w:t>[A2]:</w:t>
            </w:r>
            <w:r>
              <w:rPr>
                <w:spacing w:val="-7"/>
                <w:sz w:val="20"/>
              </w:rPr>
              <w:t> </w:t>
            </w:r>
            <w:r>
              <w:rPr>
                <w:sz w:val="20"/>
              </w:rPr>
              <w:t>Household</w:t>
            </w:r>
            <w:r>
              <w:rPr>
                <w:spacing w:val="-3"/>
                <w:sz w:val="20"/>
              </w:rPr>
              <w:t> </w:t>
            </w:r>
            <w:r>
              <w:rPr>
                <w:sz w:val="20"/>
              </w:rPr>
              <w:t>with</w:t>
            </w:r>
            <w:r>
              <w:rPr>
                <w:spacing w:val="-8"/>
                <w:sz w:val="20"/>
              </w:rPr>
              <w:t> </w:t>
            </w:r>
            <w:r>
              <w:rPr>
                <w:sz w:val="20"/>
              </w:rPr>
              <w:t>access</w:t>
            </w:r>
            <w:r>
              <w:rPr>
                <w:spacing w:val="-7"/>
                <w:sz w:val="20"/>
              </w:rPr>
              <w:t> </w:t>
            </w:r>
            <w:r>
              <w:rPr>
                <w:sz w:val="20"/>
              </w:rPr>
              <w:t>to</w:t>
            </w:r>
            <w:r>
              <w:rPr>
                <w:spacing w:val="1"/>
                <w:sz w:val="20"/>
              </w:rPr>
              <w:t> </w:t>
            </w:r>
            <w:r>
              <w:rPr>
                <w:sz w:val="20"/>
              </w:rPr>
              <w:t>water</w:t>
            </w:r>
            <w:r>
              <w:rPr>
                <w:spacing w:val="-5"/>
                <w:sz w:val="20"/>
              </w:rPr>
              <w:t> </w:t>
            </w:r>
            <w:r>
              <w:rPr>
                <w:spacing w:val="-2"/>
                <w:sz w:val="20"/>
              </w:rPr>
              <w:t>treatment</w:t>
            </w:r>
          </w:p>
        </w:tc>
        <w:tc>
          <w:tcPr>
            <w:tcW w:w="773" w:type="dxa"/>
          </w:tcPr>
          <w:p>
            <w:pPr>
              <w:pStyle w:val="TableParagraph"/>
              <w:spacing w:before="28"/>
              <w:ind w:left="106" w:right="104"/>
              <w:jc w:val="center"/>
              <w:rPr>
                <w:sz w:val="20"/>
              </w:rPr>
            </w:pPr>
            <w:r>
              <w:rPr>
                <w:spacing w:val="-2"/>
                <w:sz w:val="20"/>
              </w:rPr>
              <w:t>0.216</w:t>
            </w:r>
          </w:p>
        </w:tc>
        <w:tc>
          <w:tcPr>
            <w:tcW w:w="773" w:type="dxa"/>
          </w:tcPr>
          <w:p>
            <w:pPr>
              <w:pStyle w:val="TableParagraph"/>
              <w:spacing w:before="28"/>
              <w:ind w:left="106" w:right="106"/>
              <w:jc w:val="center"/>
              <w:rPr>
                <w:sz w:val="20"/>
              </w:rPr>
            </w:pPr>
            <w:r>
              <w:rPr>
                <w:spacing w:val="-2"/>
                <w:sz w:val="20"/>
              </w:rPr>
              <w:t>0.200</w:t>
            </w:r>
          </w:p>
        </w:tc>
      </w:tr>
      <w:tr>
        <w:trPr>
          <w:trHeight w:val="30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[A3]:</w:t>
            </w:r>
            <w:r>
              <w:rPr>
                <w:spacing w:val="42"/>
                <w:sz w:val="20"/>
              </w:rPr>
              <w:t> </w:t>
            </w:r>
            <w:r>
              <w:rPr>
                <w:sz w:val="20"/>
              </w:rPr>
              <w:t>Number</w:t>
            </w:r>
            <w:r>
              <w:rPr>
                <w:spacing w:val="-2"/>
                <w:sz w:val="20"/>
              </w:rPr>
              <w:t> </w:t>
            </w:r>
            <w:r>
              <w:rPr>
                <w:sz w:val="20"/>
              </w:rPr>
              <w:t>of</w:t>
            </w:r>
            <w:r>
              <w:rPr>
                <w:spacing w:val="-5"/>
                <w:sz w:val="20"/>
              </w:rPr>
              <w:t> </w:t>
            </w:r>
            <w:r>
              <w:rPr>
                <w:sz w:val="20"/>
              </w:rPr>
              <w:t>one-way</w:t>
            </w:r>
            <w:r>
              <w:rPr>
                <w:spacing w:val="-8"/>
                <w:sz w:val="20"/>
              </w:rPr>
              <w:t> </w:t>
            </w:r>
            <w:r>
              <w:rPr>
                <w:sz w:val="20"/>
              </w:rPr>
              <w:t>trips</w:t>
            </w:r>
            <w:r>
              <w:rPr>
                <w:spacing w:val="-3"/>
                <w:sz w:val="20"/>
              </w:rPr>
              <w:t> </w:t>
            </w:r>
            <w:r>
              <w:rPr>
                <w:sz w:val="20"/>
              </w:rPr>
              <w:t>to</w:t>
            </w:r>
            <w:r>
              <w:rPr>
                <w:spacing w:val="-1"/>
                <w:sz w:val="20"/>
              </w:rPr>
              <w:t> </w:t>
            </w:r>
            <w:r>
              <w:rPr>
                <w:sz w:val="20"/>
              </w:rPr>
              <w:t>water</w:t>
            </w:r>
            <w:r>
              <w:rPr>
                <w:spacing w:val="-2"/>
                <w:sz w:val="20"/>
              </w:rPr>
              <w:t> source</w:t>
            </w:r>
          </w:p>
        </w:tc>
        <w:tc>
          <w:tcPr>
            <w:tcW w:w="773" w:type="dxa"/>
          </w:tcPr>
          <w:p>
            <w:pPr>
              <w:pStyle w:val="TableParagraph"/>
              <w:spacing w:before="30"/>
              <w:ind w:left="106" w:right="104"/>
              <w:jc w:val="center"/>
              <w:rPr>
                <w:sz w:val="20"/>
              </w:rPr>
            </w:pPr>
            <w:r>
              <w:rPr>
                <w:spacing w:val="-2"/>
                <w:sz w:val="20"/>
              </w:rPr>
              <w:t>0.201</w:t>
            </w:r>
          </w:p>
        </w:tc>
        <w:tc>
          <w:tcPr>
            <w:tcW w:w="773" w:type="dxa"/>
          </w:tcPr>
          <w:p>
            <w:pPr>
              <w:pStyle w:val="TableParagraph"/>
              <w:spacing w:before="30"/>
              <w:ind w:left="106" w:right="106"/>
              <w:jc w:val="center"/>
              <w:rPr>
                <w:sz w:val="20"/>
              </w:rPr>
            </w:pPr>
            <w:r>
              <w:rPr>
                <w:spacing w:val="-2"/>
                <w:sz w:val="20"/>
              </w:rPr>
              <w:t>0.200</w:t>
            </w:r>
          </w:p>
        </w:tc>
      </w:tr>
      <w:tr>
        <w:trPr>
          <w:trHeight w:val="30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[A4]:</w:t>
            </w:r>
            <w:r>
              <w:rPr>
                <w:spacing w:val="-5"/>
                <w:sz w:val="20"/>
              </w:rPr>
              <w:t> </w:t>
            </w:r>
            <w:r>
              <w:rPr>
                <w:sz w:val="20"/>
              </w:rPr>
              <w:t>Waiting</w:t>
            </w:r>
            <w:r>
              <w:rPr>
                <w:spacing w:val="-5"/>
                <w:sz w:val="20"/>
              </w:rPr>
              <w:t> </w:t>
            </w:r>
            <w:r>
              <w:rPr>
                <w:sz w:val="20"/>
              </w:rPr>
              <w:t>time</w:t>
            </w:r>
            <w:r>
              <w:rPr>
                <w:spacing w:val="-4"/>
                <w:sz w:val="20"/>
              </w:rPr>
              <w:t> </w:t>
            </w:r>
            <w:r>
              <w:rPr>
                <w:sz w:val="20"/>
              </w:rPr>
              <w:t>for</w:t>
            </w:r>
            <w:r>
              <w:rPr>
                <w:spacing w:val="-1"/>
                <w:sz w:val="20"/>
              </w:rPr>
              <w:t> </w:t>
            </w:r>
            <w:r>
              <w:rPr>
                <w:sz w:val="20"/>
              </w:rPr>
              <w:t>water</w:t>
            </w:r>
            <w:r>
              <w:rPr>
                <w:spacing w:val="-3"/>
                <w:sz w:val="20"/>
              </w:rPr>
              <w:t> </w:t>
            </w:r>
            <w:r>
              <w:rPr>
                <w:sz w:val="20"/>
              </w:rPr>
              <w:t>collection</w:t>
            </w:r>
            <w:r>
              <w:rPr>
                <w:spacing w:val="-5"/>
                <w:sz w:val="20"/>
              </w:rPr>
              <w:t> </w:t>
            </w:r>
            <w:r>
              <w:rPr>
                <w:sz w:val="20"/>
              </w:rPr>
              <w:t>based</w:t>
            </w:r>
            <w:r>
              <w:rPr>
                <w:spacing w:val="-3"/>
                <w:sz w:val="20"/>
              </w:rPr>
              <w:t> </w:t>
            </w:r>
            <w:r>
              <w:rPr>
                <w:sz w:val="20"/>
              </w:rPr>
              <w:t>on</w:t>
            </w:r>
            <w:r>
              <w:rPr>
                <w:spacing w:val="-5"/>
                <w:sz w:val="20"/>
              </w:rPr>
              <w:t> </w:t>
            </w:r>
            <w:r>
              <w:rPr>
                <w:sz w:val="20"/>
              </w:rPr>
              <w:t>one-way</w:t>
            </w:r>
            <w:r>
              <w:rPr>
                <w:spacing w:val="-5"/>
                <w:sz w:val="20"/>
              </w:rPr>
              <w:t> </w:t>
            </w:r>
            <w:r>
              <w:rPr>
                <w:sz w:val="20"/>
              </w:rPr>
              <w:t>trip</w:t>
            </w:r>
            <w:r>
              <w:rPr>
                <w:spacing w:val="-3"/>
                <w:sz w:val="20"/>
              </w:rPr>
              <w:t> </w:t>
            </w:r>
            <w:r>
              <w:rPr>
                <w:spacing w:val="-2"/>
                <w:sz w:val="20"/>
              </w:rPr>
              <w:t>(minutes)</w:t>
            </w:r>
          </w:p>
        </w:tc>
        <w:tc>
          <w:tcPr>
            <w:tcW w:w="773" w:type="dxa"/>
          </w:tcPr>
          <w:p>
            <w:pPr>
              <w:pStyle w:val="TableParagraph"/>
              <w:spacing w:before="30"/>
              <w:ind w:left="106" w:right="104"/>
              <w:jc w:val="center"/>
              <w:rPr>
                <w:sz w:val="20"/>
              </w:rPr>
            </w:pPr>
            <w:r>
              <w:rPr>
                <w:spacing w:val="-2"/>
                <w:sz w:val="20"/>
              </w:rPr>
              <w:t>0.179</w:t>
            </w:r>
          </w:p>
        </w:tc>
        <w:tc>
          <w:tcPr>
            <w:tcW w:w="773" w:type="dxa"/>
          </w:tcPr>
          <w:p>
            <w:pPr>
              <w:pStyle w:val="TableParagraph"/>
              <w:spacing w:before="30"/>
              <w:ind w:left="106" w:right="106"/>
              <w:jc w:val="center"/>
              <w:rPr>
                <w:sz w:val="20"/>
              </w:rPr>
            </w:pPr>
            <w:r>
              <w:rPr>
                <w:spacing w:val="-2"/>
                <w:sz w:val="20"/>
              </w:rPr>
              <w:t>0.200</w:t>
            </w:r>
          </w:p>
        </w:tc>
      </w:tr>
      <w:tr>
        <w:trPr>
          <w:trHeight w:val="45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[A5]:</w:t>
            </w:r>
            <w:r>
              <w:rPr>
                <w:spacing w:val="-7"/>
                <w:sz w:val="20"/>
              </w:rPr>
              <w:t> </w:t>
            </w:r>
            <w:r>
              <w:rPr>
                <w:sz w:val="20"/>
              </w:rPr>
              <w:t>Occurrence</w:t>
            </w:r>
            <w:r>
              <w:rPr>
                <w:spacing w:val="-6"/>
                <w:sz w:val="20"/>
              </w:rPr>
              <w:t> </w:t>
            </w:r>
            <w:r>
              <w:rPr>
                <w:sz w:val="20"/>
              </w:rPr>
              <w:t>of</w:t>
            </w:r>
            <w:r>
              <w:rPr>
                <w:spacing w:val="-4"/>
                <w:sz w:val="20"/>
              </w:rPr>
              <w:t> </w:t>
            </w:r>
            <w:r>
              <w:rPr>
                <w:sz w:val="20"/>
              </w:rPr>
              <w:t>water</w:t>
            </w:r>
            <w:r>
              <w:rPr>
                <w:spacing w:val="-5"/>
                <w:sz w:val="20"/>
              </w:rPr>
              <w:t> </w:t>
            </w:r>
            <w:r>
              <w:rPr>
                <w:sz w:val="20"/>
              </w:rPr>
              <w:t>conflict</w:t>
            </w:r>
            <w:r>
              <w:rPr>
                <w:spacing w:val="-7"/>
                <w:sz w:val="20"/>
              </w:rPr>
              <w:t> </w:t>
            </w:r>
            <w:r>
              <w:rPr>
                <w:sz w:val="20"/>
              </w:rPr>
              <w:t>at</w:t>
            </w:r>
            <w:r>
              <w:rPr>
                <w:spacing w:val="-3"/>
                <w:sz w:val="20"/>
              </w:rPr>
              <w:t> </w:t>
            </w:r>
            <w:r>
              <w:rPr>
                <w:sz w:val="20"/>
              </w:rPr>
              <w:t>water</w:t>
            </w:r>
            <w:r>
              <w:rPr>
                <w:spacing w:val="-5"/>
                <w:sz w:val="20"/>
              </w:rPr>
              <w:t> </w:t>
            </w:r>
            <w:r>
              <w:rPr>
                <w:spacing w:val="-2"/>
                <w:sz w:val="20"/>
              </w:rPr>
              <w:t>points</w:t>
            </w:r>
          </w:p>
        </w:tc>
        <w:tc>
          <w:tcPr>
            <w:tcW w:w="773" w:type="dxa"/>
          </w:tcPr>
          <w:p>
            <w:pPr>
              <w:pStyle w:val="TableParagraph"/>
              <w:spacing w:before="30"/>
              <w:ind w:left="106" w:right="104"/>
              <w:jc w:val="center"/>
              <w:rPr>
                <w:sz w:val="20"/>
              </w:rPr>
            </w:pPr>
            <w:r>
              <w:rPr>
                <w:spacing w:val="-2"/>
                <w:sz w:val="20"/>
              </w:rPr>
              <w:t>0.176</w:t>
            </w:r>
          </w:p>
        </w:tc>
        <w:tc>
          <w:tcPr>
            <w:tcW w:w="773" w:type="dxa"/>
          </w:tcPr>
          <w:p>
            <w:pPr>
              <w:pStyle w:val="TableParagraph"/>
              <w:spacing w:before="30"/>
              <w:ind w:left="106" w:right="106"/>
              <w:jc w:val="center"/>
              <w:rPr>
                <w:sz w:val="20"/>
              </w:rPr>
            </w:pPr>
            <w:r>
              <w:rPr>
                <w:spacing w:val="-2"/>
                <w:sz w:val="20"/>
              </w:rPr>
              <w:t>0.200</w:t>
            </w:r>
          </w:p>
        </w:tc>
      </w:tr>
      <w:tr>
        <w:trPr>
          <w:trHeight w:val="452" w:hRule="atLeast"/>
        </w:trPr>
        <w:tc>
          <w:tcPr>
            <w:tcW w:w="1238" w:type="dxa"/>
          </w:tcPr>
          <w:p>
            <w:pPr>
              <w:pStyle w:val="TableParagraph"/>
              <w:spacing w:before="185"/>
              <w:ind w:left="122"/>
              <w:rPr>
                <w:b/>
                <w:sz w:val="20"/>
              </w:rPr>
            </w:pPr>
            <w:r>
              <w:rPr>
                <w:b/>
                <w:spacing w:val="-2"/>
                <w:sz w:val="20"/>
              </w:rPr>
              <w:t>Capacity</w:t>
            </w:r>
          </w:p>
        </w:tc>
        <w:tc>
          <w:tcPr>
            <w:tcW w:w="6075" w:type="dxa"/>
          </w:tcPr>
          <w:p>
            <w:pPr>
              <w:pStyle w:val="TableParagraph"/>
              <w:spacing w:before="180"/>
              <w:ind w:left="113"/>
              <w:rPr>
                <w:sz w:val="20"/>
              </w:rPr>
            </w:pPr>
            <w:r>
              <w:rPr>
                <w:sz w:val="20"/>
              </w:rPr>
              <w:t>[C1]:</w:t>
            </w:r>
            <w:r>
              <w:rPr>
                <w:spacing w:val="-5"/>
                <w:sz w:val="20"/>
              </w:rPr>
              <w:t> </w:t>
            </w:r>
            <w:r>
              <w:rPr>
                <w:sz w:val="20"/>
              </w:rPr>
              <w:t>Level</w:t>
            </w:r>
            <w:r>
              <w:rPr>
                <w:spacing w:val="-4"/>
                <w:sz w:val="20"/>
              </w:rPr>
              <w:t> </w:t>
            </w:r>
            <w:r>
              <w:rPr>
                <w:sz w:val="20"/>
              </w:rPr>
              <w:t>of</w:t>
            </w:r>
            <w:r>
              <w:rPr>
                <w:spacing w:val="-5"/>
                <w:sz w:val="20"/>
              </w:rPr>
              <w:t> </w:t>
            </w:r>
            <w:r>
              <w:rPr>
                <w:sz w:val="20"/>
              </w:rPr>
              <w:t>financial</w:t>
            </w:r>
            <w:r>
              <w:rPr>
                <w:spacing w:val="-3"/>
                <w:sz w:val="20"/>
              </w:rPr>
              <w:t> </w:t>
            </w:r>
            <w:r>
              <w:rPr>
                <w:sz w:val="20"/>
              </w:rPr>
              <w:t>capacity</w:t>
            </w:r>
            <w:r>
              <w:rPr>
                <w:spacing w:val="-8"/>
                <w:sz w:val="20"/>
              </w:rPr>
              <w:t> </w:t>
            </w:r>
            <w:r>
              <w:rPr>
                <w:sz w:val="20"/>
              </w:rPr>
              <w:t>of</w:t>
            </w:r>
            <w:r>
              <w:rPr>
                <w:spacing w:val="-5"/>
                <w:sz w:val="20"/>
              </w:rPr>
              <w:t> </w:t>
            </w:r>
            <w:r>
              <w:rPr>
                <w:sz w:val="20"/>
              </w:rPr>
              <w:t>the</w:t>
            </w:r>
            <w:r>
              <w:rPr>
                <w:spacing w:val="-4"/>
                <w:sz w:val="20"/>
              </w:rPr>
              <w:t> </w:t>
            </w:r>
            <w:r>
              <w:rPr>
                <w:spacing w:val="-2"/>
                <w:sz w:val="20"/>
              </w:rPr>
              <w:t>household</w:t>
            </w:r>
          </w:p>
        </w:tc>
        <w:tc>
          <w:tcPr>
            <w:tcW w:w="773" w:type="dxa"/>
          </w:tcPr>
          <w:p>
            <w:pPr>
              <w:pStyle w:val="TableParagraph"/>
              <w:spacing w:before="180"/>
              <w:ind w:left="106" w:right="104"/>
              <w:jc w:val="center"/>
              <w:rPr>
                <w:sz w:val="20"/>
              </w:rPr>
            </w:pPr>
            <w:r>
              <w:rPr>
                <w:spacing w:val="-2"/>
                <w:sz w:val="20"/>
              </w:rPr>
              <w:t>0.203</w:t>
            </w:r>
          </w:p>
        </w:tc>
        <w:tc>
          <w:tcPr>
            <w:tcW w:w="773" w:type="dxa"/>
          </w:tcPr>
          <w:p>
            <w:pPr>
              <w:pStyle w:val="TableParagraph"/>
              <w:spacing w:before="180"/>
              <w:ind w:left="106" w:right="106"/>
              <w:jc w:val="center"/>
              <w:rPr>
                <w:sz w:val="20"/>
              </w:rPr>
            </w:pPr>
            <w:r>
              <w:rPr>
                <w:spacing w:val="-2"/>
                <w:sz w:val="20"/>
              </w:rPr>
              <w:t>0.167</w:t>
            </w:r>
          </w:p>
        </w:tc>
      </w:tr>
      <w:tr>
        <w:trPr>
          <w:trHeight w:val="262" w:hRule="atLeast"/>
        </w:trPr>
        <w:tc>
          <w:tcPr>
            <w:tcW w:w="1238" w:type="dxa"/>
          </w:tcPr>
          <w:p>
            <w:pPr>
              <w:pStyle w:val="TableParagraph"/>
              <w:rPr>
                <w:sz w:val="18"/>
              </w:rPr>
            </w:pPr>
          </w:p>
        </w:tc>
        <w:tc>
          <w:tcPr>
            <w:tcW w:w="6075" w:type="dxa"/>
          </w:tcPr>
          <w:p>
            <w:pPr>
              <w:pStyle w:val="TableParagraph"/>
              <w:spacing w:line="215" w:lineRule="exact" w:before="28"/>
              <w:ind w:left="113"/>
              <w:rPr>
                <w:sz w:val="20"/>
              </w:rPr>
            </w:pPr>
            <w:r>
              <w:rPr>
                <w:sz w:val="20"/>
              </w:rPr>
              <w:t>[C2]:</w:t>
            </w:r>
            <w:r>
              <w:rPr>
                <w:spacing w:val="-6"/>
                <w:sz w:val="20"/>
              </w:rPr>
              <w:t> </w:t>
            </w:r>
            <w:r>
              <w:rPr>
                <w:sz w:val="20"/>
              </w:rPr>
              <w:t>Household</w:t>
            </w:r>
            <w:r>
              <w:rPr>
                <w:spacing w:val="-4"/>
                <w:sz w:val="20"/>
              </w:rPr>
              <w:t> </w:t>
            </w:r>
            <w:r>
              <w:rPr>
                <w:sz w:val="20"/>
              </w:rPr>
              <w:t>level</w:t>
            </w:r>
            <w:r>
              <w:rPr>
                <w:spacing w:val="-5"/>
                <w:sz w:val="20"/>
              </w:rPr>
              <w:t> </w:t>
            </w:r>
            <w:r>
              <w:rPr>
                <w:sz w:val="20"/>
              </w:rPr>
              <w:t>of</w:t>
            </w:r>
            <w:r>
              <w:rPr>
                <w:spacing w:val="-7"/>
                <w:sz w:val="20"/>
              </w:rPr>
              <w:t> </w:t>
            </w:r>
            <w:r>
              <w:rPr>
                <w:spacing w:val="-2"/>
                <w:sz w:val="20"/>
              </w:rPr>
              <w:t>employment</w:t>
            </w:r>
          </w:p>
        </w:tc>
        <w:tc>
          <w:tcPr>
            <w:tcW w:w="773" w:type="dxa"/>
          </w:tcPr>
          <w:p>
            <w:pPr>
              <w:pStyle w:val="TableParagraph"/>
              <w:spacing w:line="215" w:lineRule="exact" w:before="28"/>
              <w:ind w:left="106" w:right="104"/>
              <w:jc w:val="center"/>
              <w:rPr>
                <w:sz w:val="20"/>
              </w:rPr>
            </w:pPr>
            <w:r>
              <w:rPr>
                <w:spacing w:val="-2"/>
                <w:sz w:val="20"/>
              </w:rPr>
              <w:t>0.173</w:t>
            </w:r>
          </w:p>
        </w:tc>
        <w:tc>
          <w:tcPr>
            <w:tcW w:w="773" w:type="dxa"/>
          </w:tcPr>
          <w:p>
            <w:pPr>
              <w:pStyle w:val="TableParagraph"/>
              <w:spacing w:line="215" w:lineRule="exact" w:before="28"/>
              <w:ind w:left="106" w:right="106"/>
              <w:jc w:val="center"/>
              <w:rPr>
                <w:sz w:val="20"/>
              </w:rPr>
            </w:pPr>
            <w:r>
              <w:rPr>
                <w:spacing w:val="-2"/>
                <w:sz w:val="20"/>
              </w:rPr>
              <w:t>0.167</w:t>
            </w:r>
          </w:p>
        </w:tc>
      </w:tr>
      <w:tr>
        <w:trPr>
          <w:trHeight w:val="265" w:hRule="atLeast"/>
        </w:trPr>
        <w:tc>
          <w:tcPr>
            <w:tcW w:w="1238" w:type="dxa"/>
          </w:tcPr>
          <w:p>
            <w:pPr>
              <w:pStyle w:val="TableParagraph"/>
              <w:rPr>
                <w:sz w:val="18"/>
              </w:rPr>
            </w:pPr>
          </w:p>
        </w:tc>
        <w:tc>
          <w:tcPr>
            <w:tcW w:w="6075" w:type="dxa"/>
          </w:tcPr>
          <w:p>
            <w:pPr>
              <w:pStyle w:val="TableParagraph"/>
              <w:spacing w:line="226" w:lineRule="exact"/>
              <w:ind w:left="113"/>
              <w:rPr>
                <w:sz w:val="20"/>
              </w:rPr>
            </w:pPr>
            <w:r>
              <w:rPr>
                <w:sz w:val="20"/>
              </w:rPr>
              <w:t>[C3]:</w:t>
            </w:r>
            <w:r>
              <w:rPr>
                <w:spacing w:val="-5"/>
                <w:sz w:val="20"/>
              </w:rPr>
              <w:t> </w:t>
            </w:r>
            <w:r>
              <w:rPr>
                <w:sz w:val="20"/>
              </w:rPr>
              <w:t>Literacy</w:t>
            </w:r>
            <w:r>
              <w:rPr>
                <w:spacing w:val="-6"/>
                <w:sz w:val="20"/>
              </w:rPr>
              <w:t> </w:t>
            </w:r>
            <w:r>
              <w:rPr>
                <w:sz w:val="20"/>
              </w:rPr>
              <w:t>level</w:t>
            </w:r>
            <w:r>
              <w:rPr>
                <w:spacing w:val="-3"/>
                <w:sz w:val="20"/>
              </w:rPr>
              <w:t> </w:t>
            </w:r>
            <w:r>
              <w:rPr>
                <w:sz w:val="20"/>
              </w:rPr>
              <w:t>in</w:t>
            </w:r>
            <w:r>
              <w:rPr>
                <w:spacing w:val="-5"/>
                <w:sz w:val="20"/>
              </w:rPr>
              <w:t> </w:t>
            </w:r>
            <w:r>
              <w:rPr>
                <w:spacing w:val="-2"/>
                <w:sz w:val="20"/>
              </w:rPr>
              <w:t>household</w:t>
            </w:r>
          </w:p>
        </w:tc>
        <w:tc>
          <w:tcPr>
            <w:tcW w:w="773" w:type="dxa"/>
          </w:tcPr>
          <w:p>
            <w:pPr>
              <w:pStyle w:val="TableParagraph"/>
              <w:spacing w:line="226" w:lineRule="exact"/>
              <w:ind w:left="106" w:right="104"/>
              <w:jc w:val="center"/>
              <w:rPr>
                <w:sz w:val="20"/>
              </w:rPr>
            </w:pPr>
            <w:r>
              <w:rPr>
                <w:spacing w:val="-2"/>
                <w:sz w:val="20"/>
              </w:rPr>
              <w:t>0.167</w:t>
            </w:r>
          </w:p>
        </w:tc>
        <w:tc>
          <w:tcPr>
            <w:tcW w:w="773" w:type="dxa"/>
          </w:tcPr>
          <w:p>
            <w:pPr>
              <w:pStyle w:val="TableParagraph"/>
              <w:spacing w:line="226" w:lineRule="exact"/>
              <w:ind w:left="106" w:right="106"/>
              <w:jc w:val="center"/>
              <w:rPr>
                <w:sz w:val="20"/>
              </w:rPr>
            </w:pPr>
            <w:r>
              <w:rPr>
                <w:spacing w:val="-2"/>
                <w:sz w:val="20"/>
              </w:rPr>
              <w:t>0.167</w:t>
            </w:r>
          </w:p>
        </w:tc>
      </w:tr>
      <w:tr>
        <w:trPr>
          <w:trHeight w:val="30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[C4]:</w:t>
            </w:r>
            <w:r>
              <w:rPr>
                <w:spacing w:val="-6"/>
                <w:sz w:val="20"/>
              </w:rPr>
              <w:t> </w:t>
            </w:r>
            <w:r>
              <w:rPr>
                <w:sz w:val="20"/>
              </w:rPr>
              <w:t>Frequency</w:t>
            </w:r>
            <w:r>
              <w:rPr>
                <w:spacing w:val="-8"/>
                <w:sz w:val="20"/>
              </w:rPr>
              <w:t> </w:t>
            </w:r>
            <w:r>
              <w:rPr>
                <w:sz w:val="20"/>
              </w:rPr>
              <w:t>of</w:t>
            </w:r>
            <w:r>
              <w:rPr>
                <w:spacing w:val="-4"/>
                <w:sz w:val="20"/>
              </w:rPr>
              <w:t> </w:t>
            </w:r>
            <w:r>
              <w:rPr>
                <w:sz w:val="20"/>
              </w:rPr>
              <w:t>water</w:t>
            </w:r>
            <w:r>
              <w:rPr>
                <w:spacing w:val="-3"/>
                <w:sz w:val="20"/>
              </w:rPr>
              <w:t> </w:t>
            </w:r>
            <w:r>
              <w:rPr>
                <w:sz w:val="20"/>
              </w:rPr>
              <w:t>related</w:t>
            </w:r>
            <w:r>
              <w:rPr>
                <w:spacing w:val="-4"/>
                <w:sz w:val="20"/>
              </w:rPr>
              <w:t> </w:t>
            </w:r>
            <w:r>
              <w:rPr>
                <w:spacing w:val="-2"/>
                <w:sz w:val="20"/>
              </w:rPr>
              <w:t>illness</w:t>
            </w:r>
          </w:p>
        </w:tc>
        <w:tc>
          <w:tcPr>
            <w:tcW w:w="773" w:type="dxa"/>
          </w:tcPr>
          <w:p>
            <w:pPr>
              <w:pStyle w:val="TableParagraph"/>
              <w:spacing w:before="30"/>
              <w:ind w:left="106" w:right="104"/>
              <w:jc w:val="center"/>
              <w:rPr>
                <w:sz w:val="20"/>
              </w:rPr>
            </w:pPr>
            <w:r>
              <w:rPr>
                <w:spacing w:val="-2"/>
                <w:sz w:val="20"/>
              </w:rPr>
              <w:t>0.162</w:t>
            </w:r>
          </w:p>
        </w:tc>
        <w:tc>
          <w:tcPr>
            <w:tcW w:w="773" w:type="dxa"/>
          </w:tcPr>
          <w:p>
            <w:pPr>
              <w:pStyle w:val="TableParagraph"/>
              <w:spacing w:before="30"/>
              <w:ind w:right="1"/>
              <w:jc w:val="center"/>
              <w:rPr>
                <w:sz w:val="20"/>
              </w:rPr>
            </w:pPr>
            <w:r>
              <w:rPr>
                <w:spacing w:val="-2"/>
                <w:sz w:val="20"/>
              </w:rPr>
              <w:t>0.167</w:t>
            </w:r>
          </w:p>
        </w:tc>
      </w:tr>
      <w:tr>
        <w:trPr>
          <w:trHeight w:val="300"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[C5]:</w:t>
            </w:r>
            <w:r>
              <w:rPr>
                <w:spacing w:val="-7"/>
                <w:sz w:val="20"/>
              </w:rPr>
              <w:t> </w:t>
            </w:r>
            <w:r>
              <w:rPr>
                <w:sz w:val="20"/>
              </w:rPr>
              <w:t>Household</w:t>
            </w:r>
            <w:r>
              <w:rPr>
                <w:spacing w:val="-2"/>
                <w:sz w:val="20"/>
              </w:rPr>
              <w:t> </w:t>
            </w:r>
            <w:r>
              <w:rPr>
                <w:sz w:val="20"/>
              </w:rPr>
              <w:t>with</w:t>
            </w:r>
            <w:r>
              <w:rPr>
                <w:spacing w:val="-6"/>
                <w:sz w:val="20"/>
              </w:rPr>
              <w:t> </w:t>
            </w:r>
            <w:r>
              <w:rPr>
                <w:sz w:val="20"/>
              </w:rPr>
              <w:t>at</w:t>
            </w:r>
            <w:r>
              <w:rPr>
                <w:spacing w:val="-5"/>
                <w:sz w:val="20"/>
              </w:rPr>
              <w:t> </w:t>
            </w:r>
            <w:r>
              <w:rPr>
                <w:sz w:val="20"/>
              </w:rPr>
              <w:t>least</w:t>
            </w:r>
            <w:r>
              <w:rPr>
                <w:spacing w:val="-1"/>
                <w:sz w:val="20"/>
              </w:rPr>
              <w:t> </w:t>
            </w:r>
            <w:r>
              <w:rPr>
                <w:sz w:val="20"/>
              </w:rPr>
              <w:t>a</w:t>
            </w:r>
            <w:r>
              <w:rPr>
                <w:spacing w:val="-4"/>
                <w:sz w:val="20"/>
              </w:rPr>
              <w:t> </w:t>
            </w:r>
            <w:r>
              <w:rPr>
                <w:sz w:val="20"/>
              </w:rPr>
              <w:t>member</w:t>
            </w:r>
            <w:r>
              <w:rPr>
                <w:spacing w:val="-2"/>
                <w:sz w:val="20"/>
              </w:rPr>
              <w:t> </w:t>
            </w:r>
            <w:r>
              <w:rPr>
                <w:sz w:val="20"/>
              </w:rPr>
              <w:t>with</w:t>
            </w:r>
            <w:r>
              <w:rPr>
                <w:spacing w:val="-6"/>
                <w:sz w:val="20"/>
              </w:rPr>
              <w:t> </w:t>
            </w:r>
            <w:r>
              <w:rPr>
                <w:sz w:val="20"/>
              </w:rPr>
              <w:t>knowledge</w:t>
            </w:r>
            <w:r>
              <w:rPr>
                <w:spacing w:val="-5"/>
                <w:sz w:val="20"/>
              </w:rPr>
              <w:t> </w:t>
            </w:r>
            <w:r>
              <w:rPr>
                <w:sz w:val="20"/>
              </w:rPr>
              <w:t>of</w:t>
            </w:r>
            <w:r>
              <w:rPr>
                <w:spacing w:val="-7"/>
                <w:sz w:val="20"/>
              </w:rPr>
              <w:t> </w:t>
            </w:r>
            <w:r>
              <w:rPr>
                <w:spacing w:val="-2"/>
                <w:sz w:val="20"/>
              </w:rPr>
              <w:t>hygiene</w:t>
            </w:r>
          </w:p>
        </w:tc>
        <w:tc>
          <w:tcPr>
            <w:tcW w:w="773" w:type="dxa"/>
          </w:tcPr>
          <w:p>
            <w:pPr>
              <w:pStyle w:val="TableParagraph"/>
              <w:spacing w:before="30"/>
              <w:ind w:left="106" w:right="104"/>
              <w:jc w:val="center"/>
              <w:rPr>
                <w:sz w:val="20"/>
              </w:rPr>
            </w:pPr>
            <w:r>
              <w:rPr>
                <w:spacing w:val="-2"/>
                <w:sz w:val="20"/>
              </w:rPr>
              <w:t>0.157</w:t>
            </w:r>
          </w:p>
        </w:tc>
        <w:tc>
          <w:tcPr>
            <w:tcW w:w="773" w:type="dxa"/>
          </w:tcPr>
          <w:p>
            <w:pPr>
              <w:pStyle w:val="TableParagraph"/>
              <w:spacing w:before="30"/>
              <w:ind w:left="106" w:right="106"/>
              <w:jc w:val="center"/>
              <w:rPr>
                <w:sz w:val="20"/>
              </w:rPr>
            </w:pPr>
            <w:r>
              <w:rPr>
                <w:spacing w:val="-2"/>
                <w:sz w:val="20"/>
              </w:rPr>
              <w:t>0.167</w:t>
            </w:r>
          </w:p>
        </w:tc>
      </w:tr>
      <w:tr>
        <w:trPr>
          <w:trHeight w:val="645" w:hRule="atLeast"/>
        </w:trPr>
        <w:tc>
          <w:tcPr>
            <w:tcW w:w="1238" w:type="dxa"/>
          </w:tcPr>
          <w:p>
            <w:pPr>
              <w:pStyle w:val="TableParagraph"/>
              <w:rPr>
                <w:sz w:val="20"/>
              </w:rPr>
            </w:pPr>
          </w:p>
        </w:tc>
        <w:tc>
          <w:tcPr>
            <w:tcW w:w="6075" w:type="dxa"/>
          </w:tcPr>
          <w:p>
            <w:pPr>
              <w:pStyle w:val="TableParagraph"/>
              <w:spacing w:before="30"/>
              <w:ind w:left="113"/>
              <w:rPr>
                <w:sz w:val="20"/>
              </w:rPr>
            </w:pPr>
            <w:r>
              <w:rPr>
                <w:sz w:val="20"/>
              </w:rPr>
              <w:t>[C6]: Household aggregate expenditure on drinking water and domestic water use</w:t>
            </w:r>
          </w:p>
        </w:tc>
        <w:tc>
          <w:tcPr>
            <w:tcW w:w="773" w:type="dxa"/>
          </w:tcPr>
          <w:p>
            <w:pPr>
              <w:pStyle w:val="TableParagraph"/>
              <w:spacing w:before="30"/>
              <w:ind w:left="106" w:right="104"/>
              <w:jc w:val="center"/>
              <w:rPr>
                <w:sz w:val="20"/>
              </w:rPr>
            </w:pPr>
            <w:r>
              <w:rPr>
                <w:spacing w:val="-2"/>
                <w:sz w:val="20"/>
              </w:rPr>
              <w:t>0.138</w:t>
            </w:r>
          </w:p>
        </w:tc>
        <w:tc>
          <w:tcPr>
            <w:tcW w:w="773" w:type="dxa"/>
          </w:tcPr>
          <w:p>
            <w:pPr>
              <w:pStyle w:val="TableParagraph"/>
              <w:spacing w:before="30"/>
              <w:ind w:left="106" w:right="106"/>
              <w:jc w:val="center"/>
              <w:rPr>
                <w:sz w:val="20"/>
              </w:rPr>
            </w:pPr>
            <w:r>
              <w:rPr>
                <w:spacing w:val="-2"/>
                <w:sz w:val="20"/>
              </w:rPr>
              <w:t>0.167</w:t>
            </w:r>
          </w:p>
        </w:tc>
      </w:tr>
      <w:tr>
        <w:trPr>
          <w:trHeight w:val="417" w:hRule="atLeast"/>
        </w:trPr>
        <w:tc>
          <w:tcPr>
            <w:tcW w:w="1238" w:type="dxa"/>
          </w:tcPr>
          <w:p>
            <w:pPr>
              <w:pStyle w:val="TableParagraph"/>
              <w:spacing w:before="150"/>
              <w:ind w:left="172"/>
              <w:rPr>
                <w:b/>
                <w:sz w:val="20"/>
              </w:rPr>
            </w:pPr>
            <w:r>
              <w:rPr>
                <w:b/>
                <w:spacing w:val="-5"/>
                <w:sz w:val="20"/>
              </w:rPr>
              <w:t>Use</w:t>
            </w:r>
          </w:p>
        </w:tc>
        <w:tc>
          <w:tcPr>
            <w:tcW w:w="6075" w:type="dxa"/>
          </w:tcPr>
          <w:p>
            <w:pPr>
              <w:pStyle w:val="TableParagraph"/>
              <w:spacing w:before="145"/>
              <w:ind w:left="113"/>
              <w:rPr>
                <w:sz w:val="20"/>
              </w:rPr>
            </w:pPr>
            <w:r>
              <w:rPr>
                <w:sz w:val="20"/>
              </w:rPr>
              <w:t>[U2]:</w:t>
            </w:r>
            <w:r>
              <w:rPr>
                <w:spacing w:val="-7"/>
                <w:sz w:val="20"/>
              </w:rPr>
              <w:t> </w:t>
            </w:r>
            <w:r>
              <w:rPr>
                <w:sz w:val="20"/>
              </w:rPr>
              <w:t>Water</w:t>
            </w:r>
            <w:r>
              <w:rPr>
                <w:spacing w:val="-5"/>
                <w:sz w:val="20"/>
              </w:rPr>
              <w:t> </w:t>
            </w:r>
            <w:r>
              <w:rPr>
                <w:sz w:val="20"/>
              </w:rPr>
              <w:t>for</w:t>
            </w:r>
            <w:r>
              <w:rPr>
                <w:spacing w:val="-5"/>
                <w:sz w:val="20"/>
              </w:rPr>
              <w:t> </w:t>
            </w:r>
            <w:r>
              <w:rPr>
                <w:sz w:val="20"/>
              </w:rPr>
              <w:t>green</w:t>
            </w:r>
            <w:r>
              <w:rPr>
                <w:spacing w:val="-7"/>
                <w:sz w:val="20"/>
              </w:rPr>
              <w:t> </w:t>
            </w:r>
            <w:r>
              <w:rPr>
                <w:sz w:val="20"/>
              </w:rPr>
              <w:t>use/</w:t>
            </w:r>
            <w:r>
              <w:rPr>
                <w:spacing w:val="-3"/>
                <w:sz w:val="20"/>
              </w:rPr>
              <w:t> </w:t>
            </w:r>
            <w:r>
              <w:rPr>
                <w:sz w:val="20"/>
              </w:rPr>
              <w:t>watering</w:t>
            </w:r>
            <w:r>
              <w:rPr>
                <w:spacing w:val="-7"/>
                <w:sz w:val="20"/>
              </w:rPr>
              <w:t> </w:t>
            </w:r>
            <w:r>
              <w:rPr>
                <w:spacing w:val="-4"/>
                <w:sz w:val="20"/>
              </w:rPr>
              <w:t>crop</w:t>
            </w:r>
          </w:p>
        </w:tc>
        <w:tc>
          <w:tcPr>
            <w:tcW w:w="773" w:type="dxa"/>
          </w:tcPr>
          <w:p>
            <w:pPr>
              <w:pStyle w:val="TableParagraph"/>
              <w:spacing w:before="145"/>
              <w:ind w:left="106" w:right="104"/>
              <w:jc w:val="center"/>
              <w:rPr>
                <w:sz w:val="20"/>
              </w:rPr>
            </w:pPr>
            <w:r>
              <w:rPr>
                <w:spacing w:val="-2"/>
                <w:sz w:val="20"/>
              </w:rPr>
              <w:t>0.543</w:t>
            </w:r>
          </w:p>
        </w:tc>
        <w:tc>
          <w:tcPr>
            <w:tcW w:w="773" w:type="dxa"/>
          </w:tcPr>
          <w:p>
            <w:pPr>
              <w:pStyle w:val="TableParagraph"/>
              <w:spacing w:before="145"/>
              <w:ind w:left="106" w:right="106"/>
              <w:jc w:val="center"/>
              <w:rPr>
                <w:sz w:val="20"/>
              </w:rPr>
            </w:pPr>
            <w:r>
              <w:rPr>
                <w:spacing w:val="-2"/>
                <w:sz w:val="20"/>
              </w:rPr>
              <w:t>0.500</w:t>
            </w:r>
          </w:p>
        </w:tc>
      </w:tr>
      <w:tr>
        <w:trPr>
          <w:trHeight w:val="447" w:hRule="atLeast"/>
        </w:trPr>
        <w:tc>
          <w:tcPr>
            <w:tcW w:w="1238" w:type="dxa"/>
          </w:tcPr>
          <w:p>
            <w:pPr>
              <w:pStyle w:val="TableParagraph"/>
              <w:rPr>
                <w:sz w:val="20"/>
              </w:rPr>
            </w:pPr>
          </w:p>
        </w:tc>
        <w:tc>
          <w:tcPr>
            <w:tcW w:w="6075" w:type="dxa"/>
          </w:tcPr>
          <w:p>
            <w:pPr>
              <w:pStyle w:val="TableParagraph"/>
              <w:spacing w:before="28"/>
              <w:ind w:left="113"/>
              <w:rPr>
                <w:sz w:val="20"/>
              </w:rPr>
            </w:pPr>
            <w:r>
              <w:rPr>
                <w:sz w:val="20"/>
              </w:rPr>
              <w:t>[U3]:</w:t>
            </w:r>
            <w:r>
              <w:rPr>
                <w:spacing w:val="-6"/>
                <w:sz w:val="20"/>
              </w:rPr>
              <w:t> </w:t>
            </w:r>
            <w:r>
              <w:rPr>
                <w:sz w:val="20"/>
              </w:rPr>
              <w:t>Drinking</w:t>
            </w:r>
            <w:r>
              <w:rPr>
                <w:spacing w:val="-5"/>
                <w:sz w:val="20"/>
              </w:rPr>
              <w:t> </w:t>
            </w:r>
            <w:r>
              <w:rPr>
                <w:sz w:val="20"/>
              </w:rPr>
              <w:t>water</w:t>
            </w:r>
            <w:r>
              <w:rPr>
                <w:spacing w:val="-4"/>
                <w:sz w:val="20"/>
              </w:rPr>
              <w:t> </w:t>
            </w:r>
            <w:r>
              <w:rPr>
                <w:sz w:val="20"/>
              </w:rPr>
              <w:t>consumption</w:t>
            </w:r>
            <w:r>
              <w:rPr>
                <w:spacing w:val="-6"/>
                <w:sz w:val="20"/>
              </w:rPr>
              <w:t> </w:t>
            </w:r>
            <w:r>
              <w:rPr>
                <w:sz w:val="20"/>
              </w:rPr>
              <w:t>per</w:t>
            </w:r>
            <w:r>
              <w:rPr>
                <w:spacing w:val="-4"/>
                <w:sz w:val="20"/>
              </w:rPr>
              <w:t> </w:t>
            </w:r>
            <w:r>
              <w:rPr>
                <w:sz w:val="20"/>
              </w:rPr>
              <w:t>capita</w:t>
            </w:r>
            <w:r>
              <w:rPr>
                <w:spacing w:val="-5"/>
                <w:sz w:val="20"/>
              </w:rPr>
              <w:t> </w:t>
            </w:r>
            <w:r>
              <w:rPr>
                <w:sz w:val="20"/>
              </w:rPr>
              <w:t>per</w:t>
            </w:r>
            <w:r>
              <w:rPr>
                <w:spacing w:val="-1"/>
                <w:sz w:val="20"/>
              </w:rPr>
              <w:t> </w:t>
            </w:r>
            <w:r>
              <w:rPr>
                <w:spacing w:val="-5"/>
                <w:sz w:val="20"/>
              </w:rPr>
              <w:t>day</w:t>
            </w:r>
          </w:p>
        </w:tc>
        <w:tc>
          <w:tcPr>
            <w:tcW w:w="773" w:type="dxa"/>
          </w:tcPr>
          <w:p>
            <w:pPr>
              <w:pStyle w:val="TableParagraph"/>
              <w:spacing w:before="28"/>
              <w:ind w:left="106" w:right="104"/>
              <w:jc w:val="center"/>
              <w:rPr>
                <w:sz w:val="20"/>
              </w:rPr>
            </w:pPr>
            <w:r>
              <w:rPr>
                <w:spacing w:val="-2"/>
                <w:sz w:val="20"/>
              </w:rPr>
              <w:t>0.457</w:t>
            </w:r>
          </w:p>
        </w:tc>
        <w:tc>
          <w:tcPr>
            <w:tcW w:w="773" w:type="dxa"/>
          </w:tcPr>
          <w:p>
            <w:pPr>
              <w:pStyle w:val="TableParagraph"/>
              <w:spacing w:before="28"/>
              <w:ind w:left="106" w:right="106"/>
              <w:jc w:val="center"/>
              <w:rPr>
                <w:sz w:val="20"/>
              </w:rPr>
            </w:pPr>
            <w:r>
              <w:rPr>
                <w:spacing w:val="-2"/>
                <w:sz w:val="20"/>
              </w:rPr>
              <w:t>0.500</w:t>
            </w:r>
          </w:p>
        </w:tc>
      </w:tr>
      <w:tr>
        <w:trPr>
          <w:trHeight w:val="645" w:hRule="atLeast"/>
        </w:trPr>
        <w:tc>
          <w:tcPr>
            <w:tcW w:w="1238" w:type="dxa"/>
          </w:tcPr>
          <w:p>
            <w:pPr>
              <w:pStyle w:val="TableParagraph"/>
              <w:spacing w:line="228" w:lineRule="exact" w:before="169"/>
              <w:ind w:left="122" w:right="161"/>
              <w:rPr>
                <w:b/>
                <w:sz w:val="20"/>
              </w:rPr>
            </w:pPr>
            <w:r>
              <w:rPr>
                <w:b/>
                <w:spacing w:val="-2"/>
                <w:sz w:val="20"/>
              </w:rPr>
              <w:t>Environme </w:t>
            </w:r>
            <w:r>
              <w:rPr>
                <w:b/>
                <w:spacing w:val="-6"/>
                <w:sz w:val="20"/>
              </w:rPr>
              <w:t>nt</w:t>
            </w:r>
          </w:p>
        </w:tc>
        <w:tc>
          <w:tcPr>
            <w:tcW w:w="6075" w:type="dxa"/>
          </w:tcPr>
          <w:p>
            <w:pPr>
              <w:pStyle w:val="TableParagraph"/>
              <w:spacing w:before="180"/>
              <w:ind w:left="113"/>
              <w:rPr>
                <w:sz w:val="20"/>
              </w:rPr>
            </w:pPr>
            <w:r>
              <w:rPr>
                <w:sz w:val="20"/>
              </w:rPr>
              <w:t>[E1]:</w:t>
            </w:r>
            <w:r>
              <w:rPr>
                <w:spacing w:val="-6"/>
                <w:sz w:val="20"/>
              </w:rPr>
              <w:t> </w:t>
            </w:r>
            <w:r>
              <w:rPr>
                <w:sz w:val="20"/>
              </w:rPr>
              <w:t>Household</w:t>
            </w:r>
            <w:r>
              <w:rPr>
                <w:spacing w:val="-5"/>
                <w:sz w:val="20"/>
              </w:rPr>
              <w:t> </w:t>
            </w:r>
            <w:r>
              <w:rPr>
                <w:sz w:val="20"/>
              </w:rPr>
              <w:t>perceived</w:t>
            </w:r>
            <w:r>
              <w:rPr>
                <w:spacing w:val="-4"/>
                <w:sz w:val="20"/>
              </w:rPr>
              <w:t> </w:t>
            </w:r>
            <w:r>
              <w:rPr>
                <w:sz w:val="20"/>
              </w:rPr>
              <w:t>assessment</w:t>
            </w:r>
            <w:r>
              <w:rPr>
                <w:spacing w:val="-7"/>
                <w:sz w:val="20"/>
              </w:rPr>
              <w:t> </w:t>
            </w:r>
            <w:r>
              <w:rPr>
                <w:sz w:val="20"/>
              </w:rPr>
              <w:t>of</w:t>
            </w:r>
            <w:r>
              <w:rPr>
                <w:spacing w:val="-5"/>
                <w:sz w:val="20"/>
              </w:rPr>
              <w:t> </w:t>
            </w:r>
            <w:r>
              <w:rPr>
                <w:sz w:val="20"/>
              </w:rPr>
              <w:t>water</w:t>
            </w:r>
            <w:r>
              <w:rPr>
                <w:spacing w:val="-5"/>
                <w:sz w:val="20"/>
              </w:rPr>
              <w:t> </w:t>
            </w:r>
            <w:r>
              <w:rPr>
                <w:spacing w:val="-2"/>
                <w:sz w:val="20"/>
              </w:rPr>
              <w:t>quality</w:t>
            </w:r>
          </w:p>
        </w:tc>
        <w:tc>
          <w:tcPr>
            <w:tcW w:w="773" w:type="dxa"/>
          </w:tcPr>
          <w:p>
            <w:pPr>
              <w:pStyle w:val="TableParagraph"/>
              <w:spacing w:before="180"/>
              <w:ind w:left="106" w:right="104"/>
              <w:jc w:val="center"/>
              <w:rPr>
                <w:sz w:val="20"/>
              </w:rPr>
            </w:pPr>
            <w:r>
              <w:rPr>
                <w:spacing w:val="-2"/>
                <w:sz w:val="20"/>
              </w:rPr>
              <w:t>0.539</w:t>
            </w:r>
          </w:p>
        </w:tc>
        <w:tc>
          <w:tcPr>
            <w:tcW w:w="773" w:type="dxa"/>
          </w:tcPr>
          <w:p>
            <w:pPr>
              <w:pStyle w:val="TableParagraph"/>
              <w:spacing w:before="180"/>
              <w:ind w:left="106" w:right="106"/>
              <w:jc w:val="center"/>
              <w:rPr>
                <w:sz w:val="20"/>
              </w:rPr>
            </w:pPr>
            <w:r>
              <w:rPr>
                <w:spacing w:val="-2"/>
                <w:sz w:val="20"/>
              </w:rPr>
              <w:t>0.500</w:t>
            </w:r>
          </w:p>
        </w:tc>
      </w:tr>
      <w:tr>
        <w:trPr>
          <w:trHeight w:val="302" w:hRule="atLeast"/>
        </w:trPr>
        <w:tc>
          <w:tcPr>
            <w:tcW w:w="1238" w:type="dxa"/>
            <w:tcBorders>
              <w:bottom w:val="single" w:sz="8" w:space="0" w:color="000000"/>
            </w:tcBorders>
          </w:tcPr>
          <w:p>
            <w:pPr>
              <w:pStyle w:val="TableParagraph"/>
              <w:rPr>
                <w:sz w:val="20"/>
              </w:rPr>
            </w:pPr>
          </w:p>
        </w:tc>
        <w:tc>
          <w:tcPr>
            <w:tcW w:w="6075" w:type="dxa"/>
            <w:tcBorders>
              <w:bottom w:val="single" w:sz="8" w:space="0" w:color="000000"/>
            </w:tcBorders>
          </w:tcPr>
          <w:p>
            <w:pPr>
              <w:pStyle w:val="TableParagraph"/>
              <w:spacing w:line="223" w:lineRule="exact"/>
              <w:ind w:left="113"/>
              <w:rPr>
                <w:sz w:val="20"/>
              </w:rPr>
            </w:pPr>
            <w:r>
              <w:rPr>
                <w:sz w:val="20"/>
              </w:rPr>
              <w:t>[E2]:</w:t>
            </w:r>
            <w:r>
              <w:rPr>
                <w:spacing w:val="-8"/>
                <w:sz w:val="20"/>
              </w:rPr>
              <w:t> </w:t>
            </w:r>
            <w:r>
              <w:rPr>
                <w:sz w:val="20"/>
              </w:rPr>
              <w:t>Presence</w:t>
            </w:r>
            <w:r>
              <w:rPr>
                <w:spacing w:val="-2"/>
                <w:sz w:val="20"/>
              </w:rPr>
              <w:t> </w:t>
            </w:r>
            <w:r>
              <w:rPr>
                <w:sz w:val="20"/>
              </w:rPr>
              <w:t>of</w:t>
            </w:r>
            <w:r>
              <w:rPr>
                <w:spacing w:val="-7"/>
                <w:sz w:val="20"/>
              </w:rPr>
              <w:t> </w:t>
            </w:r>
            <w:r>
              <w:rPr>
                <w:sz w:val="20"/>
              </w:rPr>
              <w:t>sanitation</w:t>
            </w:r>
            <w:r>
              <w:rPr>
                <w:spacing w:val="-3"/>
                <w:sz w:val="20"/>
              </w:rPr>
              <w:t> </w:t>
            </w:r>
            <w:r>
              <w:rPr>
                <w:spacing w:val="-2"/>
                <w:sz w:val="20"/>
              </w:rPr>
              <w:t>facilities</w:t>
            </w:r>
          </w:p>
        </w:tc>
        <w:tc>
          <w:tcPr>
            <w:tcW w:w="773" w:type="dxa"/>
            <w:tcBorders>
              <w:bottom w:val="single" w:sz="8" w:space="0" w:color="000000"/>
            </w:tcBorders>
          </w:tcPr>
          <w:p>
            <w:pPr>
              <w:pStyle w:val="TableParagraph"/>
              <w:spacing w:line="223" w:lineRule="exact"/>
              <w:ind w:left="106" w:right="104"/>
              <w:jc w:val="center"/>
              <w:rPr>
                <w:sz w:val="20"/>
              </w:rPr>
            </w:pPr>
            <w:r>
              <w:rPr>
                <w:spacing w:val="-2"/>
                <w:sz w:val="20"/>
              </w:rPr>
              <w:t>0.461</w:t>
            </w:r>
          </w:p>
        </w:tc>
        <w:tc>
          <w:tcPr>
            <w:tcW w:w="773" w:type="dxa"/>
            <w:tcBorders>
              <w:bottom w:val="single" w:sz="8" w:space="0" w:color="000000"/>
            </w:tcBorders>
          </w:tcPr>
          <w:p>
            <w:pPr>
              <w:pStyle w:val="TableParagraph"/>
              <w:spacing w:line="223" w:lineRule="exact"/>
              <w:ind w:left="106" w:right="106"/>
              <w:jc w:val="center"/>
              <w:rPr>
                <w:sz w:val="20"/>
              </w:rPr>
            </w:pPr>
            <w:r>
              <w:rPr>
                <w:spacing w:val="-2"/>
                <w:sz w:val="20"/>
              </w:rPr>
              <w:t>0.500</w:t>
            </w:r>
          </w:p>
        </w:tc>
      </w:tr>
    </w:tbl>
    <w:p>
      <w:pPr>
        <w:pStyle w:val="BodyText"/>
        <w:spacing w:before="272"/>
        <w:rPr>
          <w:b/>
        </w:rPr>
      </w:pPr>
    </w:p>
    <w:p>
      <w:pPr>
        <w:pStyle w:val="BodyText"/>
        <w:spacing w:line="480" w:lineRule="auto"/>
        <w:ind w:left="267" w:right="114"/>
        <w:jc w:val="both"/>
      </w:pPr>
      <w:r>
        <w:rPr/>
        <w:t>This implied that any priority intervention in this variable indicator will further contribute greatly to the improvement in water provision, especially among the water poor neighbourhoods in the study area.</w:t>
      </w:r>
    </w:p>
    <w:p>
      <w:pPr>
        <w:pStyle w:val="BodyText"/>
        <w:spacing w:before="8"/>
      </w:pPr>
    </w:p>
    <w:p>
      <w:pPr>
        <w:pStyle w:val="Heading1"/>
        <w:numPr>
          <w:ilvl w:val="4"/>
          <w:numId w:val="10"/>
        </w:numPr>
        <w:tabs>
          <w:tab w:pos="1166" w:val="left" w:leader="none"/>
        </w:tabs>
        <w:spacing w:line="240" w:lineRule="auto" w:before="0" w:after="0"/>
        <w:ind w:left="1166" w:right="0" w:hanging="899"/>
        <w:jc w:val="left"/>
      </w:pPr>
      <w:r>
        <w:rPr/>
        <w:t>Regression</w:t>
      </w:r>
      <w:r>
        <w:rPr>
          <w:spacing w:val="-3"/>
        </w:rPr>
        <w:t> </w:t>
      </w:r>
      <w:r>
        <w:rPr/>
        <w:t>of derived</w:t>
      </w:r>
      <w:r>
        <w:rPr>
          <w:spacing w:val="-1"/>
        </w:rPr>
        <w:t> </w:t>
      </w:r>
      <w:r>
        <w:rPr/>
        <w:t>statistical</w:t>
      </w:r>
      <w:r>
        <w:rPr>
          <w:spacing w:val="-2"/>
        </w:rPr>
        <w:t> </w:t>
      </w:r>
      <w:r>
        <w:rPr/>
        <w:t>weights</w:t>
      </w:r>
      <w:r>
        <w:rPr>
          <w:spacing w:val="-1"/>
        </w:rPr>
        <w:t> </w:t>
      </w:r>
      <w:r>
        <w:rPr/>
        <w:t>with</w:t>
      </w:r>
      <w:r>
        <w:rPr>
          <w:spacing w:val="-1"/>
        </w:rPr>
        <w:t> </w:t>
      </w:r>
      <w:r>
        <w:rPr/>
        <w:t>equal</w:t>
      </w:r>
      <w:r>
        <w:rPr>
          <w:spacing w:val="-3"/>
        </w:rPr>
        <w:t> </w:t>
      </w:r>
      <w:r>
        <w:rPr>
          <w:spacing w:val="-2"/>
        </w:rPr>
        <w:t>weights</w:t>
      </w:r>
    </w:p>
    <w:p>
      <w:pPr>
        <w:pStyle w:val="BodyText"/>
        <w:spacing w:before="17"/>
        <w:rPr>
          <w:b/>
        </w:rPr>
      </w:pPr>
    </w:p>
    <w:p>
      <w:pPr>
        <w:pStyle w:val="BodyText"/>
        <w:spacing w:line="480" w:lineRule="auto"/>
        <w:ind w:left="267" w:right="107"/>
        <w:jc w:val="both"/>
      </w:pPr>
      <w:r>
        <w:rPr/>
        <w:t>Table</w:t>
      </w:r>
      <w:r>
        <w:rPr>
          <w:spacing w:val="-15"/>
        </w:rPr>
        <w:t> </w:t>
      </w:r>
      <w:r>
        <w:rPr/>
        <w:t>4.23</w:t>
      </w:r>
      <w:r>
        <w:rPr>
          <w:spacing w:val="-15"/>
        </w:rPr>
        <w:t> </w:t>
      </w:r>
      <w:r>
        <w:rPr/>
        <w:t>shows</w:t>
      </w:r>
      <w:r>
        <w:rPr>
          <w:spacing w:val="-15"/>
        </w:rPr>
        <w:t> </w:t>
      </w:r>
      <w:r>
        <w:rPr/>
        <w:t>the</w:t>
      </w:r>
      <w:r>
        <w:rPr>
          <w:spacing w:val="-15"/>
        </w:rPr>
        <w:t> </w:t>
      </w:r>
      <w:r>
        <w:rPr/>
        <w:t>result</w:t>
      </w:r>
      <w:r>
        <w:rPr>
          <w:spacing w:val="-15"/>
        </w:rPr>
        <w:t> </w:t>
      </w:r>
      <w:r>
        <w:rPr/>
        <w:t>of</w:t>
      </w:r>
      <w:r>
        <w:rPr>
          <w:spacing w:val="-15"/>
        </w:rPr>
        <w:t> </w:t>
      </w:r>
      <w:r>
        <w:rPr/>
        <w:t>the</w:t>
      </w:r>
      <w:r>
        <w:rPr>
          <w:spacing w:val="-15"/>
        </w:rPr>
        <w:t> </w:t>
      </w:r>
      <w:r>
        <w:rPr/>
        <w:t>regression</w:t>
      </w:r>
      <w:r>
        <w:rPr>
          <w:spacing w:val="-15"/>
        </w:rPr>
        <w:t> </w:t>
      </w:r>
      <w:r>
        <w:rPr/>
        <w:t>of</w:t>
      </w:r>
      <w:r>
        <w:rPr>
          <w:spacing w:val="-15"/>
        </w:rPr>
        <w:t> </w:t>
      </w:r>
      <w:r>
        <w:rPr/>
        <w:t>equal</w:t>
      </w:r>
      <w:r>
        <w:rPr>
          <w:spacing w:val="-14"/>
        </w:rPr>
        <w:t> </w:t>
      </w:r>
      <w:r>
        <w:rPr/>
        <w:t>weights</w:t>
      </w:r>
      <w:r>
        <w:rPr>
          <w:spacing w:val="-15"/>
        </w:rPr>
        <w:t> </w:t>
      </w:r>
      <w:r>
        <w:rPr/>
        <w:t>on</w:t>
      </w:r>
      <w:r>
        <w:rPr>
          <w:spacing w:val="-15"/>
        </w:rPr>
        <w:t> </w:t>
      </w:r>
      <w:r>
        <w:rPr/>
        <w:t>the</w:t>
      </w:r>
      <w:r>
        <w:rPr>
          <w:spacing w:val="-15"/>
        </w:rPr>
        <w:t> </w:t>
      </w:r>
      <w:r>
        <w:rPr/>
        <w:t>derived</w:t>
      </w:r>
      <w:r>
        <w:rPr>
          <w:spacing w:val="-12"/>
        </w:rPr>
        <w:t> </w:t>
      </w:r>
      <w:r>
        <w:rPr/>
        <w:t>statistical</w:t>
      </w:r>
      <w:r>
        <w:rPr>
          <w:spacing w:val="-15"/>
        </w:rPr>
        <w:t> </w:t>
      </w:r>
      <w:r>
        <w:rPr/>
        <w:t>(PCA) weights. An examination of Table 4.23 shows that the PCA weights have a very high predictive</w:t>
      </w:r>
      <w:r>
        <w:rPr>
          <w:spacing w:val="27"/>
        </w:rPr>
        <w:t> </w:t>
      </w:r>
      <w:r>
        <w:rPr/>
        <w:t>ability</w:t>
      </w:r>
      <w:r>
        <w:rPr>
          <w:spacing w:val="23"/>
        </w:rPr>
        <w:t> </w:t>
      </w:r>
      <w:r>
        <w:rPr/>
        <w:t>(R</w:t>
      </w:r>
      <w:r>
        <w:rPr>
          <w:vertAlign w:val="superscript"/>
        </w:rPr>
        <w:t>2</w:t>
      </w:r>
      <w:r>
        <w:rPr>
          <w:vertAlign w:val="baseline"/>
        </w:rPr>
        <w:t>=</w:t>
      </w:r>
      <w:r>
        <w:rPr>
          <w:spacing w:val="26"/>
          <w:vertAlign w:val="baseline"/>
        </w:rPr>
        <w:t> </w:t>
      </w:r>
      <w:r>
        <w:rPr>
          <w:vertAlign w:val="baseline"/>
        </w:rPr>
        <w:t>0.955)</w:t>
      </w:r>
      <w:r>
        <w:rPr>
          <w:spacing w:val="28"/>
          <w:vertAlign w:val="baseline"/>
        </w:rPr>
        <w:t> </w:t>
      </w:r>
      <w:r>
        <w:rPr>
          <w:vertAlign w:val="baseline"/>
        </w:rPr>
        <w:t>for</w:t>
      </w:r>
      <w:r>
        <w:rPr>
          <w:spacing w:val="26"/>
          <w:vertAlign w:val="baseline"/>
        </w:rPr>
        <w:t> </w:t>
      </w:r>
      <w:r>
        <w:rPr>
          <w:vertAlign w:val="baseline"/>
        </w:rPr>
        <w:t>the</w:t>
      </w:r>
      <w:r>
        <w:rPr>
          <w:spacing w:val="28"/>
          <w:vertAlign w:val="baseline"/>
        </w:rPr>
        <w:t> </w:t>
      </w:r>
      <w:r>
        <w:rPr>
          <w:vertAlign w:val="baseline"/>
        </w:rPr>
        <w:t>equal</w:t>
      </w:r>
      <w:r>
        <w:rPr>
          <w:spacing w:val="28"/>
          <w:vertAlign w:val="baseline"/>
        </w:rPr>
        <w:t> </w:t>
      </w:r>
      <w:r>
        <w:rPr>
          <w:vertAlign w:val="baseline"/>
        </w:rPr>
        <w:t>weight</w:t>
      </w:r>
      <w:r>
        <w:rPr>
          <w:spacing w:val="29"/>
          <w:vertAlign w:val="baseline"/>
        </w:rPr>
        <w:t> </w:t>
      </w:r>
      <w:r>
        <w:rPr>
          <w:vertAlign w:val="baseline"/>
        </w:rPr>
        <w:t>scheme.</w:t>
      </w:r>
      <w:r>
        <w:rPr>
          <w:spacing w:val="27"/>
          <w:vertAlign w:val="baseline"/>
        </w:rPr>
        <w:t> </w:t>
      </w:r>
      <w:r>
        <w:rPr>
          <w:vertAlign w:val="baseline"/>
        </w:rPr>
        <w:t>This</w:t>
      </w:r>
      <w:r>
        <w:rPr>
          <w:spacing w:val="29"/>
          <w:vertAlign w:val="baseline"/>
        </w:rPr>
        <w:t> </w:t>
      </w:r>
      <w:r>
        <w:rPr>
          <w:vertAlign w:val="baseline"/>
        </w:rPr>
        <w:t>result</w:t>
      </w:r>
      <w:r>
        <w:rPr>
          <w:spacing w:val="28"/>
          <w:vertAlign w:val="baseline"/>
        </w:rPr>
        <w:t> </w:t>
      </w:r>
      <w:r>
        <w:rPr>
          <w:vertAlign w:val="baseline"/>
        </w:rPr>
        <w:t>also</w:t>
      </w:r>
      <w:r>
        <w:rPr>
          <w:spacing w:val="29"/>
          <w:vertAlign w:val="baseline"/>
        </w:rPr>
        <w:t> </w:t>
      </w:r>
      <w:r>
        <w:rPr>
          <w:vertAlign w:val="baseline"/>
        </w:rPr>
        <w:t>suggests</w:t>
      </w:r>
      <w:r>
        <w:rPr>
          <w:spacing w:val="28"/>
          <w:vertAlign w:val="baseline"/>
        </w:rPr>
        <w:t> </w:t>
      </w:r>
      <w:r>
        <w:rPr>
          <w:spacing w:val="-4"/>
          <w:vertAlign w:val="baseline"/>
        </w:rPr>
        <w:t>that</w:t>
      </w:r>
    </w:p>
    <w:p>
      <w:pPr>
        <w:spacing w:after="0" w:line="480" w:lineRule="auto"/>
        <w:jc w:val="both"/>
        <w:sectPr>
          <w:pgSz w:w="12240" w:h="15840"/>
          <w:pgMar w:header="0" w:footer="1068" w:top="1340" w:bottom="1260" w:left="1720" w:right="1300"/>
        </w:sectPr>
      </w:pPr>
    </w:p>
    <w:p>
      <w:pPr>
        <w:pStyle w:val="BodyText"/>
        <w:spacing w:line="480" w:lineRule="auto" w:before="63"/>
        <w:ind w:left="267" w:right="106"/>
        <w:jc w:val="both"/>
      </w:pPr>
      <w:r>
        <w:rPr/>
        <w:t>without engaging arbitrary weight selection, the PCA produces reliable, accurate and well- balanced weights for the water poverty indicators</w:t>
      </w:r>
    </w:p>
    <w:p>
      <w:pPr>
        <w:tabs>
          <w:tab w:pos="8649" w:val="left" w:leader="none"/>
        </w:tabs>
        <w:spacing w:before="5" w:after="54"/>
        <w:ind w:left="267" w:right="0" w:firstLine="0"/>
        <w:jc w:val="both"/>
        <w:rPr>
          <w:b/>
          <w:sz w:val="24"/>
        </w:rPr>
      </w:pPr>
      <w:r>
        <w:rPr>
          <w:b/>
          <w:sz w:val="24"/>
          <w:u w:val="single"/>
        </w:rPr>
        <w:t>Table</w:t>
      </w:r>
      <w:r>
        <w:rPr>
          <w:b/>
          <w:spacing w:val="-3"/>
          <w:sz w:val="24"/>
          <w:u w:val="single"/>
        </w:rPr>
        <w:t> </w:t>
      </w:r>
      <w:r>
        <w:rPr>
          <w:b/>
          <w:sz w:val="24"/>
          <w:u w:val="single"/>
        </w:rPr>
        <w:t>4.23:</w:t>
      </w:r>
      <w:r>
        <w:rPr>
          <w:b/>
          <w:spacing w:val="-2"/>
          <w:sz w:val="24"/>
          <w:u w:val="single"/>
        </w:rPr>
        <w:t> </w:t>
      </w:r>
      <w:r>
        <w:rPr>
          <w:b/>
          <w:sz w:val="24"/>
          <w:u w:val="single"/>
        </w:rPr>
        <w:t>Regression</w:t>
      </w:r>
      <w:r>
        <w:rPr>
          <w:b/>
          <w:spacing w:val="-1"/>
          <w:sz w:val="24"/>
          <w:u w:val="single"/>
        </w:rPr>
        <w:t> </w:t>
      </w:r>
      <w:r>
        <w:rPr>
          <w:b/>
          <w:sz w:val="24"/>
          <w:u w:val="single"/>
        </w:rPr>
        <w:t>Model</w:t>
      </w:r>
      <w:r>
        <w:rPr>
          <w:b/>
          <w:spacing w:val="-2"/>
          <w:sz w:val="24"/>
          <w:u w:val="single"/>
        </w:rPr>
        <w:t> </w:t>
      </w:r>
      <w:r>
        <w:rPr>
          <w:b/>
          <w:sz w:val="24"/>
          <w:u w:val="single"/>
        </w:rPr>
        <w:t>for</w:t>
      </w:r>
      <w:r>
        <w:rPr>
          <w:b/>
          <w:spacing w:val="-3"/>
          <w:sz w:val="24"/>
          <w:u w:val="single"/>
        </w:rPr>
        <w:t> </w:t>
      </w:r>
      <w:r>
        <w:rPr>
          <w:b/>
          <w:sz w:val="24"/>
          <w:u w:val="single"/>
        </w:rPr>
        <w:t>the</w:t>
      </w:r>
      <w:r>
        <w:rPr>
          <w:b/>
          <w:spacing w:val="-1"/>
          <w:sz w:val="24"/>
          <w:u w:val="single"/>
        </w:rPr>
        <w:t> </w:t>
      </w:r>
      <w:r>
        <w:rPr>
          <w:b/>
          <w:sz w:val="24"/>
          <w:u w:val="single"/>
        </w:rPr>
        <w:t>Derived Statistical</w:t>
      </w:r>
      <w:r>
        <w:rPr>
          <w:b/>
          <w:spacing w:val="-2"/>
          <w:sz w:val="24"/>
          <w:u w:val="single"/>
        </w:rPr>
        <w:t> </w:t>
      </w:r>
      <w:r>
        <w:rPr>
          <w:b/>
          <w:sz w:val="24"/>
          <w:u w:val="single"/>
        </w:rPr>
        <w:t>(PCA)</w:t>
      </w:r>
      <w:r>
        <w:rPr>
          <w:b/>
          <w:spacing w:val="-1"/>
          <w:sz w:val="24"/>
          <w:u w:val="single"/>
        </w:rPr>
        <w:t> </w:t>
      </w:r>
      <w:r>
        <w:rPr>
          <w:b/>
          <w:spacing w:val="-2"/>
          <w:sz w:val="24"/>
          <w:u w:val="single"/>
        </w:rPr>
        <w:t>Weights</w:t>
      </w:r>
      <w:r>
        <w:rPr>
          <w:b/>
          <w:sz w:val="24"/>
          <w:u w:val="single"/>
        </w:rPr>
        <w:tab/>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9"/>
        <w:gridCol w:w="1604"/>
        <w:gridCol w:w="2093"/>
        <w:gridCol w:w="1473"/>
        <w:gridCol w:w="1608"/>
      </w:tblGrid>
      <w:tr>
        <w:trPr>
          <w:trHeight w:val="496" w:hRule="atLeast"/>
        </w:trPr>
        <w:tc>
          <w:tcPr>
            <w:tcW w:w="1609" w:type="dxa"/>
            <w:tcBorders>
              <w:bottom w:val="single" w:sz="8" w:space="0" w:color="000000"/>
            </w:tcBorders>
          </w:tcPr>
          <w:p>
            <w:pPr>
              <w:pStyle w:val="TableParagraph"/>
              <w:spacing w:line="225" w:lineRule="exact"/>
              <w:ind w:left="115"/>
              <w:rPr>
                <w:rFonts w:ascii="Calibri"/>
                <w:b/>
                <w:sz w:val="22"/>
              </w:rPr>
            </w:pPr>
            <w:r>
              <w:rPr>
                <w:rFonts w:ascii="Calibri"/>
                <w:b/>
                <w:spacing w:val="-2"/>
                <w:sz w:val="22"/>
              </w:rPr>
              <w:t>Predictors</w:t>
            </w:r>
          </w:p>
        </w:tc>
        <w:tc>
          <w:tcPr>
            <w:tcW w:w="1604" w:type="dxa"/>
            <w:tcBorders>
              <w:bottom w:val="single" w:sz="8" w:space="0" w:color="000000"/>
            </w:tcBorders>
          </w:tcPr>
          <w:p>
            <w:pPr>
              <w:pStyle w:val="TableParagraph"/>
              <w:spacing w:line="225" w:lineRule="exact"/>
              <w:ind w:left="61"/>
              <w:rPr>
                <w:rFonts w:ascii="Calibri"/>
                <w:b/>
                <w:sz w:val="22"/>
              </w:rPr>
            </w:pPr>
            <w:r>
              <w:rPr>
                <w:rFonts w:ascii="Calibri"/>
                <w:b/>
                <w:spacing w:val="-2"/>
                <w:sz w:val="22"/>
              </w:rPr>
              <w:t>Coefficient</w:t>
            </w:r>
          </w:p>
        </w:tc>
        <w:tc>
          <w:tcPr>
            <w:tcW w:w="2093" w:type="dxa"/>
            <w:tcBorders>
              <w:bottom w:val="single" w:sz="8" w:space="0" w:color="000000"/>
            </w:tcBorders>
          </w:tcPr>
          <w:p>
            <w:pPr>
              <w:pStyle w:val="TableParagraph"/>
              <w:spacing w:line="225" w:lineRule="exact"/>
              <w:ind w:left="356" w:right="3"/>
              <w:jc w:val="center"/>
              <w:rPr>
                <w:rFonts w:ascii="Calibri"/>
                <w:b/>
                <w:sz w:val="22"/>
              </w:rPr>
            </w:pPr>
            <w:r>
              <w:rPr>
                <w:rFonts w:ascii="Calibri"/>
                <w:b/>
                <w:sz w:val="22"/>
              </w:rPr>
              <w:t>Standard</w:t>
            </w:r>
            <w:r>
              <w:rPr>
                <w:rFonts w:ascii="Calibri"/>
                <w:b/>
                <w:spacing w:val="-8"/>
                <w:sz w:val="22"/>
              </w:rPr>
              <w:t> </w:t>
            </w:r>
            <w:r>
              <w:rPr>
                <w:rFonts w:ascii="Calibri"/>
                <w:b/>
                <w:spacing w:val="-2"/>
                <w:sz w:val="22"/>
              </w:rPr>
              <w:t>Error</w:t>
            </w:r>
          </w:p>
        </w:tc>
        <w:tc>
          <w:tcPr>
            <w:tcW w:w="1473" w:type="dxa"/>
            <w:tcBorders>
              <w:bottom w:val="single" w:sz="8" w:space="0" w:color="000000"/>
            </w:tcBorders>
          </w:tcPr>
          <w:p>
            <w:pPr>
              <w:pStyle w:val="TableParagraph"/>
              <w:spacing w:line="225" w:lineRule="exact"/>
              <w:ind w:left="474"/>
              <w:rPr>
                <w:rFonts w:ascii="Calibri"/>
                <w:b/>
                <w:sz w:val="22"/>
              </w:rPr>
            </w:pPr>
            <w:r>
              <w:rPr>
                <w:rFonts w:ascii="Calibri"/>
                <w:b/>
                <w:sz w:val="22"/>
              </w:rPr>
              <w:t>T-</w:t>
            </w:r>
            <w:r>
              <w:rPr>
                <w:rFonts w:ascii="Calibri"/>
                <w:b/>
                <w:spacing w:val="-4"/>
                <w:sz w:val="22"/>
              </w:rPr>
              <w:t>Stat</w:t>
            </w:r>
          </w:p>
        </w:tc>
        <w:tc>
          <w:tcPr>
            <w:tcW w:w="1608" w:type="dxa"/>
            <w:tcBorders>
              <w:bottom w:val="single" w:sz="8" w:space="0" w:color="000000"/>
            </w:tcBorders>
          </w:tcPr>
          <w:p>
            <w:pPr>
              <w:pStyle w:val="TableParagraph"/>
              <w:spacing w:line="225" w:lineRule="exact"/>
              <w:ind w:left="460"/>
              <w:rPr>
                <w:rFonts w:ascii="Calibri"/>
                <w:b/>
                <w:sz w:val="22"/>
              </w:rPr>
            </w:pPr>
            <w:r>
              <w:rPr>
                <w:rFonts w:ascii="Calibri"/>
                <w:b/>
                <w:spacing w:val="-2"/>
                <w:sz w:val="22"/>
              </w:rPr>
              <w:t>P-value</w:t>
            </w:r>
          </w:p>
        </w:tc>
      </w:tr>
      <w:tr>
        <w:trPr>
          <w:trHeight w:val="419" w:hRule="atLeast"/>
        </w:trPr>
        <w:tc>
          <w:tcPr>
            <w:tcW w:w="1609" w:type="dxa"/>
            <w:tcBorders>
              <w:top w:val="single" w:sz="8" w:space="0" w:color="000000"/>
            </w:tcBorders>
          </w:tcPr>
          <w:p>
            <w:pPr>
              <w:pStyle w:val="TableParagraph"/>
              <w:spacing w:line="265" w:lineRule="exact"/>
              <w:ind w:left="115"/>
              <w:rPr>
                <w:rFonts w:ascii="Calibri"/>
                <w:b/>
                <w:sz w:val="22"/>
              </w:rPr>
            </w:pPr>
            <w:r>
              <w:rPr>
                <w:rFonts w:ascii="Calibri"/>
                <w:b/>
                <w:spacing w:val="-2"/>
                <w:sz w:val="22"/>
              </w:rPr>
              <w:t>Constant</w:t>
            </w:r>
          </w:p>
        </w:tc>
        <w:tc>
          <w:tcPr>
            <w:tcW w:w="1604" w:type="dxa"/>
            <w:tcBorders>
              <w:top w:val="single" w:sz="8" w:space="0" w:color="000000"/>
            </w:tcBorders>
          </w:tcPr>
          <w:p>
            <w:pPr>
              <w:pStyle w:val="TableParagraph"/>
              <w:spacing w:line="265" w:lineRule="exact"/>
              <w:ind w:left="419"/>
              <w:rPr>
                <w:rFonts w:ascii="Calibri"/>
                <w:sz w:val="22"/>
              </w:rPr>
            </w:pPr>
            <w:r>
              <w:rPr>
                <w:rFonts w:ascii="Calibri"/>
                <w:spacing w:val="-2"/>
                <w:sz w:val="22"/>
              </w:rPr>
              <w:t>0.012</w:t>
            </w:r>
          </w:p>
        </w:tc>
        <w:tc>
          <w:tcPr>
            <w:tcW w:w="2093" w:type="dxa"/>
            <w:tcBorders>
              <w:top w:val="single" w:sz="8" w:space="0" w:color="000000"/>
            </w:tcBorders>
          </w:tcPr>
          <w:p>
            <w:pPr>
              <w:pStyle w:val="TableParagraph"/>
              <w:spacing w:line="265" w:lineRule="exact"/>
              <w:ind w:left="356"/>
              <w:jc w:val="center"/>
              <w:rPr>
                <w:rFonts w:ascii="Calibri"/>
                <w:sz w:val="22"/>
              </w:rPr>
            </w:pPr>
            <w:r>
              <w:rPr>
                <w:rFonts w:ascii="Calibri"/>
                <w:spacing w:val="-2"/>
                <w:sz w:val="22"/>
              </w:rPr>
              <w:t>0.015</w:t>
            </w:r>
          </w:p>
        </w:tc>
        <w:tc>
          <w:tcPr>
            <w:tcW w:w="1473" w:type="dxa"/>
            <w:tcBorders>
              <w:top w:val="single" w:sz="8" w:space="0" w:color="000000"/>
            </w:tcBorders>
          </w:tcPr>
          <w:p>
            <w:pPr>
              <w:pStyle w:val="TableParagraph"/>
              <w:spacing w:line="265" w:lineRule="exact"/>
              <w:ind w:left="313"/>
              <w:rPr>
                <w:rFonts w:ascii="Calibri"/>
                <w:sz w:val="22"/>
              </w:rPr>
            </w:pPr>
            <w:r>
              <w:rPr>
                <w:rFonts w:ascii="Calibri"/>
                <w:spacing w:val="-2"/>
                <w:sz w:val="22"/>
              </w:rPr>
              <w:t>0.803</w:t>
            </w:r>
          </w:p>
        </w:tc>
        <w:tc>
          <w:tcPr>
            <w:tcW w:w="1608" w:type="dxa"/>
            <w:tcBorders>
              <w:top w:val="single" w:sz="8" w:space="0" w:color="000000"/>
            </w:tcBorders>
          </w:tcPr>
          <w:p>
            <w:pPr>
              <w:pStyle w:val="TableParagraph"/>
              <w:spacing w:line="265" w:lineRule="exact"/>
              <w:ind w:left="460"/>
              <w:rPr>
                <w:rFonts w:ascii="Calibri"/>
                <w:sz w:val="22"/>
              </w:rPr>
            </w:pPr>
            <w:r>
              <w:rPr>
                <w:rFonts w:ascii="Calibri"/>
                <w:spacing w:val="-2"/>
                <w:sz w:val="22"/>
              </w:rPr>
              <w:t>0.433</w:t>
            </w:r>
          </w:p>
        </w:tc>
      </w:tr>
      <w:tr>
        <w:trPr>
          <w:trHeight w:val="806" w:hRule="atLeast"/>
        </w:trPr>
        <w:tc>
          <w:tcPr>
            <w:tcW w:w="1609" w:type="dxa"/>
          </w:tcPr>
          <w:p>
            <w:pPr>
              <w:pStyle w:val="TableParagraph"/>
              <w:spacing w:before="114"/>
              <w:ind w:left="115"/>
              <w:rPr>
                <w:rFonts w:ascii="Calibri"/>
                <w:b/>
                <w:sz w:val="22"/>
              </w:rPr>
            </w:pPr>
            <w:r>
              <w:rPr>
                <w:rFonts w:ascii="Calibri"/>
                <w:b/>
                <w:sz w:val="22"/>
              </w:rPr>
              <w:t>PCA</w:t>
            </w:r>
            <w:r>
              <w:rPr>
                <w:rFonts w:ascii="Calibri"/>
                <w:b/>
                <w:spacing w:val="-2"/>
                <w:sz w:val="22"/>
              </w:rPr>
              <w:t> Weight</w:t>
            </w:r>
          </w:p>
        </w:tc>
        <w:tc>
          <w:tcPr>
            <w:tcW w:w="1604" w:type="dxa"/>
          </w:tcPr>
          <w:p>
            <w:pPr>
              <w:pStyle w:val="TableParagraph"/>
              <w:spacing w:before="114"/>
              <w:ind w:left="419"/>
              <w:rPr>
                <w:rFonts w:ascii="Calibri"/>
                <w:sz w:val="22"/>
              </w:rPr>
            </w:pPr>
            <w:r>
              <w:rPr>
                <w:rFonts w:ascii="Calibri"/>
                <w:spacing w:val="-2"/>
                <w:sz w:val="22"/>
              </w:rPr>
              <w:t>0.955</w:t>
            </w:r>
          </w:p>
        </w:tc>
        <w:tc>
          <w:tcPr>
            <w:tcW w:w="2093" w:type="dxa"/>
          </w:tcPr>
          <w:p>
            <w:pPr>
              <w:pStyle w:val="TableParagraph"/>
              <w:spacing w:before="114"/>
              <w:ind w:left="356"/>
              <w:jc w:val="center"/>
              <w:rPr>
                <w:rFonts w:ascii="Calibri"/>
                <w:sz w:val="22"/>
              </w:rPr>
            </w:pPr>
            <w:r>
              <w:rPr>
                <w:rFonts w:ascii="Calibri"/>
                <w:spacing w:val="-2"/>
                <w:sz w:val="22"/>
              </w:rPr>
              <w:t>0.050</w:t>
            </w:r>
          </w:p>
        </w:tc>
        <w:tc>
          <w:tcPr>
            <w:tcW w:w="1473" w:type="dxa"/>
          </w:tcPr>
          <w:p>
            <w:pPr>
              <w:pStyle w:val="TableParagraph"/>
              <w:spacing w:before="114"/>
              <w:ind w:left="202"/>
              <w:rPr>
                <w:rFonts w:ascii="Calibri"/>
                <w:sz w:val="22"/>
              </w:rPr>
            </w:pPr>
            <w:r>
              <w:rPr>
                <w:rFonts w:ascii="Calibri"/>
                <w:spacing w:val="-2"/>
                <w:sz w:val="22"/>
              </w:rPr>
              <w:t>19.005</w:t>
            </w:r>
          </w:p>
        </w:tc>
        <w:tc>
          <w:tcPr>
            <w:tcW w:w="1608" w:type="dxa"/>
          </w:tcPr>
          <w:p>
            <w:pPr>
              <w:pStyle w:val="TableParagraph"/>
              <w:spacing w:before="114"/>
              <w:ind w:left="460"/>
              <w:rPr>
                <w:rFonts w:ascii="Calibri"/>
                <w:sz w:val="22"/>
              </w:rPr>
            </w:pPr>
            <w:r>
              <w:rPr>
                <w:rFonts w:ascii="Calibri"/>
                <w:spacing w:val="-2"/>
                <w:sz w:val="22"/>
              </w:rPr>
              <w:t>0.000</w:t>
            </w:r>
          </w:p>
        </w:tc>
      </w:tr>
      <w:tr>
        <w:trPr>
          <w:trHeight w:val="806" w:hRule="atLeast"/>
        </w:trPr>
        <w:tc>
          <w:tcPr>
            <w:tcW w:w="1609" w:type="dxa"/>
          </w:tcPr>
          <w:p>
            <w:pPr>
              <w:pStyle w:val="TableParagraph"/>
              <w:spacing w:before="130"/>
              <w:rPr>
                <w:b/>
                <w:sz w:val="22"/>
              </w:rPr>
            </w:pPr>
          </w:p>
          <w:p>
            <w:pPr>
              <w:pStyle w:val="TableParagraph"/>
              <w:ind w:left="115" w:right="-29"/>
              <w:rPr>
                <w:rFonts w:ascii="Calibri"/>
                <w:b/>
                <w:sz w:val="22"/>
              </w:rPr>
            </w:pPr>
            <w:r>
              <w:rPr>
                <w:rFonts w:ascii="Calibri"/>
                <w:b/>
                <w:sz w:val="22"/>
              </w:rPr>
              <w:t>Model</w:t>
            </w:r>
            <w:r>
              <w:rPr>
                <w:rFonts w:ascii="Calibri"/>
                <w:b/>
                <w:spacing w:val="-5"/>
                <w:sz w:val="22"/>
              </w:rPr>
              <w:t> </w:t>
            </w:r>
            <w:r>
              <w:rPr>
                <w:rFonts w:ascii="Calibri"/>
                <w:b/>
                <w:spacing w:val="-2"/>
                <w:sz w:val="22"/>
              </w:rPr>
              <w:t>Summary</w:t>
            </w:r>
          </w:p>
        </w:tc>
        <w:tc>
          <w:tcPr>
            <w:tcW w:w="1604" w:type="dxa"/>
          </w:tcPr>
          <w:p>
            <w:pPr>
              <w:pStyle w:val="TableParagraph"/>
              <w:rPr>
                <w:sz w:val="22"/>
              </w:rPr>
            </w:pPr>
          </w:p>
        </w:tc>
        <w:tc>
          <w:tcPr>
            <w:tcW w:w="2093" w:type="dxa"/>
          </w:tcPr>
          <w:p>
            <w:pPr>
              <w:pStyle w:val="TableParagraph"/>
              <w:rPr>
                <w:sz w:val="22"/>
              </w:rPr>
            </w:pPr>
          </w:p>
        </w:tc>
        <w:tc>
          <w:tcPr>
            <w:tcW w:w="1473" w:type="dxa"/>
          </w:tcPr>
          <w:p>
            <w:pPr>
              <w:pStyle w:val="TableParagraph"/>
              <w:rPr>
                <w:sz w:val="22"/>
              </w:rPr>
            </w:pPr>
          </w:p>
        </w:tc>
        <w:tc>
          <w:tcPr>
            <w:tcW w:w="1608" w:type="dxa"/>
          </w:tcPr>
          <w:p>
            <w:pPr>
              <w:pStyle w:val="TableParagraph"/>
              <w:rPr>
                <w:sz w:val="22"/>
              </w:rPr>
            </w:pPr>
          </w:p>
        </w:tc>
      </w:tr>
      <w:tr>
        <w:trPr>
          <w:trHeight w:val="527" w:hRule="atLeast"/>
        </w:trPr>
        <w:tc>
          <w:tcPr>
            <w:tcW w:w="1609" w:type="dxa"/>
          </w:tcPr>
          <w:p>
            <w:pPr>
              <w:pStyle w:val="TableParagraph"/>
              <w:spacing w:before="114"/>
              <w:ind w:left="115"/>
              <w:rPr>
                <w:rFonts w:ascii="Calibri"/>
                <w:b/>
                <w:sz w:val="22"/>
              </w:rPr>
            </w:pPr>
            <w:r>
              <w:rPr>
                <w:rFonts w:ascii="Calibri"/>
                <w:b/>
                <w:spacing w:val="-10"/>
                <w:sz w:val="22"/>
              </w:rPr>
              <w:t>R</w:t>
            </w:r>
          </w:p>
        </w:tc>
        <w:tc>
          <w:tcPr>
            <w:tcW w:w="1604" w:type="dxa"/>
          </w:tcPr>
          <w:p>
            <w:pPr>
              <w:pStyle w:val="TableParagraph"/>
              <w:rPr>
                <w:sz w:val="22"/>
              </w:rPr>
            </w:pPr>
          </w:p>
        </w:tc>
        <w:tc>
          <w:tcPr>
            <w:tcW w:w="2093" w:type="dxa"/>
          </w:tcPr>
          <w:p>
            <w:pPr>
              <w:pStyle w:val="TableParagraph"/>
              <w:spacing w:before="114"/>
              <w:ind w:left="356" w:right="5"/>
              <w:jc w:val="center"/>
              <w:rPr>
                <w:rFonts w:ascii="Calibri"/>
                <w:sz w:val="22"/>
              </w:rPr>
            </w:pPr>
            <w:r>
              <w:rPr>
                <w:rFonts w:ascii="Calibri"/>
                <w:spacing w:val="-2"/>
                <w:sz w:val="22"/>
              </w:rPr>
              <w:t>0.977</w:t>
            </w:r>
          </w:p>
        </w:tc>
        <w:tc>
          <w:tcPr>
            <w:tcW w:w="1473" w:type="dxa"/>
          </w:tcPr>
          <w:p>
            <w:pPr>
              <w:pStyle w:val="TableParagraph"/>
              <w:rPr>
                <w:sz w:val="22"/>
              </w:rPr>
            </w:pPr>
          </w:p>
        </w:tc>
        <w:tc>
          <w:tcPr>
            <w:tcW w:w="1608" w:type="dxa"/>
          </w:tcPr>
          <w:p>
            <w:pPr>
              <w:pStyle w:val="TableParagraph"/>
              <w:rPr>
                <w:sz w:val="22"/>
              </w:rPr>
            </w:pPr>
          </w:p>
        </w:tc>
      </w:tr>
      <w:tr>
        <w:trPr>
          <w:trHeight w:val="545" w:hRule="atLeast"/>
        </w:trPr>
        <w:tc>
          <w:tcPr>
            <w:tcW w:w="1609" w:type="dxa"/>
          </w:tcPr>
          <w:p>
            <w:pPr>
              <w:pStyle w:val="TableParagraph"/>
              <w:spacing w:before="119"/>
              <w:ind w:left="115"/>
              <w:rPr>
                <w:rFonts w:ascii="Calibri"/>
                <w:b/>
                <w:sz w:val="14"/>
              </w:rPr>
            </w:pPr>
            <w:r>
              <w:rPr>
                <w:rFonts w:ascii="Calibri"/>
                <w:b/>
                <w:spacing w:val="-5"/>
                <w:position w:val="-7"/>
                <w:sz w:val="22"/>
              </w:rPr>
              <w:t>R</w:t>
            </w:r>
            <w:r>
              <w:rPr>
                <w:rFonts w:ascii="Calibri"/>
                <w:b/>
                <w:spacing w:val="-5"/>
                <w:sz w:val="14"/>
              </w:rPr>
              <w:t>2</w:t>
            </w:r>
          </w:p>
        </w:tc>
        <w:tc>
          <w:tcPr>
            <w:tcW w:w="1604" w:type="dxa"/>
          </w:tcPr>
          <w:p>
            <w:pPr>
              <w:pStyle w:val="TableParagraph"/>
              <w:rPr>
                <w:sz w:val="22"/>
              </w:rPr>
            </w:pPr>
          </w:p>
        </w:tc>
        <w:tc>
          <w:tcPr>
            <w:tcW w:w="2093" w:type="dxa"/>
          </w:tcPr>
          <w:p>
            <w:pPr>
              <w:pStyle w:val="TableParagraph"/>
              <w:spacing w:before="122"/>
              <w:ind w:left="356" w:right="5"/>
              <w:jc w:val="center"/>
              <w:rPr>
                <w:rFonts w:ascii="Calibri"/>
                <w:sz w:val="22"/>
              </w:rPr>
            </w:pPr>
            <w:r>
              <w:rPr>
                <w:rFonts w:ascii="Calibri"/>
                <w:spacing w:val="-2"/>
                <w:sz w:val="22"/>
              </w:rPr>
              <w:t>0.955</w:t>
            </w:r>
          </w:p>
        </w:tc>
        <w:tc>
          <w:tcPr>
            <w:tcW w:w="1473" w:type="dxa"/>
          </w:tcPr>
          <w:p>
            <w:pPr>
              <w:pStyle w:val="TableParagraph"/>
              <w:rPr>
                <w:sz w:val="22"/>
              </w:rPr>
            </w:pPr>
          </w:p>
        </w:tc>
        <w:tc>
          <w:tcPr>
            <w:tcW w:w="1608" w:type="dxa"/>
          </w:tcPr>
          <w:p>
            <w:pPr>
              <w:pStyle w:val="TableParagraph"/>
              <w:rPr>
                <w:sz w:val="22"/>
              </w:rPr>
            </w:pPr>
          </w:p>
        </w:tc>
      </w:tr>
      <w:tr>
        <w:trPr>
          <w:trHeight w:val="537" w:hRule="atLeast"/>
        </w:trPr>
        <w:tc>
          <w:tcPr>
            <w:tcW w:w="1609" w:type="dxa"/>
          </w:tcPr>
          <w:p>
            <w:pPr>
              <w:pStyle w:val="TableParagraph"/>
              <w:spacing w:before="114"/>
              <w:ind w:left="115"/>
              <w:rPr>
                <w:rFonts w:ascii="Calibri"/>
                <w:b/>
                <w:sz w:val="22"/>
              </w:rPr>
            </w:pPr>
            <w:r>
              <w:rPr>
                <w:rFonts w:ascii="Calibri"/>
                <w:b/>
                <w:spacing w:val="-2"/>
                <w:sz w:val="22"/>
              </w:rPr>
              <w:t>R-Sq(adj)</w:t>
            </w:r>
          </w:p>
        </w:tc>
        <w:tc>
          <w:tcPr>
            <w:tcW w:w="1604" w:type="dxa"/>
          </w:tcPr>
          <w:p>
            <w:pPr>
              <w:pStyle w:val="TableParagraph"/>
              <w:rPr>
                <w:sz w:val="22"/>
              </w:rPr>
            </w:pPr>
          </w:p>
        </w:tc>
        <w:tc>
          <w:tcPr>
            <w:tcW w:w="2093" w:type="dxa"/>
          </w:tcPr>
          <w:p>
            <w:pPr>
              <w:pStyle w:val="TableParagraph"/>
              <w:spacing w:before="114"/>
              <w:ind w:left="356" w:right="5"/>
              <w:jc w:val="center"/>
              <w:rPr>
                <w:rFonts w:ascii="Calibri"/>
                <w:sz w:val="22"/>
              </w:rPr>
            </w:pPr>
            <w:r>
              <w:rPr>
                <w:rFonts w:ascii="Calibri"/>
                <w:spacing w:val="-2"/>
                <w:sz w:val="22"/>
              </w:rPr>
              <w:t>0.952</w:t>
            </w:r>
          </w:p>
        </w:tc>
        <w:tc>
          <w:tcPr>
            <w:tcW w:w="1473" w:type="dxa"/>
          </w:tcPr>
          <w:p>
            <w:pPr>
              <w:pStyle w:val="TableParagraph"/>
              <w:rPr>
                <w:sz w:val="22"/>
              </w:rPr>
            </w:pPr>
          </w:p>
        </w:tc>
        <w:tc>
          <w:tcPr>
            <w:tcW w:w="1608" w:type="dxa"/>
          </w:tcPr>
          <w:p>
            <w:pPr>
              <w:pStyle w:val="TableParagraph"/>
              <w:rPr>
                <w:sz w:val="22"/>
              </w:rPr>
            </w:pPr>
          </w:p>
        </w:tc>
      </w:tr>
      <w:tr>
        <w:trPr>
          <w:trHeight w:val="537" w:hRule="atLeast"/>
        </w:trPr>
        <w:tc>
          <w:tcPr>
            <w:tcW w:w="3213" w:type="dxa"/>
            <w:gridSpan w:val="2"/>
          </w:tcPr>
          <w:p>
            <w:pPr>
              <w:pStyle w:val="TableParagraph"/>
              <w:spacing w:before="114"/>
              <w:ind w:left="115"/>
              <w:rPr>
                <w:rFonts w:ascii="Calibri"/>
                <w:b/>
                <w:sz w:val="22"/>
              </w:rPr>
            </w:pPr>
            <w:r>
              <w:rPr>
                <w:rFonts w:ascii="Calibri"/>
                <w:b/>
                <w:sz w:val="22"/>
              </w:rPr>
              <w:t>Std.</w:t>
            </w:r>
            <w:r>
              <w:rPr>
                <w:rFonts w:ascii="Calibri"/>
                <w:b/>
                <w:spacing w:val="-2"/>
                <w:sz w:val="22"/>
              </w:rPr>
              <w:t> </w:t>
            </w:r>
            <w:r>
              <w:rPr>
                <w:rFonts w:ascii="Calibri"/>
                <w:b/>
                <w:sz w:val="22"/>
              </w:rPr>
              <w:t>error</w:t>
            </w:r>
            <w:r>
              <w:rPr>
                <w:rFonts w:ascii="Calibri"/>
                <w:b/>
                <w:spacing w:val="-4"/>
                <w:sz w:val="22"/>
              </w:rPr>
              <w:t> </w:t>
            </w:r>
            <w:r>
              <w:rPr>
                <w:rFonts w:ascii="Calibri"/>
                <w:b/>
                <w:sz w:val="22"/>
              </w:rPr>
              <w:t>of</w:t>
            </w:r>
            <w:r>
              <w:rPr>
                <w:rFonts w:ascii="Calibri"/>
                <w:b/>
                <w:spacing w:val="-2"/>
                <w:sz w:val="22"/>
              </w:rPr>
              <w:t> </w:t>
            </w:r>
            <w:r>
              <w:rPr>
                <w:rFonts w:ascii="Calibri"/>
                <w:b/>
                <w:sz w:val="22"/>
              </w:rPr>
              <w:t>the</w:t>
            </w:r>
            <w:r>
              <w:rPr>
                <w:rFonts w:ascii="Calibri"/>
                <w:b/>
                <w:spacing w:val="-4"/>
                <w:sz w:val="22"/>
              </w:rPr>
              <w:t> </w:t>
            </w:r>
            <w:r>
              <w:rPr>
                <w:rFonts w:ascii="Calibri"/>
                <w:b/>
                <w:spacing w:val="-2"/>
                <w:sz w:val="22"/>
              </w:rPr>
              <w:t>estimate</w:t>
            </w:r>
          </w:p>
        </w:tc>
        <w:tc>
          <w:tcPr>
            <w:tcW w:w="2093" w:type="dxa"/>
          </w:tcPr>
          <w:p>
            <w:pPr>
              <w:pStyle w:val="TableParagraph"/>
              <w:spacing w:before="114"/>
              <w:ind w:left="356" w:right="5"/>
              <w:jc w:val="center"/>
              <w:rPr>
                <w:rFonts w:ascii="Calibri"/>
                <w:sz w:val="22"/>
              </w:rPr>
            </w:pPr>
            <w:r>
              <w:rPr>
                <w:rFonts w:ascii="Calibri"/>
                <w:spacing w:val="-2"/>
                <w:sz w:val="22"/>
              </w:rPr>
              <w:t>0.028</w:t>
            </w:r>
          </w:p>
        </w:tc>
        <w:tc>
          <w:tcPr>
            <w:tcW w:w="1473" w:type="dxa"/>
          </w:tcPr>
          <w:p>
            <w:pPr>
              <w:pStyle w:val="TableParagraph"/>
              <w:rPr>
                <w:sz w:val="22"/>
              </w:rPr>
            </w:pPr>
          </w:p>
        </w:tc>
        <w:tc>
          <w:tcPr>
            <w:tcW w:w="1608" w:type="dxa"/>
          </w:tcPr>
          <w:p>
            <w:pPr>
              <w:pStyle w:val="TableParagraph"/>
              <w:rPr>
                <w:sz w:val="22"/>
              </w:rPr>
            </w:pPr>
          </w:p>
        </w:tc>
      </w:tr>
      <w:tr>
        <w:trPr>
          <w:trHeight w:val="654" w:hRule="atLeast"/>
        </w:trPr>
        <w:tc>
          <w:tcPr>
            <w:tcW w:w="1609" w:type="dxa"/>
            <w:tcBorders>
              <w:bottom w:val="single" w:sz="8" w:space="0" w:color="000000"/>
            </w:tcBorders>
          </w:tcPr>
          <w:p>
            <w:pPr>
              <w:pStyle w:val="TableParagraph"/>
              <w:spacing w:before="114"/>
              <w:ind w:left="115"/>
              <w:rPr>
                <w:rFonts w:ascii="Calibri"/>
                <w:b/>
                <w:sz w:val="22"/>
              </w:rPr>
            </w:pPr>
            <w:r>
              <w:rPr>
                <w:rFonts w:ascii="Calibri"/>
                <w:b/>
                <w:sz w:val="22"/>
              </w:rPr>
              <w:t>No.</w:t>
            </w:r>
            <w:r>
              <w:rPr>
                <w:rFonts w:ascii="Calibri"/>
                <w:b/>
                <w:spacing w:val="-1"/>
                <w:sz w:val="22"/>
              </w:rPr>
              <w:t> </w:t>
            </w:r>
            <w:r>
              <w:rPr>
                <w:rFonts w:ascii="Calibri"/>
                <w:b/>
                <w:sz w:val="22"/>
              </w:rPr>
              <w:t>of</w:t>
            </w:r>
            <w:r>
              <w:rPr>
                <w:rFonts w:ascii="Calibri"/>
                <w:b/>
                <w:spacing w:val="-3"/>
                <w:sz w:val="22"/>
              </w:rPr>
              <w:t> </w:t>
            </w:r>
            <w:r>
              <w:rPr>
                <w:rFonts w:ascii="Calibri"/>
                <w:b/>
                <w:spacing w:val="-2"/>
                <w:sz w:val="22"/>
              </w:rPr>
              <w:t>variables</w:t>
            </w:r>
          </w:p>
        </w:tc>
        <w:tc>
          <w:tcPr>
            <w:tcW w:w="1604" w:type="dxa"/>
            <w:tcBorders>
              <w:bottom w:val="single" w:sz="8" w:space="0" w:color="000000"/>
            </w:tcBorders>
          </w:tcPr>
          <w:p>
            <w:pPr>
              <w:pStyle w:val="TableParagraph"/>
              <w:rPr>
                <w:sz w:val="22"/>
              </w:rPr>
            </w:pPr>
          </w:p>
        </w:tc>
        <w:tc>
          <w:tcPr>
            <w:tcW w:w="2093" w:type="dxa"/>
            <w:tcBorders>
              <w:bottom w:val="single" w:sz="8" w:space="0" w:color="000000"/>
            </w:tcBorders>
          </w:tcPr>
          <w:p>
            <w:pPr>
              <w:pStyle w:val="TableParagraph"/>
              <w:spacing w:before="114"/>
              <w:ind w:left="356" w:right="4"/>
              <w:jc w:val="center"/>
              <w:rPr>
                <w:rFonts w:ascii="Calibri"/>
                <w:sz w:val="22"/>
              </w:rPr>
            </w:pPr>
            <w:r>
              <w:rPr>
                <w:rFonts w:ascii="Calibri"/>
                <w:spacing w:val="-5"/>
                <w:sz w:val="22"/>
              </w:rPr>
              <w:t>19</w:t>
            </w:r>
          </w:p>
        </w:tc>
        <w:tc>
          <w:tcPr>
            <w:tcW w:w="1473" w:type="dxa"/>
            <w:tcBorders>
              <w:bottom w:val="single" w:sz="8" w:space="0" w:color="000000"/>
            </w:tcBorders>
          </w:tcPr>
          <w:p>
            <w:pPr>
              <w:pStyle w:val="TableParagraph"/>
              <w:rPr>
                <w:sz w:val="22"/>
              </w:rPr>
            </w:pPr>
          </w:p>
        </w:tc>
        <w:tc>
          <w:tcPr>
            <w:tcW w:w="1608" w:type="dxa"/>
            <w:tcBorders>
              <w:bottom w:val="single" w:sz="8" w:space="0" w:color="000000"/>
            </w:tcBorders>
          </w:tcPr>
          <w:p>
            <w:pPr>
              <w:pStyle w:val="TableParagraph"/>
              <w:rPr>
                <w:sz w:val="22"/>
              </w:rPr>
            </w:pPr>
          </w:p>
        </w:tc>
      </w:tr>
    </w:tbl>
    <w:p>
      <w:pPr>
        <w:pStyle w:val="BodyText"/>
        <w:rPr>
          <w:b/>
        </w:rPr>
      </w:pPr>
    </w:p>
    <w:p>
      <w:pPr>
        <w:pStyle w:val="BodyText"/>
        <w:spacing w:before="13"/>
        <w:rPr>
          <w:b/>
        </w:rPr>
      </w:pPr>
    </w:p>
    <w:p>
      <w:pPr>
        <w:pStyle w:val="Heading1"/>
        <w:numPr>
          <w:ilvl w:val="2"/>
          <w:numId w:val="10"/>
        </w:numPr>
        <w:tabs>
          <w:tab w:pos="1047" w:val="left" w:leader="none"/>
        </w:tabs>
        <w:spacing w:line="240" w:lineRule="auto" w:before="1" w:after="0"/>
        <w:ind w:left="1047" w:right="0" w:hanging="780"/>
        <w:jc w:val="left"/>
      </w:pPr>
      <w:r>
        <w:rPr/>
        <w:t>Water</w:t>
      </w:r>
      <w:r>
        <w:rPr>
          <w:spacing w:val="-2"/>
        </w:rPr>
        <w:t> </w:t>
      </w:r>
      <w:r>
        <w:rPr/>
        <w:t>poverty index</w:t>
      </w:r>
      <w:r>
        <w:rPr>
          <w:spacing w:val="-1"/>
        </w:rPr>
        <w:t> </w:t>
      </w:r>
      <w:r>
        <w:rPr/>
        <w:t>for</w:t>
      </w:r>
      <w:r>
        <w:rPr>
          <w:spacing w:val="-1"/>
        </w:rPr>
        <w:t> </w:t>
      </w:r>
      <w:r>
        <w:rPr/>
        <w:t>the </w:t>
      </w:r>
      <w:r>
        <w:rPr>
          <w:spacing w:val="-2"/>
        </w:rPr>
        <w:t>neighbourhoods</w:t>
      </w:r>
    </w:p>
    <w:p>
      <w:pPr>
        <w:pStyle w:val="BodyText"/>
        <w:spacing w:before="14"/>
        <w:rPr>
          <w:b/>
        </w:rPr>
      </w:pPr>
    </w:p>
    <w:p>
      <w:pPr>
        <w:pStyle w:val="BodyText"/>
        <w:spacing w:line="480" w:lineRule="auto"/>
        <w:ind w:left="267" w:right="109"/>
        <w:jc w:val="both"/>
      </w:pPr>
      <w:r>
        <w:rPr/>
        <w:t>Figure 4.11 depicts the result of the water poverty index for the eight (8) sampled neighbourhoods in the study area. The water poverty index ranged from 32.70(poor) to 44.40(fair) for all the neighbourhoods. However, none of the 8 neighbourhoods has a very poor, good or excellent water poverty condition.</w:t>
      </w:r>
    </w:p>
    <w:p>
      <w:pPr>
        <w:spacing w:after="0" w:line="480" w:lineRule="auto"/>
        <w:jc w:val="both"/>
        <w:sectPr>
          <w:pgSz w:w="12240" w:h="15840"/>
          <w:pgMar w:header="0" w:footer="1068" w:top="1340" w:bottom="1260" w:left="1720" w:right="1300"/>
        </w:sectPr>
      </w:pPr>
    </w:p>
    <w:p>
      <w:pPr>
        <w:pStyle w:val="BodyText"/>
        <w:ind w:left="317"/>
        <w:rPr>
          <w:sz w:val="20"/>
        </w:rPr>
      </w:pPr>
      <w:r>
        <w:rPr>
          <w:sz w:val="20"/>
        </w:rPr>
        <w:drawing>
          <wp:inline distT="0" distB="0" distL="0" distR="0">
            <wp:extent cx="5583363" cy="2817495"/>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39" cstate="print"/>
                    <a:stretch>
                      <a:fillRect/>
                    </a:stretch>
                  </pic:blipFill>
                  <pic:spPr>
                    <a:xfrm>
                      <a:off x="0" y="0"/>
                      <a:ext cx="5583363" cy="2817495"/>
                    </a:xfrm>
                    <a:prstGeom prst="rect">
                      <a:avLst/>
                    </a:prstGeom>
                  </pic:spPr>
                </pic:pic>
              </a:graphicData>
            </a:graphic>
          </wp:inline>
        </w:drawing>
      </w:r>
      <w:r>
        <w:rPr>
          <w:sz w:val="20"/>
        </w:rPr>
      </w:r>
    </w:p>
    <w:p>
      <w:pPr>
        <w:pStyle w:val="Heading1"/>
        <w:ind w:left="160" w:right="6"/>
        <w:jc w:val="center"/>
      </w:pPr>
      <w:r>
        <w:rPr/>
        <w:t>Figure</w:t>
      </w:r>
      <w:r>
        <w:rPr>
          <w:spacing w:val="-2"/>
        </w:rPr>
        <w:t> </w:t>
      </w:r>
      <w:r>
        <w:rPr/>
        <w:t>4.11:</w:t>
      </w:r>
      <w:r>
        <w:rPr>
          <w:spacing w:val="-1"/>
        </w:rPr>
        <w:t> </w:t>
      </w:r>
      <w:r>
        <w:rPr/>
        <w:t>Water Poverty Index</w:t>
      </w:r>
      <w:r>
        <w:rPr>
          <w:spacing w:val="-1"/>
        </w:rPr>
        <w:t> </w:t>
      </w:r>
      <w:r>
        <w:rPr/>
        <w:t>for</w:t>
      </w:r>
      <w:r>
        <w:rPr>
          <w:spacing w:val="-2"/>
        </w:rPr>
        <w:t> </w:t>
      </w:r>
      <w:r>
        <w:rPr/>
        <w:t>the </w:t>
      </w:r>
      <w:r>
        <w:rPr>
          <w:spacing w:val="-2"/>
        </w:rPr>
        <w:t>Neighbourhoods</w:t>
      </w:r>
    </w:p>
    <w:p>
      <w:pPr>
        <w:pStyle w:val="BodyText"/>
        <w:spacing w:before="241"/>
        <w:rPr>
          <w:b/>
        </w:rPr>
      </w:pPr>
    </w:p>
    <w:p>
      <w:pPr>
        <w:pStyle w:val="BodyText"/>
        <w:spacing w:line="480" w:lineRule="auto"/>
        <w:ind w:left="267" w:right="105"/>
      </w:pPr>
      <w:r>
        <w:rPr/>
        <w:t>The results in figure 4.11 further revealed that relative to other neighbourhoods in the</w:t>
      </w:r>
      <w:r>
        <w:rPr>
          <w:spacing w:val="-2"/>
        </w:rPr>
        <w:t> </w:t>
      </w:r>
      <w:r>
        <w:rPr/>
        <w:t>study area, Tudun-Wada South shows evidence of the best water situation with a water poverty</w:t>
      </w:r>
      <w:r>
        <w:rPr>
          <w:spacing w:val="80"/>
        </w:rPr>
        <w:t> </w:t>
      </w:r>
      <w:r>
        <w:rPr/>
        <w:t>index</w:t>
      </w:r>
      <w:r>
        <w:rPr>
          <w:spacing w:val="24"/>
        </w:rPr>
        <w:t> </w:t>
      </w:r>
      <w:r>
        <w:rPr/>
        <w:t>of</w:t>
      </w:r>
      <w:r>
        <w:rPr>
          <w:spacing w:val="22"/>
        </w:rPr>
        <w:t> </w:t>
      </w:r>
      <w:r>
        <w:rPr/>
        <w:t>44.40, while</w:t>
      </w:r>
      <w:r>
        <w:rPr>
          <w:spacing w:val="22"/>
        </w:rPr>
        <w:t> </w:t>
      </w:r>
      <w:r>
        <w:rPr/>
        <w:t>F-Layout</w:t>
      </w:r>
      <w:r>
        <w:rPr>
          <w:spacing w:val="23"/>
        </w:rPr>
        <w:t> </w:t>
      </w:r>
      <w:r>
        <w:rPr/>
        <w:t>with</w:t>
      </w:r>
      <w:r>
        <w:rPr>
          <w:spacing w:val="23"/>
        </w:rPr>
        <w:t> </w:t>
      </w:r>
      <w:r>
        <w:rPr/>
        <w:t>the</w:t>
      </w:r>
      <w:r>
        <w:rPr>
          <w:spacing w:val="22"/>
        </w:rPr>
        <w:t> </w:t>
      </w:r>
      <w:r>
        <w:rPr/>
        <w:t>least</w:t>
      </w:r>
      <w:r>
        <w:rPr>
          <w:spacing w:val="23"/>
        </w:rPr>
        <w:t> </w:t>
      </w:r>
      <w:r>
        <w:rPr/>
        <w:t>water</w:t>
      </w:r>
      <w:r>
        <w:rPr>
          <w:spacing w:val="21"/>
        </w:rPr>
        <w:t> </w:t>
      </w:r>
      <w:r>
        <w:rPr/>
        <w:t>poverty index</w:t>
      </w:r>
      <w:r>
        <w:rPr>
          <w:spacing w:val="24"/>
        </w:rPr>
        <w:t> </w:t>
      </w:r>
      <w:r>
        <w:rPr/>
        <w:t>of</w:t>
      </w:r>
      <w:r>
        <w:rPr>
          <w:spacing w:val="22"/>
        </w:rPr>
        <w:t> </w:t>
      </w:r>
      <w:r>
        <w:rPr/>
        <w:t>32.70</w:t>
      </w:r>
      <w:r>
        <w:rPr>
          <w:spacing w:val="23"/>
        </w:rPr>
        <w:t> </w:t>
      </w:r>
      <w:r>
        <w:rPr/>
        <w:t>exhibited</w:t>
      </w:r>
      <w:r>
        <w:rPr>
          <w:spacing w:val="22"/>
        </w:rPr>
        <w:t> </w:t>
      </w:r>
      <w:r>
        <w:rPr/>
        <w:t>the worst case. In the study area, only the two neighbourhoods of Tudun-Wada South (44.40) and Dutsenkura (41.60) exhibited a fair water poverty index/score as shown in figure 4.11. Furthermore, the result of the water poverty</w:t>
      </w:r>
      <w:r>
        <w:rPr>
          <w:spacing w:val="-1"/>
        </w:rPr>
        <w:t> </w:t>
      </w:r>
      <w:r>
        <w:rPr/>
        <w:t>index for the neighbourhoods shows that other neighbourhoods</w:t>
      </w:r>
      <w:r>
        <w:rPr>
          <w:spacing w:val="33"/>
        </w:rPr>
        <w:t> </w:t>
      </w:r>
      <w:r>
        <w:rPr/>
        <w:t>such</w:t>
      </w:r>
      <w:r>
        <w:rPr>
          <w:spacing w:val="35"/>
        </w:rPr>
        <w:t> </w:t>
      </w:r>
      <w:r>
        <w:rPr/>
        <w:t>as</w:t>
      </w:r>
      <w:r>
        <w:rPr>
          <w:spacing w:val="35"/>
        </w:rPr>
        <w:t> </w:t>
      </w:r>
      <w:r>
        <w:rPr/>
        <w:t>Minna-Central</w:t>
      </w:r>
      <w:r>
        <w:rPr>
          <w:spacing w:val="35"/>
        </w:rPr>
        <w:t> </w:t>
      </w:r>
      <w:r>
        <w:rPr/>
        <w:t>(40.00),</w:t>
      </w:r>
      <w:r>
        <w:rPr>
          <w:spacing w:val="34"/>
        </w:rPr>
        <w:t> </w:t>
      </w:r>
      <w:r>
        <w:rPr/>
        <w:t>Tudun-Fulani</w:t>
      </w:r>
      <w:r>
        <w:rPr>
          <w:spacing w:val="33"/>
        </w:rPr>
        <w:t> </w:t>
      </w:r>
      <w:r>
        <w:rPr/>
        <w:t>(39.70),</w:t>
      </w:r>
      <w:r>
        <w:rPr>
          <w:spacing w:val="34"/>
        </w:rPr>
        <w:t> </w:t>
      </w:r>
      <w:r>
        <w:rPr/>
        <w:t>Maitumbi(38.20), Saukakahuta (37.70), Kpakungu (37.20) as well as F-Layout(32.70)</w:t>
      </w:r>
      <w:r>
        <w:rPr>
          <w:spacing w:val="40"/>
        </w:rPr>
        <w:t> </w:t>
      </w:r>
      <w:r>
        <w:rPr/>
        <w:t>are water-stressed and therefore are classified as water-poor neighbourhoods. The spatial pattern in water poverty index</w:t>
      </w:r>
      <w:r>
        <w:rPr>
          <w:spacing w:val="29"/>
        </w:rPr>
        <w:t> </w:t>
      </w:r>
      <w:r>
        <w:rPr/>
        <w:t>for</w:t>
      </w:r>
      <w:r>
        <w:rPr>
          <w:spacing w:val="26"/>
        </w:rPr>
        <w:t> </w:t>
      </w:r>
      <w:r>
        <w:rPr/>
        <w:t>the</w:t>
      </w:r>
      <w:r>
        <w:rPr>
          <w:spacing w:val="27"/>
        </w:rPr>
        <w:t> </w:t>
      </w:r>
      <w:r>
        <w:rPr/>
        <w:t>eight</w:t>
      </w:r>
      <w:r>
        <w:rPr>
          <w:spacing w:val="28"/>
        </w:rPr>
        <w:t> </w:t>
      </w:r>
      <w:r>
        <w:rPr/>
        <w:t>(8)</w:t>
      </w:r>
      <w:r>
        <w:rPr>
          <w:spacing w:val="26"/>
        </w:rPr>
        <w:t> </w:t>
      </w:r>
      <w:r>
        <w:rPr/>
        <w:t>neighbourhoods</w:t>
      </w:r>
      <w:r>
        <w:rPr>
          <w:spacing w:val="28"/>
        </w:rPr>
        <w:t> </w:t>
      </w:r>
      <w:r>
        <w:rPr/>
        <w:t>as</w:t>
      </w:r>
      <w:r>
        <w:rPr>
          <w:spacing w:val="28"/>
        </w:rPr>
        <w:t> </w:t>
      </w:r>
      <w:r>
        <w:rPr/>
        <w:t>shown</w:t>
      </w:r>
      <w:r>
        <w:rPr>
          <w:spacing w:val="29"/>
        </w:rPr>
        <w:t> </w:t>
      </w:r>
      <w:r>
        <w:rPr/>
        <w:t>in</w:t>
      </w:r>
      <w:r>
        <w:rPr>
          <w:spacing w:val="28"/>
        </w:rPr>
        <w:t> </w:t>
      </w:r>
      <w:r>
        <w:rPr/>
        <w:t>figure</w:t>
      </w:r>
      <w:r>
        <w:rPr>
          <w:spacing w:val="26"/>
        </w:rPr>
        <w:t> </w:t>
      </w:r>
      <w:r>
        <w:rPr/>
        <w:t>4.12</w:t>
      </w:r>
      <w:r>
        <w:rPr>
          <w:spacing w:val="30"/>
        </w:rPr>
        <w:t> </w:t>
      </w:r>
      <w:r>
        <w:rPr/>
        <w:t>confirmed</w:t>
      </w:r>
      <w:r>
        <w:rPr>
          <w:spacing w:val="28"/>
        </w:rPr>
        <w:t> </w:t>
      </w:r>
      <w:r>
        <w:rPr/>
        <w:t>this</w:t>
      </w:r>
      <w:r>
        <w:rPr>
          <w:spacing w:val="28"/>
        </w:rPr>
        <w:t> </w:t>
      </w:r>
      <w:r>
        <w:rPr/>
        <w:t>empirical </w:t>
      </w:r>
      <w:r>
        <w:rPr>
          <w:spacing w:val="-2"/>
        </w:rPr>
        <w:t>result.</w:t>
      </w:r>
    </w:p>
    <w:p>
      <w:pPr>
        <w:spacing w:after="0" w:line="480" w:lineRule="auto"/>
        <w:sectPr>
          <w:pgSz w:w="12240" w:h="15840"/>
          <w:pgMar w:header="0" w:footer="1068" w:top="1420" w:bottom="1260" w:left="1720" w:right="1300"/>
        </w:sectPr>
      </w:pPr>
    </w:p>
    <w:p>
      <w:pPr>
        <w:pStyle w:val="BodyText"/>
        <w:ind w:left="352"/>
        <w:rPr>
          <w:sz w:val="20"/>
        </w:rPr>
      </w:pPr>
      <w:r>
        <w:rPr>
          <w:sz w:val="20"/>
        </w:rPr>
        <mc:AlternateContent>
          <mc:Choice Requires="wps">
            <w:drawing>
              <wp:inline distT="0" distB="0" distL="0" distR="0">
                <wp:extent cx="5504815" cy="6750050"/>
                <wp:effectExtent l="0" t="0" r="0" b="3175"/>
                <wp:docPr id="105" name="Group 105"/>
                <wp:cNvGraphicFramePr>
                  <a:graphicFrameLocks/>
                </wp:cNvGraphicFramePr>
                <a:graphic>
                  <a:graphicData uri="http://schemas.microsoft.com/office/word/2010/wordprocessingGroup">
                    <wpg:wgp>
                      <wpg:cNvPr id="105" name="Group 105"/>
                      <wpg:cNvGrpSpPr/>
                      <wpg:grpSpPr>
                        <a:xfrm>
                          <a:off x="0" y="0"/>
                          <a:ext cx="5504815" cy="6750050"/>
                          <a:chExt cx="5504815" cy="6750050"/>
                        </a:xfrm>
                      </wpg:grpSpPr>
                      <pic:pic>
                        <pic:nvPicPr>
                          <pic:cNvPr id="106" name="Image 106" descr="C:\Users\Mrs Foluke\Desktop\map aisha\WPI.jpg"/>
                          <pic:cNvPicPr/>
                        </pic:nvPicPr>
                        <pic:blipFill>
                          <a:blip r:embed="rId40" cstate="print"/>
                          <a:stretch>
                            <a:fillRect/>
                          </a:stretch>
                        </pic:blipFill>
                        <pic:spPr>
                          <a:xfrm>
                            <a:off x="70530" y="9144"/>
                            <a:ext cx="5401993" cy="6570894"/>
                          </a:xfrm>
                          <a:prstGeom prst="rect">
                            <a:avLst/>
                          </a:prstGeom>
                        </pic:spPr>
                      </pic:pic>
                      <wps:wsp>
                        <wps:cNvPr id="107" name="Graphic 107"/>
                        <wps:cNvSpPr/>
                        <wps:spPr>
                          <a:xfrm>
                            <a:off x="4572" y="4572"/>
                            <a:ext cx="5495925" cy="6741159"/>
                          </a:xfrm>
                          <a:custGeom>
                            <a:avLst/>
                            <a:gdLst/>
                            <a:ahLst/>
                            <a:cxnLst/>
                            <a:rect l="l" t="t" r="r" b="b"/>
                            <a:pathLst>
                              <a:path w="5495925" h="6741159">
                                <a:moveTo>
                                  <a:pt x="0" y="6740652"/>
                                </a:moveTo>
                                <a:lnTo>
                                  <a:pt x="5495544" y="6740652"/>
                                </a:lnTo>
                                <a:lnTo>
                                  <a:pt x="5495544" y="0"/>
                                </a:lnTo>
                                <a:lnTo>
                                  <a:pt x="0" y="0"/>
                                </a:lnTo>
                                <a:lnTo>
                                  <a:pt x="0" y="67406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3.45pt;height:531.5pt;mso-position-horizontal-relative:char;mso-position-vertical-relative:line" id="docshapegroup95" coordorigin="0,0" coordsize="8669,10630">
                <v:shape style="position:absolute;left:111;top:14;width:8508;height:10348" type="#_x0000_t75" id="docshape96" alt="C:\Users\Mrs Foluke\Desktop\map aisha\WPI.jpg" stroked="false">
                  <v:imagedata r:id="rId40" o:title=""/>
                </v:shape>
                <v:rect style="position:absolute;left:7;top:7;width:8655;height:10616" id="docshape97" filled="false" stroked="true" strokeweight=".72pt" strokecolor="#000000">
                  <v:stroke dashstyle="solid"/>
                </v:rect>
              </v:group>
            </w:pict>
          </mc:Fallback>
        </mc:AlternateContent>
      </w:r>
      <w:r>
        <w:rPr>
          <w:sz w:val="20"/>
        </w:rPr>
      </w:r>
    </w:p>
    <w:p>
      <w:pPr>
        <w:pStyle w:val="Heading1"/>
        <w:spacing w:line="257" w:lineRule="exact"/>
        <w:ind w:left="160"/>
        <w:jc w:val="center"/>
      </w:pPr>
      <w:r>
        <w:rPr/>
        <w:t>Figure</w:t>
      </w:r>
      <w:r>
        <w:rPr>
          <w:spacing w:val="-4"/>
        </w:rPr>
        <w:t> </w:t>
      </w:r>
      <w:r>
        <w:rPr/>
        <w:t>4.12:</w:t>
      </w:r>
      <w:r>
        <w:rPr>
          <w:spacing w:val="-1"/>
        </w:rPr>
        <w:t> </w:t>
      </w:r>
      <w:r>
        <w:rPr/>
        <w:t>Spatial</w:t>
      </w:r>
      <w:r>
        <w:rPr>
          <w:spacing w:val="-1"/>
        </w:rPr>
        <w:t> </w:t>
      </w:r>
      <w:r>
        <w:rPr/>
        <w:t>Variation</w:t>
      </w:r>
      <w:r>
        <w:rPr>
          <w:spacing w:val="-1"/>
        </w:rPr>
        <w:t> </w:t>
      </w:r>
      <w:r>
        <w:rPr/>
        <w:t>in</w:t>
      </w:r>
      <w:r>
        <w:rPr>
          <w:spacing w:val="-1"/>
        </w:rPr>
        <w:t> </w:t>
      </w:r>
      <w:r>
        <w:rPr/>
        <w:t>WPI</w:t>
      </w:r>
      <w:r>
        <w:rPr>
          <w:spacing w:val="-1"/>
        </w:rPr>
        <w:t> </w:t>
      </w:r>
      <w:r>
        <w:rPr/>
        <w:t>across</w:t>
      </w:r>
      <w:r>
        <w:rPr>
          <w:spacing w:val="-1"/>
        </w:rPr>
        <w:t> </w:t>
      </w:r>
      <w:r>
        <w:rPr/>
        <w:t>the</w:t>
      </w:r>
      <w:r>
        <w:rPr>
          <w:spacing w:val="-1"/>
        </w:rPr>
        <w:t> </w:t>
      </w:r>
      <w:r>
        <w:rPr>
          <w:spacing w:val="-2"/>
        </w:rPr>
        <w:t>Neighbourhoods</w:t>
      </w:r>
    </w:p>
    <w:p>
      <w:pPr>
        <w:pStyle w:val="BodyText"/>
        <w:spacing w:line="274" w:lineRule="exact"/>
        <w:ind w:left="160" w:right="7"/>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420" w:bottom="1260" w:left="1720" w:right="1300"/>
        </w:sectPr>
      </w:pPr>
    </w:p>
    <w:p>
      <w:pPr>
        <w:pStyle w:val="Heading1"/>
        <w:numPr>
          <w:ilvl w:val="3"/>
          <w:numId w:val="10"/>
        </w:numPr>
        <w:tabs>
          <w:tab w:pos="1047" w:val="left" w:leader="none"/>
        </w:tabs>
        <w:spacing w:line="240" w:lineRule="auto" w:before="68" w:after="0"/>
        <w:ind w:left="1047" w:right="113" w:hanging="780"/>
        <w:jc w:val="both"/>
      </w:pPr>
      <w:r>
        <w:rPr/>
        <w:t>Ranking and prioritizing water poverty index of neighbourhoods for policy </w:t>
      </w:r>
      <w:r>
        <w:rPr>
          <w:spacing w:val="-2"/>
        </w:rPr>
        <w:t>intervention</w:t>
      </w:r>
    </w:p>
    <w:p>
      <w:pPr>
        <w:pStyle w:val="BodyText"/>
        <w:spacing w:line="480" w:lineRule="auto" w:before="271"/>
        <w:ind w:left="267" w:right="111"/>
        <w:jc w:val="both"/>
      </w:pPr>
      <w:r>
        <w:rPr/>
        <w:t>Table 4.24 presents the ranking of the neigbourhoods for prioritization in respect of water policy intervention. The rank (contributory influence) of the water poverty index in decreasing order in the eight (8) neighbourhoods is depict by the following sequence:</w:t>
      </w:r>
    </w:p>
    <w:p>
      <w:pPr>
        <w:spacing w:before="8"/>
        <w:ind w:left="267" w:right="0" w:firstLine="0"/>
        <w:jc w:val="both"/>
        <w:rPr>
          <w:rFonts w:ascii="Cambria Math" w:hAnsi="Cambria Math" w:eastAsia="Cambria Math"/>
          <w:sz w:val="24"/>
        </w:rPr>
      </w:pPr>
      <w:r>
        <w:rPr>
          <w:rFonts w:ascii="Cambria Math" w:hAnsi="Cambria Math" w:eastAsia="Cambria Math"/>
          <w:sz w:val="24"/>
        </w:rPr>
        <w:t>𝑇𝑢𝑑𝑢𝑛𝑤𝑎𝑑𝑎</w:t>
      </w:r>
      <w:r>
        <w:rPr>
          <w:rFonts w:ascii="Cambria Math" w:hAnsi="Cambria Math" w:eastAsia="Cambria Math"/>
          <w:spacing w:val="18"/>
          <w:sz w:val="24"/>
        </w:rPr>
        <w:t> </w:t>
      </w:r>
      <w:r>
        <w:rPr>
          <w:rFonts w:ascii="Cambria Math" w:hAnsi="Cambria Math" w:eastAsia="Cambria Math"/>
          <w:sz w:val="24"/>
        </w:rPr>
        <w:t>&gt;</w:t>
      </w:r>
      <w:r>
        <w:rPr>
          <w:rFonts w:ascii="Cambria Math" w:hAnsi="Cambria Math" w:eastAsia="Cambria Math"/>
          <w:spacing w:val="12"/>
          <w:sz w:val="24"/>
        </w:rPr>
        <w:t> </w:t>
      </w:r>
      <w:r>
        <w:rPr>
          <w:rFonts w:ascii="Cambria Math" w:hAnsi="Cambria Math" w:eastAsia="Cambria Math"/>
          <w:sz w:val="24"/>
        </w:rPr>
        <w:t>𝐷𝑢𝑡𝑠𝑒𝑛𝑘𝑢𝑟𝑎</w:t>
      </w:r>
      <w:r>
        <w:rPr>
          <w:rFonts w:ascii="Cambria Math" w:hAnsi="Cambria Math" w:eastAsia="Cambria Math"/>
          <w:spacing w:val="18"/>
          <w:sz w:val="24"/>
        </w:rPr>
        <w:t> </w:t>
      </w:r>
      <w:r>
        <w:rPr>
          <w:rFonts w:ascii="Cambria Math" w:hAnsi="Cambria Math" w:eastAsia="Cambria Math"/>
          <w:sz w:val="24"/>
        </w:rPr>
        <w:t>&gt;</w:t>
      </w:r>
      <w:r>
        <w:rPr>
          <w:rFonts w:ascii="Cambria Math" w:hAnsi="Cambria Math" w:eastAsia="Cambria Math"/>
          <w:spacing w:val="13"/>
          <w:sz w:val="24"/>
        </w:rPr>
        <w:t> </w:t>
      </w:r>
      <w:r>
        <w:rPr>
          <w:rFonts w:ascii="Cambria Math" w:hAnsi="Cambria Math" w:eastAsia="Cambria Math"/>
          <w:sz w:val="24"/>
        </w:rPr>
        <w:t>𝑀𝑖𝑛𝑛𝑎</w:t>
      </w:r>
      <w:r>
        <w:rPr>
          <w:rFonts w:ascii="Cambria Math" w:hAnsi="Cambria Math" w:eastAsia="Cambria Math"/>
          <w:spacing w:val="5"/>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𝐶𝑒𝑛𝑡𝑟𝑎𝑙</w:t>
      </w:r>
      <w:r>
        <w:rPr>
          <w:rFonts w:ascii="Cambria Math" w:hAnsi="Cambria Math" w:eastAsia="Cambria Math"/>
          <w:spacing w:val="17"/>
          <w:sz w:val="24"/>
        </w:rPr>
        <w:t> </w:t>
      </w:r>
      <w:r>
        <w:rPr>
          <w:rFonts w:ascii="Cambria Math" w:hAnsi="Cambria Math" w:eastAsia="Cambria Math"/>
          <w:sz w:val="24"/>
        </w:rPr>
        <w:t>&gt;</w:t>
      </w:r>
      <w:r>
        <w:rPr>
          <w:rFonts w:ascii="Cambria Math" w:hAnsi="Cambria Math" w:eastAsia="Cambria Math"/>
          <w:spacing w:val="13"/>
          <w:sz w:val="24"/>
        </w:rPr>
        <w:t> </w:t>
      </w:r>
      <w:r>
        <w:rPr>
          <w:rFonts w:ascii="Cambria Math" w:hAnsi="Cambria Math" w:eastAsia="Cambria Math"/>
          <w:sz w:val="24"/>
        </w:rPr>
        <w:t>𝑇𝑢𝑑𝑢𝑛</w:t>
      </w:r>
      <w:r>
        <w:rPr>
          <w:rFonts w:ascii="Cambria Math" w:hAnsi="Cambria Math" w:eastAsia="Cambria Math"/>
          <w:spacing w:val="4"/>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𝐹𝑢𝑙𝑎𝑛𝑖</w:t>
      </w:r>
      <w:r>
        <w:rPr>
          <w:rFonts w:ascii="Cambria Math" w:hAnsi="Cambria Math" w:eastAsia="Cambria Math"/>
          <w:spacing w:val="18"/>
          <w:sz w:val="24"/>
        </w:rPr>
        <w:t> </w:t>
      </w:r>
      <w:r>
        <w:rPr>
          <w:rFonts w:ascii="Cambria Math" w:hAnsi="Cambria Math" w:eastAsia="Cambria Math"/>
          <w:sz w:val="24"/>
        </w:rPr>
        <w:t>&gt;</w:t>
      </w:r>
      <w:r>
        <w:rPr>
          <w:rFonts w:ascii="Cambria Math" w:hAnsi="Cambria Math" w:eastAsia="Cambria Math"/>
          <w:spacing w:val="13"/>
          <w:sz w:val="24"/>
        </w:rPr>
        <w:t> </w:t>
      </w:r>
      <w:r>
        <w:rPr>
          <w:rFonts w:ascii="Cambria Math" w:hAnsi="Cambria Math" w:eastAsia="Cambria Math"/>
          <w:spacing w:val="-2"/>
          <w:sz w:val="24"/>
        </w:rPr>
        <w:t>𝑀𝑎𝑖𝑡𝑢𝑚𝑏𝑖</w:t>
      </w:r>
    </w:p>
    <w:p>
      <w:pPr>
        <w:pStyle w:val="BodyText"/>
        <w:spacing w:before="281"/>
        <w:ind w:left="1707"/>
        <w:rPr>
          <w:rFonts w:ascii="Cambria Math" w:hAnsi="Cambria Math" w:eastAsia="Cambria Math"/>
        </w:rPr>
      </w:pPr>
      <w:r>
        <w:rPr>
          <w:rFonts w:ascii="Cambria Math" w:hAnsi="Cambria Math" w:eastAsia="Cambria Math"/>
        </w:rPr>
        <w:t>&gt;</w:t>
      </w:r>
      <w:r>
        <w:rPr>
          <w:rFonts w:ascii="Cambria Math" w:hAnsi="Cambria Math" w:eastAsia="Cambria Math"/>
          <w:spacing w:val="12"/>
        </w:rPr>
        <w:t> </w:t>
      </w:r>
      <w:r>
        <w:rPr>
          <w:rFonts w:ascii="Cambria Math" w:hAnsi="Cambria Math" w:eastAsia="Cambria Math"/>
        </w:rPr>
        <w:t>𝑆𝑎𝑢𝑘𝑎𝑘𝑎ℎ𝑢𝑡𝑎</w:t>
      </w:r>
      <w:r>
        <w:rPr>
          <w:rFonts w:ascii="Cambria Math" w:hAnsi="Cambria Math" w:eastAsia="Cambria Math"/>
          <w:spacing w:val="20"/>
        </w:rPr>
        <w:t> </w:t>
      </w:r>
      <w:r>
        <w:rPr>
          <w:rFonts w:ascii="Cambria Math" w:hAnsi="Cambria Math" w:eastAsia="Cambria Math"/>
        </w:rPr>
        <w:t>&gt;</w:t>
      </w:r>
      <w:r>
        <w:rPr>
          <w:rFonts w:ascii="Cambria Math" w:hAnsi="Cambria Math" w:eastAsia="Cambria Math"/>
          <w:spacing w:val="11"/>
        </w:rPr>
        <w:t> </w:t>
      </w:r>
      <w:r>
        <w:rPr>
          <w:rFonts w:ascii="Cambria Math" w:hAnsi="Cambria Math" w:eastAsia="Cambria Math"/>
        </w:rPr>
        <w:t>𝐾𝑝𝑎𝑘𝑢𝑛𝑔𝑢</w:t>
      </w:r>
      <w:r>
        <w:rPr>
          <w:rFonts w:ascii="Cambria Math" w:hAnsi="Cambria Math" w:eastAsia="Cambria Math"/>
          <w:spacing w:val="18"/>
        </w:rPr>
        <w:t> </w:t>
      </w:r>
      <w:r>
        <w:rPr>
          <w:rFonts w:ascii="Cambria Math" w:hAnsi="Cambria Math" w:eastAsia="Cambria Math"/>
        </w:rPr>
        <w:t>&gt;</w:t>
      </w:r>
      <w:r>
        <w:rPr>
          <w:rFonts w:ascii="Cambria Math" w:hAnsi="Cambria Math" w:eastAsia="Cambria Math"/>
          <w:spacing w:val="12"/>
        </w:rPr>
        <w:t> </w:t>
      </w:r>
      <w:r>
        <w:rPr>
          <w:rFonts w:ascii="Cambria Math" w:hAnsi="Cambria Math" w:eastAsia="Cambria Math"/>
        </w:rPr>
        <w:t>𝐹</w:t>
      </w:r>
      <w:r>
        <w:rPr>
          <w:rFonts w:ascii="Cambria Math" w:hAnsi="Cambria Math" w:eastAsia="Cambria Math"/>
          <w:spacing w:val="8"/>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𝐿𝑎𝑦𝑜𝑢𝑡</w:t>
      </w:r>
    </w:p>
    <w:p>
      <w:pPr>
        <w:pStyle w:val="BodyText"/>
        <w:spacing w:line="480" w:lineRule="auto" w:before="275"/>
        <w:ind w:left="267" w:right="106"/>
        <w:jc w:val="both"/>
      </w:pPr>
      <w:r>
        <w:rPr/>
        <w:t>An</w:t>
      </w:r>
      <w:r>
        <w:rPr>
          <w:spacing w:val="-15"/>
        </w:rPr>
        <w:t> </w:t>
      </w:r>
      <w:r>
        <w:rPr/>
        <w:t>important</w:t>
      </w:r>
      <w:r>
        <w:rPr>
          <w:spacing w:val="-15"/>
        </w:rPr>
        <w:t> </w:t>
      </w:r>
      <w:r>
        <w:rPr/>
        <w:t>empirical</w:t>
      </w:r>
      <w:r>
        <w:rPr>
          <w:spacing w:val="-15"/>
        </w:rPr>
        <w:t> </w:t>
      </w:r>
      <w:r>
        <w:rPr/>
        <w:t>finding</w:t>
      </w:r>
      <w:r>
        <w:rPr>
          <w:spacing w:val="-15"/>
        </w:rPr>
        <w:t> </w:t>
      </w:r>
      <w:r>
        <w:rPr/>
        <w:t>from</w:t>
      </w:r>
      <w:r>
        <w:rPr>
          <w:spacing w:val="-15"/>
        </w:rPr>
        <w:t> </w:t>
      </w:r>
      <w:r>
        <w:rPr/>
        <w:t>this</w:t>
      </w:r>
      <w:r>
        <w:rPr>
          <w:spacing w:val="-15"/>
        </w:rPr>
        <w:t> </w:t>
      </w:r>
      <w:r>
        <w:rPr/>
        <w:t>sequencing</w:t>
      </w:r>
      <w:r>
        <w:rPr>
          <w:spacing w:val="-15"/>
        </w:rPr>
        <w:t> </w:t>
      </w:r>
      <w:r>
        <w:rPr/>
        <w:t>is</w:t>
      </w:r>
      <w:r>
        <w:rPr>
          <w:spacing w:val="-15"/>
        </w:rPr>
        <w:t> </w:t>
      </w:r>
      <w:r>
        <w:rPr/>
        <w:t>that</w:t>
      </w:r>
      <w:r>
        <w:rPr>
          <w:spacing w:val="-15"/>
        </w:rPr>
        <w:t> </w:t>
      </w:r>
      <w:r>
        <w:rPr/>
        <w:t>all</w:t>
      </w:r>
      <w:r>
        <w:rPr>
          <w:spacing w:val="-15"/>
        </w:rPr>
        <w:t> </w:t>
      </w:r>
      <w:r>
        <w:rPr/>
        <w:t>neighbourhoods</w:t>
      </w:r>
      <w:r>
        <w:rPr>
          <w:spacing w:val="-15"/>
        </w:rPr>
        <w:t> </w:t>
      </w:r>
      <w:r>
        <w:rPr/>
        <w:t>partly</w:t>
      </w:r>
      <w:r>
        <w:rPr>
          <w:spacing w:val="-15"/>
        </w:rPr>
        <w:t> </w:t>
      </w:r>
      <w:r>
        <w:rPr/>
        <w:t>outside the public water mains (ranked between 4th -7th) are characterized by poor water poverty index</w:t>
      </w:r>
      <w:r>
        <w:rPr>
          <w:spacing w:val="-15"/>
        </w:rPr>
        <w:t> </w:t>
      </w:r>
      <w:r>
        <w:rPr/>
        <w:t>while</w:t>
      </w:r>
      <w:r>
        <w:rPr>
          <w:spacing w:val="-15"/>
        </w:rPr>
        <w:t> </w:t>
      </w:r>
      <w:r>
        <w:rPr/>
        <w:t>neighbourhoods</w:t>
      </w:r>
      <w:r>
        <w:rPr>
          <w:spacing w:val="-15"/>
        </w:rPr>
        <w:t> </w:t>
      </w:r>
      <w:r>
        <w:rPr/>
        <w:t>within</w:t>
      </w:r>
      <w:r>
        <w:rPr>
          <w:spacing w:val="-15"/>
        </w:rPr>
        <w:t> </w:t>
      </w:r>
      <w:r>
        <w:rPr/>
        <w:t>the</w:t>
      </w:r>
      <w:r>
        <w:rPr>
          <w:spacing w:val="-15"/>
        </w:rPr>
        <w:t> </w:t>
      </w:r>
      <w:r>
        <w:rPr/>
        <w:t>coverage</w:t>
      </w:r>
      <w:r>
        <w:rPr>
          <w:spacing w:val="-15"/>
        </w:rPr>
        <w:t> </w:t>
      </w:r>
      <w:r>
        <w:rPr/>
        <w:t>of</w:t>
      </w:r>
      <w:r>
        <w:rPr>
          <w:spacing w:val="-15"/>
        </w:rPr>
        <w:t> </w:t>
      </w:r>
      <w:r>
        <w:rPr/>
        <w:t>public</w:t>
      </w:r>
      <w:r>
        <w:rPr>
          <w:spacing w:val="-15"/>
        </w:rPr>
        <w:t> </w:t>
      </w:r>
      <w:r>
        <w:rPr/>
        <w:t>water</w:t>
      </w:r>
      <w:r>
        <w:rPr>
          <w:spacing w:val="-15"/>
        </w:rPr>
        <w:t> </w:t>
      </w:r>
      <w:r>
        <w:rPr/>
        <w:t>mains</w:t>
      </w:r>
      <w:r>
        <w:rPr>
          <w:spacing w:val="-15"/>
        </w:rPr>
        <w:t> </w:t>
      </w:r>
      <w:r>
        <w:rPr/>
        <w:t>(ranked</w:t>
      </w:r>
      <w:r>
        <w:rPr>
          <w:spacing w:val="-15"/>
        </w:rPr>
        <w:t> </w:t>
      </w:r>
      <w:r>
        <w:rPr/>
        <w:t>1st</w:t>
      </w:r>
      <w:r>
        <w:rPr>
          <w:spacing w:val="-15"/>
        </w:rPr>
        <w:t> </w:t>
      </w:r>
      <w:r>
        <w:rPr/>
        <w:t>-3rd)</w:t>
      </w:r>
      <w:r>
        <w:rPr>
          <w:spacing w:val="-15"/>
        </w:rPr>
        <w:t> </w:t>
      </w:r>
      <w:r>
        <w:rPr/>
        <w:t>have a</w:t>
      </w:r>
      <w:r>
        <w:rPr>
          <w:spacing w:val="-10"/>
        </w:rPr>
        <w:t> </w:t>
      </w:r>
      <w:r>
        <w:rPr/>
        <w:t>mix</w:t>
      </w:r>
      <w:r>
        <w:rPr>
          <w:spacing w:val="-7"/>
        </w:rPr>
        <w:t> </w:t>
      </w:r>
      <w:r>
        <w:rPr/>
        <w:t>of</w:t>
      </w:r>
      <w:r>
        <w:rPr>
          <w:spacing w:val="-9"/>
        </w:rPr>
        <w:t> </w:t>
      </w:r>
      <w:r>
        <w:rPr/>
        <w:t>fair</w:t>
      </w:r>
      <w:r>
        <w:rPr>
          <w:spacing w:val="-9"/>
        </w:rPr>
        <w:t> </w:t>
      </w:r>
      <w:r>
        <w:rPr/>
        <w:t>and</w:t>
      </w:r>
      <w:r>
        <w:rPr>
          <w:spacing w:val="-9"/>
        </w:rPr>
        <w:t> </w:t>
      </w:r>
      <w:r>
        <w:rPr/>
        <w:t>poor</w:t>
      </w:r>
      <w:r>
        <w:rPr>
          <w:spacing w:val="-9"/>
        </w:rPr>
        <w:t> </w:t>
      </w:r>
      <w:r>
        <w:rPr/>
        <w:t>water</w:t>
      </w:r>
      <w:r>
        <w:rPr>
          <w:spacing w:val="-10"/>
        </w:rPr>
        <w:t> </w:t>
      </w:r>
      <w:r>
        <w:rPr/>
        <w:t>poverty</w:t>
      </w:r>
      <w:r>
        <w:rPr>
          <w:spacing w:val="-13"/>
        </w:rPr>
        <w:t> </w:t>
      </w:r>
      <w:r>
        <w:rPr/>
        <w:t>index.</w:t>
      </w:r>
      <w:r>
        <w:rPr>
          <w:spacing w:val="-9"/>
        </w:rPr>
        <w:t> </w:t>
      </w:r>
      <w:r>
        <w:rPr/>
        <w:t>The</w:t>
      </w:r>
      <w:r>
        <w:rPr>
          <w:spacing w:val="-10"/>
        </w:rPr>
        <w:t> </w:t>
      </w:r>
      <w:r>
        <w:rPr/>
        <w:t>only</w:t>
      </w:r>
      <w:r>
        <w:rPr>
          <w:spacing w:val="-13"/>
        </w:rPr>
        <w:t> </w:t>
      </w:r>
      <w:r>
        <w:rPr/>
        <w:t>exception</w:t>
      </w:r>
      <w:r>
        <w:rPr>
          <w:spacing w:val="-9"/>
        </w:rPr>
        <w:t> </w:t>
      </w:r>
      <w:r>
        <w:rPr/>
        <w:t>is</w:t>
      </w:r>
      <w:r>
        <w:rPr>
          <w:spacing w:val="-8"/>
        </w:rPr>
        <w:t> </w:t>
      </w:r>
      <w:r>
        <w:rPr/>
        <w:t>F-Layout</w:t>
      </w:r>
      <w:r>
        <w:rPr>
          <w:spacing w:val="-6"/>
        </w:rPr>
        <w:t> </w:t>
      </w:r>
      <w:r>
        <w:rPr/>
        <w:t>(ranked</w:t>
      </w:r>
      <w:r>
        <w:rPr>
          <w:spacing w:val="-7"/>
        </w:rPr>
        <w:t> </w:t>
      </w:r>
      <w:r>
        <w:rPr/>
        <w:t>8th)</w:t>
      </w:r>
      <w:r>
        <w:rPr>
          <w:spacing w:val="-9"/>
        </w:rPr>
        <w:t> </w:t>
      </w:r>
      <w:r>
        <w:rPr/>
        <w:t>with a</w:t>
      </w:r>
      <w:r>
        <w:rPr>
          <w:spacing w:val="-3"/>
        </w:rPr>
        <w:t> </w:t>
      </w:r>
      <w:r>
        <w:rPr/>
        <w:t>poor</w:t>
      </w:r>
      <w:r>
        <w:rPr>
          <w:spacing w:val="-3"/>
        </w:rPr>
        <w:t> </w:t>
      </w:r>
      <w:r>
        <w:rPr/>
        <w:t>water</w:t>
      </w:r>
      <w:r>
        <w:rPr>
          <w:spacing w:val="-4"/>
        </w:rPr>
        <w:t> </w:t>
      </w:r>
      <w:r>
        <w:rPr/>
        <w:t>poverty</w:t>
      </w:r>
      <w:r>
        <w:rPr>
          <w:spacing w:val="-7"/>
        </w:rPr>
        <w:t> </w:t>
      </w:r>
      <w:r>
        <w:rPr/>
        <w:t>index. In</w:t>
      </w:r>
      <w:r>
        <w:rPr>
          <w:spacing w:val="-2"/>
        </w:rPr>
        <w:t> </w:t>
      </w:r>
      <w:r>
        <w:rPr/>
        <w:t>terms</w:t>
      </w:r>
      <w:r>
        <w:rPr>
          <w:spacing w:val="-2"/>
        </w:rPr>
        <w:t> </w:t>
      </w:r>
      <w:r>
        <w:rPr/>
        <w:t>of</w:t>
      </w:r>
      <w:r>
        <w:rPr>
          <w:spacing w:val="-2"/>
        </w:rPr>
        <w:t> </w:t>
      </w:r>
      <w:r>
        <w:rPr/>
        <w:t>policy</w:t>
      </w:r>
      <w:r>
        <w:rPr>
          <w:spacing w:val="-7"/>
        </w:rPr>
        <w:t> </w:t>
      </w:r>
      <w:r>
        <w:rPr/>
        <w:t>intervention,</w:t>
      </w:r>
      <w:r>
        <w:rPr>
          <w:spacing w:val="-2"/>
        </w:rPr>
        <w:t> </w:t>
      </w:r>
      <w:r>
        <w:rPr/>
        <w:t>all</w:t>
      </w:r>
      <w:r>
        <w:rPr>
          <w:spacing w:val="-2"/>
        </w:rPr>
        <w:t> </w:t>
      </w:r>
      <w:r>
        <w:rPr/>
        <w:t>the</w:t>
      </w:r>
      <w:r>
        <w:rPr>
          <w:spacing w:val="-1"/>
        </w:rPr>
        <w:t> </w:t>
      </w:r>
      <w:r>
        <w:rPr/>
        <w:t>eight (8)</w:t>
      </w:r>
      <w:r>
        <w:rPr>
          <w:spacing w:val="-2"/>
        </w:rPr>
        <w:t> </w:t>
      </w:r>
      <w:r>
        <w:rPr/>
        <w:t>neighbourhoods in the study require policy intervention in their water development programmes on a sustainable basis. Given that the severity of the water poverty levels differs in the neighbourhoods,</w:t>
      </w:r>
      <w:r>
        <w:rPr>
          <w:spacing w:val="-3"/>
        </w:rPr>
        <w:t> </w:t>
      </w:r>
      <w:r>
        <w:rPr/>
        <w:t>relevant</w:t>
      </w:r>
      <w:r>
        <w:rPr>
          <w:spacing w:val="-1"/>
        </w:rPr>
        <w:t> </w:t>
      </w:r>
      <w:r>
        <w:rPr/>
        <w:t>strategies</w:t>
      </w:r>
      <w:r>
        <w:rPr>
          <w:spacing w:val="-2"/>
        </w:rPr>
        <w:t> </w:t>
      </w:r>
      <w:r>
        <w:rPr/>
        <w:t>should</w:t>
      </w:r>
      <w:r>
        <w:rPr>
          <w:spacing w:val="-3"/>
        </w:rPr>
        <w:t> </w:t>
      </w:r>
      <w:r>
        <w:rPr/>
        <w:t>suffice</w:t>
      </w:r>
      <w:r>
        <w:rPr>
          <w:spacing w:val="-2"/>
        </w:rPr>
        <w:t> </w:t>
      </w:r>
      <w:r>
        <w:rPr/>
        <w:t>to</w:t>
      </w:r>
      <w:r>
        <w:rPr>
          <w:spacing w:val="-3"/>
        </w:rPr>
        <w:t> </w:t>
      </w:r>
      <w:r>
        <w:rPr/>
        <w:t>prioritize</w:t>
      </w:r>
      <w:r>
        <w:rPr>
          <w:spacing w:val="-3"/>
        </w:rPr>
        <w:t> </w:t>
      </w:r>
      <w:r>
        <w:rPr/>
        <w:t>the</w:t>
      </w:r>
      <w:r>
        <w:rPr>
          <w:spacing w:val="-3"/>
        </w:rPr>
        <w:t> </w:t>
      </w:r>
      <w:r>
        <w:rPr/>
        <w:t>water</w:t>
      </w:r>
      <w:r>
        <w:rPr>
          <w:spacing w:val="-4"/>
        </w:rPr>
        <w:t> </w:t>
      </w:r>
      <w:r>
        <w:rPr/>
        <w:t>policy</w:t>
      </w:r>
      <w:r>
        <w:rPr>
          <w:spacing w:val="-7"/>
        </w:rPr>
        <w:t> </w:t>
      </w:r>
      <w:r>
        <w:rPr/>
        <w:t>intervention by the relevant water authorities such as the Niger State Government and NSWSC. The prioritization of such water policy intervention implies that six (6) neighbourhoods comprising</w:t>
      </w:r>
      <w:r>
        <w:rPr>
          <w:spacing w:val="-14"/>
        </w:rPr>
        <w:t> </w:t>
      </w:r>
      <w:r>
        <w:rPr/>
        <w:t>Minna-Central,</w:t>
      </w:r>
      <w:r>
        <w:rPr>
          <w:spacing w:val="-12"/>
        </w:rPr>
        <w:t> </w:t>
      </w:r>
      <w:r>
        <w:rPr/>
        <w:t>Tudun-Fulani,</w:t>
      </w:r>
      <w:r>
        <w:rPr>
          <w:spacing w:val="-13"/>
        </w:rPr>
        <w:t> </w:t>
      </w:r>
      <w:r>
        <w:rPr/>
        <w:t>Maitumbi,</w:t>
      </w:r>
      <w:r>
        <w:rPr>
          <w:spacing w:val="-13"/>
        </w:rPr>
        <w:t> </w:t>
      </w:r>
      <w:r>
        <w:rPr/>
        <w:t>Saukakahuta,</w:t>
      </w:r>
      <w:r>
        <w:rPr>
          <w:spacing w:val="-11"/>
        </w:rPr>
        <w:t> </w:t>
      </w:r>
      <w:r>
        <w:rPr/>
        <w:t>Kpakungu</w:t>
      </w:r>
      <w:r>
        <w:rPr>
          <w:spacing w:val="-10"/>
        </w:rPr>
        <w:t> </w:t>
      </w:r>
      <w:r>
        <w:rPr/>
        <w:t>and</w:t>
      </w:r>
      <w:r>
        <w:rPr>
          <w:spacing w:val="-10"/>
        </w:rPr>
        <w:t> </w:t>
      </w:r>
      <w:r>
        <w:rPr/>
        <w:t>F-Layout deserved first (1st) level priority in their water development programmes due to their poor water poverty situations. Secondly, the two (2) neigbourhoods of Dusenkura and Tudun- Wada South with fair water poverty levels are next in hierarchy and required second (2nd) level priority for the development of their water programmes.</w:t>
      </w:r>
    </w:p>
    <w:p>
      <w:pPr>
        <w:spacing w:after="0" w:line="480" w:lineRule="auto"/>
        <w:jc w:val="both"/>
        <w:sectPr>
          <w:pgSz w:w="12240" w:h="15840"/>
          <w:pgMar w:header="0" w:footer="1068" w:top="1340" w:bottom="1260" w:left="1720" w:right="1300"/>
        </w:sectPr>
      </w:pPr>
    </w:p>
    <w:p>
      <w:pPr>
        <w:pStyle w:val="Heading1"/>
        <w:numPr>
          <w:ilvl w:val="3"/>
          <w:numId w:val="10"/>
        </w:numPr>
        <w:tabs>
          <w:tab w:pos="986" w:val="left" w:leader="none"/>
        </w:tabs>
        <w:spacing w:line="240" w:lineRule="auto" w:before="70" w:after="0"/>
        <w:ind w:left="986" w:right="0" w:hanging="719"/>
        <w:jc w:val="left"/>
      </w:pPr>
      <w:r>
        <w:rPr/>
        <w:t>Spatial</w:t>
      </w:r>
      <w:r>
        <w:rPr>
          <w:spacing w:val="-2"/>
        </w:rPr>
        <w:t> </w:t>
      </w:r>
      <w:r>
        <w:rPr/>
        <w:t>pattern</w:t>
      </w:r>
      <w:r>
        <w:rPr>
          <w:spacing w:val="-1"/>
        </w:rPr>
        <w:t> </w:t>
      </w:r>
      <w:r>
        <w:rPr/>
        <w:t>of</w:t>
      </w:r>
      <w:r>
        <w:rPr>
          <w:spacing w:val="-3"/>
        </w:rPr>
        <w:t> </w:t>
      </w:r>
      <w:r>
        <w:rPr/>
        <w:t>water</w:t>
      </w:r>
      <w:r>
        <w:rPr>
          <w:spacing w:val="-2"/>
        </w:rPr>
        <w:t> </w:t>
      </w:r>
      <w:r>
        <w:rPr/>
        <w:t>poverty</w:t>
      </w:r>
      <w:r>
        <w:rPr>
          <w:spacing w:val="-1"/>
        </w:rPr>
        <w:t> </w:t>
      </w:r>
      <w:r>
        <w:rPr>
          <w:spacing w:val="-2"/>
        </w:rPr>
        <w:t>components</w:t>
      </w:r>
    </w:p>
    <w:p>
      <w:pPr>
        <w:pStyle w:val="BodyText"/>
        <w:spacing w:before="15"/>
        <w:rPr>
          <w:b/>
        </w:rPr>
      </w:pPr>
    </w:p>
    <w:p>
      <w:pPr>
        <w:pStyle w:val="BodyText"/>
        <w:spacing w:line="480" w:lineRule="auto"/>
        <w:ind w:left="267" w:right="107"/>
        <w:jc w:val="both"/>
      </w:pPr>
      <w:r>
        <w:rPr/>
        <w:t>The</w:t>
      </w:r>
      <w:r>
        <w:rPr>
          <w:spacing w:val="-11"/>
        </w:rPr>
        <w:t> </w:t>
      </w:r>
      <w:r>
        <w:rPr/>
        <w:t>maps</w:t>
      </w:r>
      <w:r>
        <w:rPr>
          <w:spacing w:val="-10"/>
        </w:rPr>
        <w:t> </w:t>
      </w:r>
      <w:r>
        <w:rPr/>
        <w:t>showing</w:t>
      </w:r>
      <w:r>
        <w:rPr>
          <w:spacing w:val="-12"/>
        </w:rPr>
        <w:t> </w:t>
      </w:r>
      <w:r>
        <w:rPr/>
        <w:t>the</w:t>
      </w:r>
      <w:r>
        <w:rPr>
          <w:spacing w:val="-11"/>
        </w:rPr>
        <w:t> </w:t>
      </w:r>
      <w:r>
        <w:rPr/>
        <w:t>spatial</w:t>
      </w:r>
      <w:r>
        <w:rPr>
          <w:spacing w:val="-9"/>
        </w:rPr>
        <w:t> </w:t>
      </w:r>
      <w:r>
        <w:rPr/>
        <w:t>variation</w:t>
      </w:r>
      <w:r>
        <w:rPr>
          <w:spacing w:val="-10"/>
        </w:rPr>
        <w:t> </w:t>
      </w:r>
      <w:r>
        <w:rPr/>
        <w:t>in</w:t>
      </w:r>
      <w:r>
        <w:rPr>
          <w:spacing w:val="-9"/>
        </w:rPr>
        <w:t> </w:t>
      </w:r>
      <w:r>
        <w:rPr/>
        <w:t>the</w:t>
      </w:r>
      <w:r>
        <w:rPr>
          <w:spacing w:val="-10"/>
        </w:rPr>
        <w:t> </w:t>
      </w:r>
      <w:r>
        <w:rPr/>
        <w:t>various</w:t>
      </w:r>
      <w:r>
        <w:rPr>
          <w:spacing w:val="-9"/>
        </w:rPr>
        <w:t> </w:t>
      </w:r>
      <w:r>
        <w:rPr/>
        <w:t>components</w:t>
      </w:r>
      <w:r>
        <w:rPr>
          <w:spacing w:val="-9"/>
        </w:rPr>
        <w:t> </w:t>
      </w:r>
      <w:r>
        <w:rPr/>
        <w:t>of</w:t>
      </w:r>
      <w:r>
        <w:rPr>
          <w:spacing w:val="-10"/>
        </w:rPr>
        <w:t> </w:t>
      </w:r>
      <w:r>
        <w:rPr/>
        <w:t>the</w:t>
      </w:r>
      <w:r>
        <w:rPr>
          <w:spacing w:val="-10"/>
        </w:rPr>
        <w:t> </w:t>
      </w:r>
      <w:r>
        <w:rPr/>
        <w:t>water</w:t>
      </w:r>
      <w:r>
        <w:rPr>
          <w:spacing w:val="-10"/>
        </w:rPr>
        <w:t> </w:t>
      </w:r>
      <w:r>
        <w:rPr/>
        <w:t>poverty</w:t>
      </w:r>
      <w:r>
        <w:rPr>
          <w:spacing w:val="-14"/>
        </w:rPr>
        <w:t> </w:t>
      </w:r>
      <w:r>
        <w:rPr/>
        <w:t>index are shown in figure 4.13, 4.14, 4.15, 4.16 and 4.17 respectively. Figure 4.13 depicts the spatial pattern in water resource availability/status for the eight (8) neighbourhoods in the study</w:t>
      </w:r>
      <w:r>
        <w:rPr>
          <w:spacing w:val="-15"/>
        </w:rPr>
        <w:t> </w:t>
      </w:r>
      <w:r>
        <w:rPr/>
        <w:t>area.</w:t>
      </w:r>
      <w:r>
        <w:rPr>
          <w:spacing w:val="-15"/>
        </w:rPr>
        <w:t> </w:t>
      </w:r>
      <w:r>
        <w:rPr/>
        <w:t>The</w:t>
      </w:r>
      <w:r>
        <w:rPr>
          <w:spacing w:val="-15"/>
        </w:rPr>
        <w:t> </w:t>
      </w:r>
      <w:r>
        <w:rPr/>
        <w:t>map</w:t>
      </w:r>
      <w:r>
        <w:rPr>
          <w:spacing w:val="-15"/>
        </w:rPr>
        <w:t> </w:t>
      </w:r>
      <w:r>
        <w:rPr/>
        <w:t>shows</w:t>
      </w:r>
      <w:r>
        <w:rPr>
          <w:spacing w:val="-15"/>
        </w:rPr>
        <w:t> </w:t>
      </w:r>
      <w:r>
        <w:rPr/>
        <w:t>that</w:t>
      </w:r>
      <w:r>
        <w:rPr>
          <w:spacing w:val="-15"/>
        </w:rPr>
        <w:t> </w:t>
      </w:r>
      <w:r>
        <w:rPr/>
        <w:t>few</w:t>
      </w:r>
      <w:r>
        <w:rPr>
          <w:spacing w:val="-15"/>
        </w:rPr>
        <w:t> </w:t>
      </w:r>
      <w:r>
        <w:rPr/>
        <w:t>of</w:t>
      </w:r>
      <w:r>
        <w:rPr>
          <w:spacing w:val="-15"/>
        </w:rPr>
        <w:t> </w:t>
      </w:r>
      <w:r>
        <w:rPr/>
        <w:t>the</w:t>
      </w:r>
      <w:r>
        <w:rPr>
          <w:spacing w:val="-15"/>
        </w:rPr>
        <w:t> </w:t>
      </w:r>
      <w:r>
        <w:rPr/>
        <w:t>sampled</w:t>
      </w:r>
      <w:r>
        <w:rPr>
          <w:spacing w:val="-15"/>
        </w:rPr>
        <w:t> </w:t>
      </w:r>
      <w:r>
        <w:rPr/>
        <w:t>neighbourhoods</w:t>
      </w:r>
      <w:r>
        <w:rPr>
          <w:spacing w:val="-15"/>
        </w:rPr>
        <w:t> </w:t>
      </w:r>
      <w:r>
        <w:rPr/>
        <w:t>lack</w:t>
      </w:r>
      <w:r>
        <w:rPr>
          <w:spacing w:val="-15"/>
        </w:rPr>
        <w:t> </w:t>
      </w:r>
      <w:r>
        <w:rPr/>
        <w:t>water</w:t>
      </w:r>
      <w:r>
        <w:rPr>
          <w:spacing w:val="-15"/>
        </w:rPr>
        <w:t> </w:t>
      </w:r>
      <w:r>
        <w:rPr/>
        <w:t>resource</w:t>
      </w:r>
      <w:r>
        <w:rPr>
          <w:spacing w:val="-15"/>
        </w:rPr>
        <w:t> </w:t>
      </w:r>
      <w:r>
        <w:rPr/>
        <w:t>while others have relatively fair water resource condition. Specifically, three (3) neighbourhoods (F-Layout, Saukakahuta and Tudun-Fulani) are characterized by poor water resource availability</w:t>
      </w:r>
      <w:r>
        <w:rPr>
          <w:spacing w:val="-13"/>
        </w:rPr>
        <w:t> </w:t>
      </w:r>
      <w:r>
        <w:rPr/>
        <w:t>while</w:t>
      </w:r>
      <w:r>
        <w:rPr>
          <w:spacing w:val="-11"/>
        </w:rPr>
        <w:t> </w:t>
      </w:r>
      <w:r>
        <w:rPr/>
        <w:t>the</w:t>
      </w:r>
      <w:r>
        <w:rPr>
          <w:spacing w:val="-9"/>
        </w:rPr>
        <w:t> </w:t>
      </w:r>
      <w:r>
        <w:rPr/>
        <w:t>remaining</w:t>
      </w:r>
      <w:r>
        <w:rPr>
          <w:spacing w:val="-11"/>
        </w:rPr>
        <w:t> </w:t>
      </w:r>
      <w:r>
        <w:rPr/>
        <w:t>five</w:t>
      </w:r>
      <w:r>
        <w:rPr>
          <w:spacing w:val="-9"/>
        </w:rPr>
        <w:t> </w:t>
      </w:r>
      <w:r>
        <w:rPr/>
        <w:t>(5)</w:t>
      </w:r>
      <w:r>
        <w:rPr>
          <w:spacing w:val="-12"/>
        </w:rPr>
        <w:t> </w:t>
      </w:r>
      <w:r>
        <w:rPr/>
        <w:t>neighbourhoods</w:t>
      </w:r>
      <w:r>
        <w:rPr>
          <w:spacing w:val="-10"/>
        </w:rPr>
        <w:t> </w:t>
      </w:r>
      <w:r>
        <w:rPr/>
        <w:t>(Kpakungu,</w:t>
      </w:r>
      <w:r>
        <w:rPr>
          <w:spacing w:val="-9"/>
        </w:rPr>
        <w:t> </w:t>
      </w:r>
      <w:r>
        <w:rPr/>
        <w:t>Maitumbi,</w:t>
      </w:r>
      <w:r>
        <w:rPr>
          <w:spacing w:val="-11"/>
        </w:rPr>
        <w:t> </w:t>
      </w:r>
      <w:r>
        <w:rPr/>
        <w:t>Tudunwada South, Minna-Central and Dutsen-Kura) are considered fair in terms of physical water </w:t>
      </w:r>
      <w:r>
        <w:rPr>
          <w:spacing w:val="-2"/>
        </w:rPr>
        <w:t>availability.</w:t>
      </w:r>
    </w:p>
    <w:p>
      <w:pPr>
        <w:spacing w:after="0" w:line="480" w:lineRule="auto"/>
        <w:jc w:val="both"/>
        <w:sectPr>
          <w:pgSz w:w="12240" w:h="15840"/>
          <w:pgMar w:header="0" w:footer="1068" w:top="1340" w:bottom="1260" w:left="1720" w:right="1300"/>
        </w:sectPr>
      </w:pPr>
    </w:p>
    <w:p>
      <w:pPr>
        <w:pStyle w:val="Heading1"/>
        <w:spacing w:before="68"/>
        <w:ind w:left="107"/>
      </w:pPr>
      <w:r>
        <w:rPr/>
        <w:t>Table</w:t>
      </w:r>
      <w:r>
        <w:rPr>
          <w:spacing w:val="-3"/>
        </w:rPr>
        <w:t> </w:t>
      </w:r>
      <w:r>
        <w:rPr/>
        <w:t>4.24:</w:t>
      </w:r>
      <w:r>
        <w:rPr>
          <w:spacing w:val="-2"/>
        </w:rPr>
        <w:t> </w:t>
      </w:r>
      <w:r>
        <w:rPr/>
        <w:t>Ranking</w:t>
      </w:r>
      <w:r>
        <w:rPr>
          <w:spacing w:val="-2"/>
        </w:rPr>
        <w:t> </w:t>
      </w:r>
      <w:r>
        <w:rPr/>
        <w:t>and</w:t>
      </w:r>
      <w:r>
        <w:rPr>
          <w:spacing w:val="-1"/>
        </w:rPr>
        <w:t> </w:t>
      </w:r>
      <w:r>
        <w:rPr/>
        <w:t>Prioritizing</w:t>
      </w:r>
      <w:r>
        <w:rPr>
          <w:spacing w:val="-2"/>
        </w:rPr>
        <w:t> </w:t>
      </w:r>
      <w:r>
        <w:rPr/>
        <w:t>of</w:t>
      </w:r>
      <w:r>
        <w:rPr>
          <w:spacing w:val="-1"/>
        </w:rPr>
        <w:t> </w:t>
      </w:r>
      <w:r>
        <w:rPr/>
        <w:t>Neighbourhoods</w:t>
      </w:r>
      <w:r>
        <w:rPr>
          <w:spacing w:val="-2"/>
        </w:rPr>
        <w:t> </w:t>
      </w:r>
      <w:r>
        <w:rPr/>
        <w:t>Water</w:t>
      </w:r>
      <w:r>
        <w:rPr>
          <w:spacing w:val="-2"/>
        </w:rPr>
        <w:t> </w:t>
      </w:r>
      <w:r>
        <w:rPr/>
        <w:t>Poverty</w:t>
      </w:r>
      <w:r>
        <w:rPr>
          <w:spacing w:val="-2"/>
        </w:rPr>
        <w:t> </w:t>
      </w:r>
      <w:r>
        <w:rPr/>
        <w:t>Index</w:t>
      </w:r>
      <w:r>
        <w:rPr>
          <w:spacing w:val="-2"/>
        </w:rPr>
        <w:t> </w:t>
      </w:r>
      <w:r>
        <w:rPr/>
        <w:t>for</w:t>
      </w:r>
      <w:r>
        <w:rPr>
          <w:spacing w:val="-3"/>
        </w:rPr>
        <w:t> </w:t>
      </w:r>
      <w:r>
        <w:rPr/>
        <w:t>Policy</w:t>
      </w:r>
      <w:r>
        <w:rPr>
          <w:spacing w:val="-1"/>
        </w:rPr>
        <w:t> </w:t>
      </w:r>
      <w:r>
        <w:rPr>
          <w:spacing w:val="-2"/>
        </w:rPr>
        <w:t>Intervention</w:t>
      </w:r>
    </w:p>
    <w:p>
      <w:pPr>
        <w:pStyle w:val="BodyText"/>
        <w:spacing w:before="49"/>
        <w:rPr>
          <w:b/>
          <w:sz w:val="20"/>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2083"/>
        <w:gridCol w:w="2517"/>
        <w:gridCol w:w="2374"/>
        <w:gridCol w:w="779"/>
        <w:gridCol w:w="1737"/>
        <w:gridCol w:w="2365"/>
      </w:tblGrid>
      <w:tr>
        <w:trPr>
          <w:trHeight w:val="923" w:hRule="atLeast"/>
        </w:trPr>
        <w:tc>
          <w:tcPr>
            <w:tcW w:w="590" w:type="dxa"/>
            <w:tcBorders>
              <w:top w:val="single" w:sz="8" w:space="0" w:color="000000"/>
              <w:bottom w:val="single" w:sz="8" w:space="0" w:color="000000"/>
            </w:tcBorders>
          </w:tcPr>
          <w:p>
            <w:pPr>
              <w:pStyle w:val="TableParagraph"/>
              <w:spacing w:line="272" w:lineRule="exact"/>
              <w:jc w:val="center"/>
              <w:rPr>
                <w:b/>
                <w:sz w:val="24"/>
              </w:rPr>
            </w:pPr>
            <w:r>
              <w:rPr>
                <w:b/>
                <w:spacing w:val="-5"/>
                <w:sz w:val="24"/>
              </w:rPr>
              <w:t>S/N</w:t>
            </w:r>
          </w:p>
        </w:tc>
        <w:tc>
          <w:tcPr>
            <w:tcW w:w="2083" w:type="dxa"/>
            <w:tcBorders>
              <w:top w:val="single" w:sz="8" w:space="0" w:color="000000"/>
              <w:bottom w:val="single" w:sz="8" w:space="0" w:color="000000"/>
            </w:tcBorders>
          </w:tcPr>
          <w:p>
            <w:pPr>
              <w:pStyle w:val="TableParagraph"/>
              <w:spacing w:line="272" w:lineRule="exact"/>
              <w:ind w:left="240"/>
              <w:rPr>
                <w:b/>
                <w:sz w:val="24"/>
              </w:rPr>
            </w:pPr>
            <w:r>
              <w:rPr>
                <w:b/>
                <w:spacing w:val="-2"/>
                <w:sz w:val="24"/>
              </w:rPr>
              <w:t>Neighbourhood</w:t>
            </w:r>
          </w:p>
        </w:tc>
        <w:tc>
          <w:tcPr>
            <w:tcW w:w="2517" w:type="dxa"/>
            <w:tcBorders>
              <w:top w:val="single" w:sz="8" w:space="0" w:color="000000"/>
              <w:bottom w:val="single" w:sz="8" w:space="0" w:color="000000"/>
            </w:tcBorders>
          </w:tcPr>
          <w:p>
            <w:pPr>
              <w:pStyle w:val="TableParagraph"/>
              <w:spacing w:line="272" w:lineRule="exact"/>
              <w:ind w:left="108"/>
              <w:rPr>
                <w:b/>
                <w:sz w:val="24"/>
              </w:rPr>
            </w:pPr>
            <w:r>
              <w:rPr>
                <w:b/>
                <w:sz w:val="24"/>
              </w:rPr>
              <w:t>Water</w:t>
            </w:r>
            <w:r>
              <w:rPr>
                <w:b/>
                <w:spacing w:val="-3"/>
                <w:sz w:val="24"/>
              </w:rPr>
              <w:t> </w:t>
            </w:r>
            <w:r>
              <w:rPr>
                <w:b/>
                <w:spacing w:val="-2"/>
                <w:sz w:val="24"/>
              </w:rPr>
              <w:t>Coverage</w:t>
            </w:r>
          </w:p>
        </w:tc>
        <w:tc>
          <w:tcPr>
            <w:tcW w:w="2374" w:type="dxa"/>
            <w:tcBorders>
              <w:top w:val="single" w:sz="8" w:space="0" w:color="000000"/>
              <w:bottom w:val="single" w:sz="8" w:space="0" w:color="000000"/>
            </w:tcBorders>
          </w:tcPr>
          <w:p>
            <w:pPr>
              <w:pStyle w:val="TableParagraph"/>
              <w:spacing w:line="272" w:lineRule="exact"/>
              <w:ind w:left="1" w:right="1"/>
              <w:jc w:val="center"/>
              <w:rPr>
                <w:b/>
                <w:sz w:val="24"/>
              </w:rPr>
            </w:pPr>
            <w:r>
              <w:rPr>
                <w:b/>
                <w:sz w:val="24"/>
              </w:rPr>
              <w:t>Water</w:t>
            </w:r>
            <w:r>
              <w:rPr>
                <w:b/>
                <w:spacing w:val="-4"/>
                <w:sz w:val="24"/>
              </w:rPr>
              <w:t> </w:t>
            </w:r>
            <w:r>
              <w:rPr>
                <w:b/>
                <w:sz w:val="24"/>
              </w:rPr>
              <w:t>Poverty</w:t>
            </w:r>
            <w:r>
              <w:rPr>
                <w:b/>
                <w:spacing w:val="-2"/>
                <w:sz w:val="24"/>
              </w:rPr>
              <w:t> </w:t>
            </w:r>
            <w:r>
              <w:rPr>
                <w:b/>
                <w:spacing w:val="-4"/>
                <w:sz w:val="24"/>
              </w:rPr>
              <w:t>Index</w:t>
            </w:r>
          </w:p>
        </w:tc>
        <w:tc>
          <w:tcPr>
            <w:tcW w:w="779" w:type="dxa"/>
            <w:tcBorders>
              <w:top w:val="single" w:sz="8" w:space="0" w:color="000000"/>
              <w:bottom w:val="single" w:sz="8" w:space="0" w:color="000000"/>
            </w:tcBorders>
          </w:tcPr>
          <w:p>
            <w:pPr>
              <w:pStyle w:val="TableParagraph"/>
              <w:spacing w:line="272" w:lineRule="exact"/>
              <w:ind w:left="2" w:right="2"/>
              <w:jc w:val="center"/>
              <w:rPr>
                <w:b/>
                <w:sz w:val="24"/>
              </w:rPr>
            </w:pPr>
            <w:r>
              <w:rPr>
                <w:b/>
                <w:spacing w:val="-4"/>
                <w:sz w:val="24"/>
              </w:rPr>
              <w:t>Rank</w:t>
            </w:r>
          </w:p>
        </w:tc>
        <w:tc>
          <w:tcPr>
            <w:tcW w:w="1737" w:type="dxa"/>
            <w:tcBorders>
              <w:top w:val="single" w:sz="8" w:space="0" w:color="000000"/>
              <w:bottom w:val="single" w:sz="8" w:space="0" w:color="000000"/>
            </w:tcBorders>
          </w:tcPr>
          <w:p>
            <w:pPr>
              <w:pStyle w:val="TableParagraph"/>
              <w:spacing w:line="272" w:lineRule="exact"/>
              <w:ind w:left="5" w:right="135"/>
              <w:jc w:val="center"/>
              <w:rPr>
                <w:b/>
                <w:sz w:val="24"/>
              </w:rPr>
            </w:pPr>
            <w:r>
              <w:rPr>
                <w:b/>
                <w:spacing w:val="-2"/>
                <w:sz w:val="24"/>
              </w:rPr>
              <w:t>Classification</w:t>
            </w:r>
          </w:p>
        </w:tc>
        <w:tc>
          <w:tcPr>
            <w:tcW w:w="2365" w:type="dxa"/>
            <w:tcBorders>
              <w:top w:val="single" w:sz="8" w:space="0" w:color="000000"/>
              <w:bottom w:val="single" w:sz="8" w:space="0" w:color="000000"/>
            </w:tcBorders>
          </w:tcPr>
          <w:p>
            <w:pPr>
              <w:pStyle w:val="TableParagraph"/>
              <w:ind w:left="474" w:right="369" w:hanging="236"/>
              <w:rPr>
                <w:b/>
                <w:sz w:val="24"/>
              </w:rPr>
            </w:pPr>
            <w:r>
              <w:rPr>
                <w:b/>
                <w:sz w:val="24"/>
              </w:rPr>
              <w:t>Prioritization</w:t>
            </w:r>
            <w:r>
              <w:rPr>
                <w:b/>
                <w:spacing w:val="-15"/>
                <w:sz w:val="24"/>
              </w:rPr>
              <w:t> </w:t>
            </w:r>
            <w:r>
              <w:rPr>
                <w:b/>
                <w:sz w:val="24"/>
              </w:rPr>
              <w:t>for </w:t>
            </w:r>
            <w:r>
              <w:rPr>
                <w:b/>
                <w:spacing w:val="-2"/>
                <w:sz w:val="24"/>
              </w:rPr>
              <w:t>Intervention</w:t>
            </w:r>
          </w:p>
        </w:tc>
      </w:tr>
      <w:tr>
        <w:trPr>
          <w:trHeight w:val="548" w:hRule="atLeast"/>
        </w:trPr>
        <w:tc>
          <w:tcPr>
            <w:tcW w:w="590" w:type="dxa"/>
            <w:tcBorders>
              <w:top w:val="single" w:sz="8" w:space="0" w:color="000000"/>
            </w:tcBorders>
          </w:tcPr>
          <w:p>
            <w:pPr>
              <w:pStyle w:val="TableParagraph"/>
              <w:spacing w:line="272" w:lineRule="exact"/>
              <w:jc w:val="center"/>
              <w:rPr>
                <w:b/>
                <w:sz w:val="24"/>
              </w:rPr>
            </w:pPr>
            <w:r>
              <w:rPr>
                <w:b/>
                <w:spacing w:val="-10"/>
                <w:sz w:val="24"/>
              </w:rPr>
              <w:t>1</w:t>
            </w:r>
          </w:p>
        </w:tc>
        <w:tc>
          <w:tcPr>
            <w:tcW w:w="2083" w:type="dxa"/>
            <w:tcBorders>
              <w:top w:val="single" w:sz="8" w:space="0" w:color="000000"/>
            </w:tcBorders>
          </w:tcPr>
          <w:p>
            <w:pPr>
              <w:pStyle w:val="TableParagraph"/>
              <w:spacing w:line="268" w:lineRule="exact"/>
              <w:ind w:left="108"/>
              <w:rPr>
                <w:sz w:val="24"/>
              </w:rPr>
            </w:pPr>
            <w:r>
              <w:rPr>
                <w:sz w:val="24"/>
              </w:rPr>
              <w:t>Tudun</w:t>
            </w:r>
            <w:r>
              <w:rPr>
                <w:spacing w:val="-1"/>
                <w:sz w:val="24"/>
              </w:rPr>
              <w:t> </w:t>
            </w:r>
            <w:r>
              <w:rPr>
                <w:sz w:val="24"/>
              </w:rPr>
              <w:t>Wada</w:t>
            </w:r>
            <w:r>
              <w:rPr>
                <w:spacing w:val="-1"/>
                <w:sz w:val="24"/>
              </w:rPr>
              <w:t> </w:t>
            </w:r>
            <w:r>
              <w:rPr>
                <w:spacing w:val="-2"/>
                <w:sz w:val="24"/>
              </w:rPr>
              <w:t>South</w:t>
            </w:r>
          </w:p>
        </w:tc>
        <w:tc>
          <w:tcPr>
            <w:tcW w:w="2517" w:type="dxa"/>
            <w:tcBorders>
              <w:top w:val="single" w:sz="8" w:space="0" w:color="000000"/>
            </w:tcBorders>
          </w:tcPr>
          <w:p>
            <w:pPr>
              <w:pStyle w:val="TableParagraph"/>
              <w:tabs>
                <w:tab w:pos="1026" w:val="left" w:leader="none"/>
                <w:tab w:pos="1878" w:val="left" w:leader="none"/>
              </w:tabs>
              <w:spacing w:line="268" w:lineRule="exact"/>
              <w:ind w:left="108"/>
              <w:rPr>
                <w:sz w:val="24"/>
              </w:rPr>
            </w:pPr>
            <w:r>
              <w:rPr>
                <w:spacing w:val="-2"/>
                <w:sz w:val="24"/>
              </w:rPr>
              <w:t>Within</w:t>
            </w:r>
            <w:r>
              <w:rPr>
                <w:sz w:val="24"/>
              </w:rPr>
              <w:tab/>
            </w:r>
            <w:r>
              <w:rPr>
                <w:spacing w:val="-2"/>
                <w:sz w:val="24"/>
              </w:rPr>
              <w:t>public</w:t>
            </w:r>
            <w:r>
              <w:rPr>
                <w:sz w:val="24"/>
              </w:rPr>
              <w:tab/>
            </w:r>
            <w:r>
              <w:rPr>
                <w:spacing w:val="-4"/>
                <w:sz w:val="24"/>
              </w:rPr>
              <w:t>water</w:t>
            </w:r>
          </w:p>
          <w:p>
            <w:pPr>
              <w:pStyle w:val="TableParagraph"/>
              <w:spacing w:line="261" w:lineRule="exact"/>
              <w:ind w:left="108"/>
              <w:rPr>
                <w:sz w:val="24"/>
              </w:rPr>
            </w:pPr>
            <w:r>
              <w:rPr>
                <w:spacing w:val="-2"/>
                <w:sz w:val="24"/>
              </w:rPr>
              <w:t>mains</w:t>
            </w:r>
          </w:p>
        </w:tc>
        <w:tc>
          <w:tcPr>
            <w:tcW w:w="2374" w:type="dxa"/>
            <w:tcBorders>
              <w:top w:val="single" w:sz="8" w:space="0" w:color="000000"/>
            </w:tcBorders>
          </w:tcPr>
          <w:p>
            <w:pPr>
              <w:pStyle w:val="TableParagraph"/>
              <w:spacing w:line="268" w:lineRule="exact"/>
              <w:ind w:right="1"/>
              <w:jc w:val="center"/>
              <w:rPr>
                <w:sz w:val="24"/>
              </w:rPr>
            </w:pPr>
            <w:r>
              <w:rPr>
                <w:spacing w:val="-4"/>
                <w:sz w:val="24"/>
              </w:rPr>
              <w:t>44.4</w:t>
            </w:r>
          </w:p>
        </w:tc>
        <w:tc>
          <w:tcPr>
            <w:tcW w:w="779" w:type="dxa"/>
            <w:tcBorders>
              <w:top w:val="single" w:sz="8" w:space="0" w:color="000000"/>
            </w:tcBorders>
          </w:tcPr>
          <w:p>
            <w:pPr>
              <w:pStyle w:val="TableParagraph"/>
              <w:spacing w:line="268" w:lineRule="exact"/>
              <w:ind w:left="2"/>
              <w:jc w:val="center"/>
              <w:rPr>
                <w:sz w:val="24"/>
              </w:rPr>
            </w:pPr>
            <w:r>
              <w:rPr>
                <w:spacing w:val="-10"/>
                <w:sz w:val="24"/>
              </w:rPr>
              <w:t>1</w:t>
            </w:r>
          </w:p>
        </w:tc>
        <w:tc>
          <w:tcPr>
            <w:tcW w:w="1737" w:type="dxa"/>
            <w:tcBorders>
              <w:top w:val="single" w:sz="8" w:space="0" w:color="000000"/>
            </w:tcBorders>
          </w:tcPr>
          <w:p>
            <w:pPr>
              <w:pStyle w:val="TableParagraph"/>
              <w:spacing w:line="268" w:lineRule="exact"/>
              <w:ind w:right="135"/>
              <w:jc w:val="center"/>
              <w:rPr>
                <w:sz w:val="24"/>
              </w:rPr>
            </w:pPr>
            <w:r>
              <w:rPr>
                <w:spacing w:val="-4"/>
                <w:sz w:val="24"/>
              </w:rPr>
              <w:t>Fair</w:t>
            </w:r>
          </w:p>
        </w:tc>
        <w:tc>
          <w:tcPr>
            <w:tcW w:w="2365" w:type="dxa"/>
            <w:tcBorders>
              <w:top w:val="single" w:sz="8" w:space="0" w:color="000000"/>
            </w:tcBorders>
          </w:tcPr>
          <w:p>
            <w:pPr>
              <w:pStyle w:val="TableParagraph"/>
              <w:spacing w:line="268" w:lineRule="exact"/>
              <w:ind w:left="282"/>
              <w:rPr>
                <w:sz w:val="24"/>
              </w:rPr>
            </w:pPr>
            <w:r>
              <w:rPr>
                <w:sz w:val="24"/>
              </w:rPr>
              <w:t>2nd</w:t>
            </w:r>
            <w:r>
              <w:rPr>
                <w:spacing w:val="-1"/>
                <w:sz w:val="24"/>
              </w:rPr>
              <w:t> </w:t>
            </w:r>
            <w:r>
              <w:rPr>
                <w:sz w:val="24"/>
              </w:rPr>
              <w:t>level</w:t>
            </w:r>
            <w:r>
              <w:rPr>
                <w:spacing w:val="-1"/>
                <w:sz w:val="24"/>
              </w:rPr>
              <w:t> </w:t>
            </w:r>
            <w:r>
              <w:rPr>
                <w:spacing w:val="-2"/>
                <w:sz w:val="24"/>
              </w:rPr>
              <w:t>priority</w:t>
            </w:r>
          </w:p>
        </w:tc>
      </w:tr>
      <w:tr>
        <w:trPr>
          <w:trHeight w:val="552" w:hRule="atLeast"/>
        </w:trPr>
        <w:tc>
          <w:tcPr>
            <w:tcW w:w="590" w:type="dxa"/>
          </w:tcPr>
          <w:p>
            <w:pPr>
              <w:pStyle w:val="TableParagraph"/>
              <w:spacing w:line="276" w:lineRule="exact"/>
              <w:jc w:val="center"/>
              <w:rPr>
                <w:b/>
                <w:sz w:val="24"/>
              </w:rPr>
            </w:pPr>
            <w:r>
              <w:rPr>
                <w:b/>
                <w:spacing w:val="-10"/>
                <w:sz w:val="24"/>
              </w:rPr>
              <w:t>2</w:t>
            </w:r>
          </w:p>
        </w:tc>
        <w:tc>
          <w:tcPr>
            <w:tcW w:w="2083" w:type="dxa"/>
          </w:tcPr>
          <w:p>
            <w:pPr>
              <w:pStyle w:val="TableParagraph"/>
              <w:spacing w:line="271" w:lineRule="exact"/>
              <w:ind w:left="108"/>
              <w:rPr>
                <w:sz w:val="24"/>
              </w:rPr>
            </w:pPr>
            <w:r>
              <w:rPr>
                <w:spacing w:val="-2"/>
                <w:sz w:val="24"/>
              </w:rPr>
              <w:t>Dutsenkura</w:t>
            </w:r>
          </w:p>
        </w:tc>
        <w:tc>
          <w:tcPr>
            <w:tcW w:w="2517" w:type="dxa"/>
          </w:tcPr>
          <w:p>
            <w:pPr>
              <w:pStyle w:val="TableParagraph"/>
              <w:tabs>
                <w:tab w:pos="1026" w:val="left" w:leader="none"/>
                <w:tab w:pos="1878" w:val="left" w:leader="none"/>
              </w:tabs>
              <w:spacing w:line="271" w:lineRule="exact"/>
              <w:ind w:left="108"/>
              <w:rPr>
                <w:sz w:val="24"/>
              </w:rPr>
            </w:pPr>
            <w:r>
              <w:rPr>
                <w:spacing w:val="-2"/>
                <w:sz w:val="24"/>
              </w:rPr>
              <w:t>Within</w:t>
            </w:r>
            <w:r>
              <w:rPr>
                <w:sz w:val="24"/>
              </w:rPr>
              <w:tab/>
            </w:r>
            <w:r>
              <w:rPr>
                <w:spacing w:val="-2"/>
                <w:sz w:val="24"/>
              </w:rPr>
              <w:t>public</w:t>
            </w:r>
            <w:r>
              <w:rPr>
                <w:sz w:val="24"/>
              </w:rPr>
              <w:tab/>
            </w:r>
            <w:r>
              <w:rPr>
                <w:spacing w:val="-4"/>
                <w:sz w:val="24"/>
              </w:rPr>
              <w:t>water</w:t>
            </w:r>
          </w:p>
          <w:p>
            <w:pPr>
              <w:pStyle w:val="TableParagraph"/>
              <w:spacing w:line="261" w:lineRule="exact"/>
              <w:ind w:left="108"/>
              <w:rPr>
                <w:sz w:val="24"/>
              </w:rPr>
            </w:pPr>
            <w:r>
              <w:rPr>
                <w:spacing w:val="-2"/>
                <w:sz w:val="24"/>
              </w:rPr>
              <w:t>mains</w:t>
            </w:r>
          </w:p>
        </w:tc>
        <w:tc>
          <w:tcPr>
            <w:tcW w:w="2374" w:type="dxa"/>
          </w:tcPr>
          <w:p>
            <w:pPr>
              <w:pStyle w:val="TableParagraph"/>
              <w:spacing w:line="271" w:lineRule="exact"/>
              <w:ind w:right="1"/>
              <w:jc w:val="center"/>
              <w:rPr>
                <w:sz w:val="24"/>
              </w:rPr>
            </w:pPr>
            <w:r>
              <w:rPr>
                <w:spacing w:val="-4"/>
                <w:sz w:val="24"/>
              </w:rPr>
              <w:t>41.6</w:t>
            </w:r>
          </w:p>
        </w:tc>
        <w:tc>
          <w:tcPr>
            <w:tcW w:w="779" w:type="dxa"/>
          </w:tcPr>
          <w:p>
            <w:pPr>
              <w:pStyle w:val="TableParagraph"/>
              <w:spacing w:line="271" w:lineRule="exact"/>
              <w:ind w:left="2"/>
              <w:jc w:val="center"/>
              <w:rPr>
                <w:sz w:val="24"/>
              </w:rPr>
            </w:pPr>
            <w:r>
              <w:rPr>
                <w:spacing w:val="-10"/>
                <w:sz w:val="24"/>
              </w:rPr>
              <w:t>2</w:t>
            </w:r>
          </w:p>
        </w:tc>
        <w:tc>
          <w:tcPr>
            <w:tcW w:w="1737" w:type="dxa"/>
          </w:tcPr>
          <w:p>
            <w:pPr>
              <w:pStyle w:val="TableParagraph"/>
              <w:spacing w:line="271" w:lineRule="exact"/>
              <w:ind w:left="5" w:right="135"/>
              <w:jc w:val="center"/>
              <w:rPr>
                <w:sz w:val="24"/>
              </w:rPr>
            </w:pPr>
            <w:r>
              <w:rPr>
                <w:spacing w:val="-4"/>
                <w:sz w:val="24"/>
              </w:rPr>
              <w:t>Fair</w:t>
            </w:r>
          </w:p>
        </w:tc>
        <w:tc>
          <w:tcPr>
            <w:tcW w:w="2365" w:type="dxa"/>
          </w:tcPr>
          <w:p>
            <w:pPr>
              <w:pStyle w:val="TableParagraph"/>
              <w:spacing w:line="271" w:lineRule="exact"/>
              <w:ind w:left="282"/>
              <w:rPr>
                <w:sz w:val="24"/>
              </w:rPr>
            </w:pPr>
            <w:r>
              <w:rPr>
                <w:sz w:val="24"/>
              </w:rPr>
              <w:t>2nd</w:t>
            </w:r>
            <w:r>
              <w:rPr>
                <w:spacing w:val="-1"/>
                <w:sz w:val="24"/>
              </w:rPr>
              <w:t> </w:t>
            </w:r>
            <w:r>
              <w:rPr>
                <w:sz w:val="24"/>
              </w:rPr>
              <w:t>level</w:t>
            </w:r>
            <w:r>
              <w:rPr>
                <w:spacing w:val="-1"/>
                <w:sz w:val="24"/>
              </w:rPr>
              <w:t> </w:t>
            </w:r>
            <w:r>
              <w:rPr>
                <w:spacing w:val="-2"/>
                <w:sz w:val="24"/>
              </w:rPr>
              <w:t>priority</w:t>
            </w:r>
          </w:p>
        </w:tc>
      </w:tr>
      <w:tr>
        <w:trPr>
          <w:trHeight w:val="552" w:hRule="atLeast"/>
        </w:trPr>
        <w:tc>
          <w:tcPr>
            <w:tcW w:w="590" w:type="dxa"/>
          </w:tcPr>
          <w:p>
            <w:pPr>
              <w:pStyle w:val="TableParagraph"/>
              <w:spacing w:line="276" w:lineRule="exact"/>
              <w:jc w:val="center"/>
              <w:rPr>
                <w:b/>
                <w:sz w:val="24"/>
              </w:rPr>
            </w:pPr>
            <w:r>
              <w:rPr>
                <w:b/>
                <w:spacing w:val="-10"/>
                <w:sz w:val="24"/>
              </w:rPr>
              <w:t>3</w:t>
            </w:r>
          </w:p>
        </w:tc>
        <w:tc>
          <w:tcPr>
            <w:tcW w:w="2083" w:type="dxa"/>
          </w:tcPr>
          <w:p>
            <w:pPr>
              <w:pStyle w:val="TableParagraph"/>
              <w:spacing w:line="271" w:lineRule="exact"/>
              <w:ind w:left="108"/>
              <w:rPr>
                <w:sz w:val="24"/>
              </w:rPr>
            </w:pPr>
            <w:r>
              <w:rPr>
                <w:spacing w:val="-2"/>
                <w:sz w:val="24"/>
              </w:rPr>
              <w:t>Minna-Central</w:t>
            </w:r>
          </w:p>
        </w:tc>
        <w:tc>
          <w:tcPr>
            <w:tcW w:w="2517" w:type="dxa"/>
          </w:tcPr>
          <w:p>
            <w:pPr>
              <w:pStyle w:val="TableParagraph"/>
              <w:tabs>
                <w:tab w:pos="1026" w:val="left" w:leader="none"/>
                <w:tab w:pos="1878" w:val="left" w:leader="none"/>
              </w:tabs>
              <w:spacing w:line="271" w:lineRule="exact"/>
              <w:ind w:left="108"/>
              <w:rPr>
                <w:sz w:val="24"/>
              </w:rPr>
            </w:pPr>
            <w:r>
              <w:rPr>
                <w:spacing w:val="-2"/>
                <w:sz w:val="24"/>
              </w:rPr>
              <w:t>Within</w:t>
            </w:r>
            <w:r>
              <w:rPr>
                <w:sz w:val="24"/>
              </w:rPr>
              <w:tab/>
            </w:r>
            <w:r>
              <w:rPr>
                <w:spacing w:val="-2"/>
                <w:sz w:val="24"/>
              </w:rPr>
              <w:t>public</w:t>
            </w:r>
            <w:r>
              <w:rPr>
                <w:sz w:val="24"/>
              </w:rPr>
              <w:tab/>
            </w:r>
            <w:r>
              <w:rPr>
                <w:spacing w:val="-4"/>
                <w:sz w:val="24"/>
              </w:rPr>
              <w:t>water</w:t>
            </w:r>
          </w:p>
          <w:p>
            <w:pPr>
              <w:pStyle w:val="TableParagraph"/>
              <w:spacing w:line="261" w:lineRule="exact"/>
              <w:ind w:left="108"/>
              <w:rPr>
                <w:sz w:val="24"/>
              </w:rPr>
            </w:pPr>
            <w:r>
              <w:rPr>
                <w:spacing w:val="-2"/>
                <w:sz w:val="24"/>
              </w:rPr>
              <w:t>mains</w:t>
            </w:r>
          </w:p>
        </w:tc>
        <w:tc>
          <w:tcPr>
            <w:tcW w:w="2374" w:type="dxa"/>
          </w:tcPr>
          <w:p>
            <w:pPr>
              <w:pStyle w:val="TableParagraph"/>
              <w:spacing w:line="271" w:lineRule="exact"/>
              <w:ind w:right="1"/>
              <w:jc w:val="center"/>
              <w:rPr>
                <w:sz w:val="24"/>
              </w:rPr>
            </w:pPr>
            <w:r>
              <w:rPr>
                <w:spacing w:val="-4"/>
                <w:sz w:val="24"/>
              </w:rPr>
              <w:t>40.0</w:t>
            </w:r>
          </w:p>
        </w:tc>
        <w:tc>
          <w:tcPr>
            <w:tcW w:w="779" w:type="dxa"/>
          </w:tcPr>
          <w:p>
            <w:pPr>
              <w:pStyle w:val="TableParagraph"/>
              <w:spacing w:line="271" w:lineRule="exact"/>
              <w:ind w:left="2"/>
              <w:jc w:val="center"/>
              <w:rPr>
                <w:sz w:val="24"/>
              </w:rPr>
            </w:pPr>
            <w:r>
              <w:rPr>
                <w:spacing w:val="-10"/>
                <w:sz w:val="24"/>
              </w:rPr>
              <w:t>3</w:t>
            </w:r>
          </w:p>
        </w:tc>
        <w:tc>
          <w:tcPr>
            <w:tcW w:w="1737" w:type="dxa"/>
          </w:tcPr>
          <w:p>
            <w:pPr>
              <w:pStyle w:val="TableParagraph"/>
              <w:spacing w:line="271" w:lineRule="exact"/>
              <w:ind w:left="2" w:right="135"/>
              <w:jc w:val="center"/>
              <w:rPr>
                <w:sz w:val="24"/>
              </w:rPr>
            </w:pPr>
            <w:r>
              <w:rPr>
                <w:spacing w:val="-4"/>
                <w:sz w:val="24"/>
              </w:rPr>
              <w:t>Poor</w:t>
            </w:r>
          </w:p>
        </w:tc>
        <w:tc>
          <w:tcPr>
            <w:tcW w:w="2365" w:type="dxa"/>
          </w:tcPr>
          <w:p>
            <w:pPr>
              <w:pStyle w:val="TableParagraph"/>
              <w:spacing w:line="271" w:lineRule="exact"/>
              <w:ind w:left="320"/>
              <w:rPr>
                <w:sz w:val="24"/>
              </w:rPr>
            </w:pPr>
            <w:r>
              <w:rPr>
                <w:sz w:val="24"/>
              </w:rPr>
              <w:t>1st</w:t>
            </w:r>
            <w:r>
              <w:rPr>
                <w:spacing w:val="-1"/>
                <w:sz w:val="24"/>
              </w:rPr>
              <w:t> </w:t>
            </w:r>
            <w:r>
              <w:rPr>
                <w:sz w:val="24"/>
              </w:rPr>
              <w:t>level</w:t>
            </w:r>
            <w:r>
              <w:rPr>
                <w:spacing w:val="-1"/>
                <w:sz w:val="24"/>
              </w:rPr>
              <w:t> </w:t>
            </w:r>
            <w:r>
              <w:rPr>
                <w:spacing w:val="-2"/>
                <w:sz w:val="24"/>
              </w:rPr>
              <w:t>priority</w:t>
            </w:r>
          </w:p>
        </w:tc>
      </w:tr>
      <w:tr>
        <w:trPr>
          <w:trHeight w:val="552" w:hRule="atLeast"/>
        </w:trPr>
        <w:tc>
          <w:tcPr>
            <w:tcW w:w="590" w:type="dxa"/>
          </w:tcPr>
          <w:p>
            <w:pPr>
              <w:pStyle w:val="TableParagraph"/>
              <w:spacing w:line="276" w:lineRule="exact"/>
              <w:jc w:val="center"/>
              <w:rPr>
                <w:b/>
                <w:sz w:val="24"/>
              </w:rPr>
            </w:pPr>
            <w:r>
              <w:rPr>
                <w:b/>
                <w:spacing w:val="-10"/>
                <w:sz w:val="24"/>
              </w:rPr>
              <w:t>4</w:t>
            </w:r>
          </w:p>
        </w:tc>
        <w:tc>
          <w:tcPr>
            <w:tcW w:w="2083" w:type="dxa"/>
          </w:tcPr>
          <w:p>
            <w:pPr>
              <w:pStyle w:val="TableParagraph"/>
              <w:spacing w:line="271" w:lineRule="exact"/>
              <w:ind w:left="108"/>
              <w:rPr>
                <w:sz w:val="24"/>
              </w:rPr>
            </w:pPr>
            <w:r>
              <w:rPr>
                <w:spacing w:val="-2"/>
                <w:sz w:val="24"/>
              </w:rPr>
              <w:t>Tudun-Fulani</w:t>
            </w:r>
          </w:p>
        </w:tc>
        <w:tc>
          <w:tcPr>
            <w:tcW w:w="2517" w:type="dxa"/>
          </w:tcPr>
          <w:p>
            <w:pPr>
              <w:pStyle w:val="TableParagraph"/>
              <w:spacing w:line="271" w:lineRule="exact"/>
              <w:ind w:left="108"/>
              <w:rPr>
                <w:sz w:val="24"/>
              </w:rPr>
            </w:pPr>
            <w:r>
              <w:rPr>
                <w:sz w:val="24"/>
              </w:rPr>
              <w:t>Partially</w:t>
            </w:r>
            <w:r>
              <w:rPr>
                <w:spacing w:val="32"/>
                <w:sz w:val="24"/>
              </w:rPr>
              <w:t> </w:t>
            </w:r>
            <w:r>
              <w:rPr>
                <w:sz w:val="24"/>
              </w:rPr>
              <w:t>outside</w:t>
            </w:r>
            <w:r>
              <w:rPr>
                <w:spacing w:val="38"/>
                <w:sz w:val="24"/>
              </w:rPr>
              <w:t> </w:t>
            </w:r>
            <w:r>
              <w:rPr>
                <w:spacing w:val="-2"/>
                <w:sz w:val="24"/>
              </w:rPr>
              <w:t>public</w:t>
            </w:r>
          </w:p>
          <w:p>
            <w:pPr>
              <w:pStyle w:val="TableParagraph"/>
              <w:spacing w:line="261" w:lineRule="exact"/>
              <w:ind w:left="108"/>
              <w:rPr>
                <w:sz w:val="24"/>
              </w:rPr>
            </w:pPr>
            <w:r>
              <w:rPr>
                <w:sz w:val="24"/>
              </w:rPr>
              <w:t>water</w:t>
            </w:r>
            <w:r>
              <w:rPr>
                <w:spacing w:val="-4"/>
                <w:sz w:val="24"/>
              </w:rPr>
              <w:t> </w:t>
            </w:r>
            <w:r>
              <w:rPr>
                <w:spacing w:val="-2"/>
                <w:sz w:val="24"/>
              </w:rPr>
              <w:t>mains</w:t>
            </w:r>
          </w:p>
        </w:tc>
        <w:tc>
          <w:tcPr>
            <w:tcW w:w="2374" w:type="dxa"/>
          </w:tcPr>
          <w:p>
            <w:pPr>
              <w:pStyle w:val="TableParagraph"/>
              <w:spacing w:line="271" w:lineRule="exact"/>
              <w:ind w:right="1"/>
              <w:jc w:val="center"/>
              <w:rPr>
                <w:sz w:val="24"/>
              </w:rPr>
            </w:pPr>
            <w:r>
              <w:rPr>
                <w:spacing w:val="-4"/>
                <w:sz w:val="24"/>
              </w:rPr>
              <w:t>39.7</w:t>
            </w:r>
          </w:p>
        </w:tc>
        <w:tc>
          <w:tcPr>
            <w:tcW w:w="779" w:type="dxa"/>
          </w:tcPr>
          <w:p>
            <w:pPr>
              <w:pStyle w:val="TableParagraph"/>
              <w:spacing w:line="271" w:lineRule="exact"/>
              <w:ind w:left="2"/>
              <w:jc w:val="center"/>
              <w:rPr>
                <w:sz w:val="24"/>
              </w:rPr>
            </w:pPr>
            <w:r>
              <w:rPr>
                <w:spacing w:val="-10"/>
                <w:sz w:val="24"/>
              </w:rPr>
              <w:t>4</w:t>
            </w:r>
          </w:p>
        </w:tc>
        <w:tc>
          <w:tcPr>
            <w:tcW w:w="1737" w:type="dxa"/>
          </w:tcPr>
          <w:p>
            <w:pPr>
              <w:pStyle w:val="TableParagraph"/>
              <w:spacing w:line="271" w:lineRule="exact"/>
              <w:ind w:left="2" w:right="135"/>
              <w:jc w:val="center"/>
              <w:rPr>
                <w:sz w:val="24"/>
              </w:rPr>
            </w:pPr>
            <w:r>
              <w:rPr>
                <w:spacing w:val="-4"/>
                <w:sz w:val="24"/>
              </w:rPr>
              <w:t>Poor</w:t>
            </w:r>
          </w:p>
        </w:tc>
        <w:tc>
          <w:tcPr>
            <w:tcW w:w="2365" w:type="dxa"/>
          </w:tcPr>
          <w:p>
            <w:pPr>
              <w:pStyle w:val="TableParagraph"/>
              <w:spacing w:line="271" w:lineRule="exact"/>
              <w:ind w:left="320"/>
              <w:rPr>
                <w:sz w:val="24"/>
              </w:rPr>
            </w:pPr>
            <w:r>
              <w:rPr>
                <w:sz w:val="24"/>
              </w:rPr>
              <w:t>1st</w:t>
            </w:r>
            <w:r>
              <w:rPr>
                <w:spacing w:val="-1"/>
                <w:sz w:val="24"/>
              </w:rPr>
              <w:t> </w:t>
            </w:r>
            <w:r>
              <w:rPr>
                <w:sz w:val="24"/>
              </w:rPr>
              <w:t>level</w:t>
            </w:r>
            <w:r>
              <w:rPr>
                <w:spacing w:val="-1"/>
                <w:sz w:val="24"/>
              </w:rPr>
              <w:t> </w:t>
            </w:r>
            <w:r>
              <w:rPr>
                <w:spacing w:val="-2"/>
                <w:sz w:val="24"/>
              </w:rPr>
              <w:t>priority</w:t>
            </w:r>
          </w:p>
        </w:tc>
      </w:tr>
      <w:tr>
        <w:trPr>
          <w:trHeight w:val="552" w:hRule="atLeast"/>
        </w:trPr>
        <w:tc>
          <w:tcPr>
            <w:tcW w:w="590" w:type="dxa"/>
          </w:tcPr>
          <w:p>
            <w:pPr>
              <w:pStyle w:val="TableParagraph"/>
              <w:spacing w:line="276" w:lineRule="exact"/>
              <w:jc w:val="center"/>
              <w:rPr>
                <w:b/>
                <w:sz w:val="24"/>
              </w:rPr>
            </w:pPr>
            <w:r>
              <w:rPr>
                <w:b/>
                <w:spacing w:val="-10"/>
                <w:sz w:val="24"/>
              </w:rPr>
              <w:t>5</w:t>
            </w:r>
          </w:p>
        </w:tc>
        <w:tc>
          <w:tcPr>
            <w:tcW w:w="2083" w:type="dxa"/>
          </w:tcPr>
          <w:p>
            <w:pPr>
              <w:pStyle w:val="TableParagraph"/>
              <w:spacing w:line="271" w:lineRule="exact"/>
              <w:ind w:left="108"/>
              <w:rPr>
                <w:sz w:val="24"/>
              </w:rPr>
            </w:pPr>
            <w:r>
              <w:rPr>
                <w:spacing w:val="-2"/>
                <w:sz w:val="24"/>
              </w:rPr>
              <w:t>Saukakauta</w:t>
            </w:r>
          </w:p>
        </w:tc>
        <w:tc>
          <w:tcPr>
            <w:tcW w:w="2517" w:type="dxa"/>
          </w:tcPr>
          <w:p>
            <w:pPr>
              <w:pStyle w:val="TableParagraph"/>
              <w:spacing w:line="271" w:lineRule="exact"/>
              <w:ind w:left="108"/>
              <w:rPr>
                <w:sz w:val="24"/>
              </w:rPr>
            </w:pPr>
            <w:r>
              <w:rPr>
                <w:sz w:val="24"/>
              </w:rPr>
              <w:t>Partially</w:t>
            </w:r>
            <w:r>
              <w:rPr>
                <w:spacing w:val="28"/>
                <w:sz w:val="24"/>
              </w:rPr>
              <w:t> </w:t>
            </w:r>
            <w:r>
              <w:rPr>
                <w:sz w:val="24"/>
              </w:rPr>
              <w:t>outside</w:t>
            </w:r>
            <w:r>
              <w:rPr>
                <w:spacing w:val="38"/>
                <w:sz w:val="24"/>
              </w:rPr>
              <w:t> </w:t>
            </w:r>
            <w:r>
              <w:rPr>
                <w:spacing w:val="-2"/>
                <w:sz w:val="24"/>
              </w:rPr>
              <w:t>public</w:t>
            </w:r>
          </w:p>
          <w:p>
            <w:pPr>
              <w:pStyle w:val="TableParagraph"/>
              <w:spacing w:line="261" w:lineRule="exact"/>
              <w:ind w:left="108"/>
              <w:rPr>
                <w:sz w:val="24"/>
              </w:rPr>
            </w:pPr>
            <w:r>
              <w:rPr>
                <w:sz w:val="24"/>
              </w:rPr>
              <w:t>water</w:t>
            </w:r>
            <w:r>
              <w:rPr>
                <w:spacing w:val="-4"/>
                <w:sz w:val="24"/>
              </w:rPr>
              <w:t> </w:t>
            </w:r>
            <w:r>
              <w:rPr>
                <w:spacing w:val="-2"/>
                <w:sz w:val="24"/>
              </w:rPr>
              <w:t>mains</w:t>
            </w:r>
          </w:p>
        </w:tc>
        <w:tc>
          <w:tcPr>
            <w:tcW w:w="2374" w:type="dxa"/>
          </w:tcPr>
          <w:p>
            <w:pPr>
              <w:pStyle w:val="TableParagraph"/>
              <w:spacing w:line="271" w:lineRule="exact"/>
              <w:ind w:right="1"/>
              <w:jc w:val="center"/>
              <w:rPr>
                <w:sz w:val="24"/>
              </w:rPr>
            </w:pPr>
            <w:r>
              <w:rPr>
                <w:spacing w:val="-4"/>
                <w:sz w:val="24"/>
              </w:rPr>
              <w:t>37.7</w:t>
            </w:r>
          </w:p>
        </w:tc>
        <w:tc>
          <w:tcPr>
            <w:tcW w:w="779" w:type="dxa"/>
          </w:tcPr>
          <w:p>
            <w:pPr>
              <w:pStyle w:val="TableParagraph"/>
              <w:spacing w:line="271" w:lineRule="exact"/>
              <w:ind w:left="2"/>
              <w:jc w:val="center"/>
              <w:rPr>
                <w:sz w:val="24"/>
              </w:rPr>
            </w:pPr>
            <w:r>
              <w:rPr>
                <w:spacing w:val="-10"/>
                <w:sz w:val="24"/>
              </w:rPr>
              <w:t>5</w:t>
            </w:r>
          </w:p>
        </w:tc>
        <w:tc>
          <w:tcPr>
            <w:tcW w:w="1737" w:type="dxa"/>
          </w:tcPr>
          <w:p>
            <w:pPr>
              <w:pStyle w:val="TableParagraph"/>
              <w:spacing w:line="271" w:lineRule="exact"/>
              <w:ind w:left="2" w:right="135"/>
              <w:jc w:val="center"/>
              <w:rPr>
                <w:sz w:val="24"/>
              </w:rPr>
            </w:pPr>
            <w:r>
              <w:rPr>
                <w:spacing w:val="-4"/>
                <w:sz w:val="24"/>
              </w:rPr>
              <w:t>Poor</w:t>
            </w:r>
          </w:p>
        </w:tc>
        <w:tc>
          <w:tcPr>
            <w:tcW w:w="2365" w:type="dxa"/>
          </w:tcPr>
          <w:p>
            <w:pPr>
              <w:pStyle w:val="TableParagraph"/>
              <w:spacing w:line="271" w:lineRule="exact"/>
              <w:ind w:left="320"/>
              <w:rPr>
                <w:sz w:val="24"/>
              </w:rPr>
            </w:pPr>
            <w:r>
              <w:rPr>
                <w:sz w:val="24"/>
              </w:rPr>
              <w:t>1st</w:t>
            </w:r>
            <w:r>
              <w:rPr>
                <w:spacing w:val="-1"/>
                <w:sz w:val="24"/>
              </w:rPr>
              <w:t> </w:t>
            </w:r>
            <w:r>
              <w:rPr>
                <w:sz w:val="24"/>
              </w:rPr>
              <w:t>level</w:t>
            </w:r>
            <w:r>
              <w:rPr>
                <w:spacing w:val="-1"/>
                <w:sz w:val="24"/>
              </w:rPr>
              <w:t> </w:t>
            </w:r>
            <w:r>
              <w:rPr>
                <w:spacing w:val="-2"/>
                <w:sz w:val="24"/>
              </w:rPr>
              <w:t>priority</w:t>
            </w:r>
          </w:p>
        </w:tc>
      </w:tr>
      <w:tr>
        <w:trPr>
          <w:trHeight w:val="552" w:hRule="atLeast"/>
        </w:trPr>
        <w:tc>
          <w:tcPr>
            <w:tcW w:w="590" w:type="dxa"/>
          </w:tcPr>
          <w:p>
            <w:pPr>
              <w:pStyle w:val="TableParagraph"/>
              <w:spacing w:line="276" w:lineRule="exact"/>
              <w:jc w:val="center"/>
              <w:rPr>
                <w:b/>
                <w:sz w:val="24"/>
              </w:rPr>
            </w:pPr>
            <w:r>
              <w:rPr>
                <w:b/>
                <w:spacing w:val="-10"/>
                <w:sz w:val="24"/>
              </w:rPr>
              <w:t>6</w:t>
            </w:r>
          </w:p>
        </w:tc>
        <w:tc>
          <w:tcPr>
            <w:tcW w:w="2083" w:type="dxa"/>
          </w:tcPr>
          <w:p>
            <w:pPr>
              <w:pStyle w:val="TableParagraph"/>
              <w:spacing w:line="271" w:lineRule="exact"/>
              <w:ind w:left="108"/>
              <w:rPr>
                <w:sz w:val="24"/>
              </w:rPr>
            </w:pPr>
            <w:r>
              <w:rPr>
                <w:spacing w:val="-2"/>
                <w:sz w:val="24"/>
              </w:rPr>
              <w:t>Maitumbi</w:t>
            </w:r>
          </w:p>
        </w:tc>
        <w:tc>
          <w:tcPr>
            <w:tcW w:w="2517" w:type="dxa"/>
          </w:tcPr>
          <w:p>
            <w:pPr>
              <w:pStyle w:val="TableParagraph"/>
              <w:spacing w:line="271" w:lineRule="exact"/>
              <w:ind w:left="108"/>
              <w:rPr>
                <w:sz w:val="24"/>
              </w:rPr>
            </w:pPr>
            <w:r>
              <w:rPr>
                <w:sz w:val="24"/>
              </w:rPr>
              <w:t>Partially</w:t>
            </w:r>
            <w:r>
              <w:rPr>
                <w:spacing w:val="28"/>
                <w:sz w:val="24"/>
              </w:rPr>
              <w:t> </w:t>
            </w:r>
            <w:r>
              <w:rPr>
                <w:sz w:val="24"/>
              </w:rPr>
              <w:t>outside</w:t>
            </w:r>
            <w:r>
              <w:rPr>
                <w:spacing w:val="38"/>
                <w:sz w:val="24"/>
              </w:rPr>
              <w:t> </w:t>
            </w:r>
            <w:r>
              <w:rPr>
                <w:spacing w:val="-2"/>
                <w:sz w:val="24"/>
              </w:rPr>
              <w:t>public</w:t>
            </w:r>
          </w:p>
          <w:p>
            <w:pPr>
              <w:pStyle w:val="TableParagraph"/>
              <w:spacing w:line="261" w:lineRule="exact"/>
              <w:ind w:left="108"/>
              <w:rPr>
                <w:sz w:val="24"/>
              </w:rPr>
            </w:pPr>
            <w:r>
              <w:rPr>
                <w:sz w:val="24"/>
              </w:rPr>
              <w:t>water</w:t>
            </w:r>
            <w:r>
              <w:rPr>
                <w:spacing w:val="-4"/>
                <w:sz w:val="24"/>
              </w:rPr>
              <w:t> </w:t>
            </w:r>
            <w:r>
              <w:rPr>
                <w:spacing w:val="-2"/>
                <w:sz w:val="24"/>
              </w:rPr>
              <w:t>mains</w:t>
            </w:r>
          </w:p>
        </w:tc>
        <w:tc>
          <w:tcPr>
            <w:tcW w:w="2374" w:type="dxa"/>
          </w:tcPr>
          <w:p>
            <w:pPr>
              <w:pStyle w:val="TableParagraph"/>
              <w:spacing w:line="271" w:lineRule="exact"/>
              <w:ind w:right="1"/>
              <w:jc w:val="center"/>
              <w:rPr>
                <w:sz w:val="24"/>
              </w:rPr>
            </w:pPr>
            <w:r>
              <w:rPr>
                <w:spacing w:val="-4"/>
                <w:sz w:val="24"/>
              </w:rPr>
              <w:t>38.2</w:t>
            </w:r>
          </w:p>
        </w:tc>
        <w:tc>
          <w:tcPr>
            <w:tcW w:w="779" w:type="dxa"/>
          </w:tcPr>
          <w:p>
            <w:pPr>
              <w:pStyle w:val="TableParagraph"/>
              <w:spacing w:line="271" w:lineRule="exact"/>
              <w:ind w:left="2"/>
              <w:jc w:val="center"/>
              <w:rPr>
                <w:sz w:val="24"/>
              </w:rPr>
            </w:pPr>
            <w:r>
              <w:rPr>
                <w:spacing w:val="-10"/>
                <w:sz w:val="24"/>
              </w:rPr>
              <w:t>6</w:t>
            </w:r>
          </w:p>
        </w:tc>
        <w:tc>
          <w:tcPr>
            <w:tcW w:w="1737" w:type="dxa"/>
          </w:tcPr>
          <w:p>
            <w:pPr>
              <w:pStyle w:val="TableParagraph"/>
              <w:spacing w:line="271" w:lineRule="exact"/>
              <w:ind w:left="2" w:right="135"/>
              <w:jc w:val="center"/>
              <w:rPr>
                <w:sz w:val="24"/>
              </w:rPr>
            </w:pPr>
            <w:r>
              <w:rPr>
                <w:spacing w:val="-4"/>
                <w:sz w:val="24"/>
              </w:rPr>
              <w:t>Poor</w:t>
            </w:r>
          </w:p>
        </w:tc>
        <w:tc>
          <w:tcPr>
            <w:tcW w:w="2365" w:type="dxa"/>
          </w:tcPr>
          <w:p>
            <w:pPr>
              <w:pStyle w:val="TableParagraph"/>
              <w:spacing w:line="271" w:lineRule="exact"/>
              <w:ind w:left="320"/>
              <w:rPr>
                <w:sz w:val="24"/>
              </w:rPr>
            </w:pPr>
            <w:r>
              <w:rPr>
                <w:sz w:val="24"/>
              </w:rPr>
              <w:t>1st</w:t>
            </w:r>
            <w:r>
              <w:rPr>
                <w:spacing w:val="-1"/>
                <w:sz w:val="24"/>
              </w:rPr>
              <w:t> </w:t>
            </w:r>
            <w:r>
              <w:rPr>
                <w:sz w:val="24"/>
              </w:rPr>
              <w:t>level</w:t>
            </w:r>
            <w:r>
              <w:rPr>
                <w:spacing w:val="-1"/>
                <w:sz w:val="24"/>
              </w:rPr>
              <w:t> </w:t>
            </w:r>
            <w:r>
              <w:rPr>
                <w:spacing w:val="-2"/>
                <w:sz w:val="24"/>
              </w:rPr>
              <w:t>priority</w:t>
            </w:r>
          </w:p>
        </w:tc>
      </w:tr>
      <w:tr>
        <w:trPr>
          <w:trHeight w:val="552" w:hRule="atLeast"/>
        </w:trPr>
        <w:tc>
          <w:tcPr>
            <w:tcW w:w="590" w:type="dxa"/>
          </w:tcPr>
          <w:p>
            <w:pPr>
              <w:pStyle w:val="TableParagraph"/>
              <w:spacing w:line="276" w:lineRule="exact"/>
              <w:jc w:val="center"/>
              <w:rPr>
                <w:b/>
                <w:sz w:val="24"/>
              </w:rPr>
            </w:pPr>
            <w:r>
              <w:rPr>
                <w:b/>
                <w:spacing w:val="-10"/>
                <w:sz w:val="24"/>
              </w:rPr>
              <w:t>7</w:t>
            </w:r>
          </w:p>
        </w:tc>
        <w:tc>
          <w:tcPr>
            <w:tcW w:w="2083" w:type="dxa"/>
          </w:tcPr>
          <w:p>
            <w:pPr>
              <w:pStyle w:val="TableParagraph"/>
              <w:spacing w:line="271" w:lineRule="exact"/>
              <w:ind w:left="108"/>
              <w:rPr>
                <w:sz w:val="24"/>
              </w:rPr>
            </w:pPr>
            <w:r>
              <w:rPr>
                <w:spacing w:val="-2"/>
                <w:sz w:val="24"/>
              </w:rPr>
              <w:t>Kpakungu</w:t>
            </w:r>
          </w:p>
        </w:tc>
        <w:tc>
          <w:tcPr>
            <w:tcW w:w="2517" w:type="dxa"/>
          </w:tcPr>
          <w:p>
            <w:pPr>
              <w:pStyle w:val="TableParagraph"/>
              <w:spacing w:line="271" w:lineRule="exact"/>
              <w:ind w:left="108"/>
              <w:rPr>
                <w:sz w:val="24"/>
              </w:rPr>
            </w:pPr>
            <w:r>
              <w:rPr>
                <w:sz w:val="24"/>
              </w:rPr>
              <w:t>Partially</w:t>
            </w:r>
            <w:r>
              <w:rPr>
                <w:spacing w:val="28"/>
                <w:sz w:val="24"/>
              </w:rPr>
              <w:t> </w:t>
            </w:r>
            <w:r>
              <w:rPr>
                <w:sz w:val="24"/>
              </w:rPr>
              <w:t>outside</w:t>
            </w:r>
            <w:r>
              <w:rPr>
                <w:spacing w:val="38"/>
                <w:sz w:val="24"/>
              </w:rPr>
              <w:t> </w:t>
            </w:r>
            <w:r>
              <w:rPr>
                <w:spacing w:val="-2"/>
                <w:sz w:val="24"/>
              </w:rPr>
              <w:t>public</w:t>
            </w:r>
          </w:p>
          <w:p>
            <w:pPr>
              <w:pStyle w:val="TableParagraph"/>
              <w:spacing w:line="261" w:lineRule="exact"/>
              <w:ind w:left="108"/>
              <w:rPr>
                <w:sz w:val="24"/>
              </w:rPr>
            </w:pPr>
            <w:r>
              <w:rPr>
                <w:sz w:val="24"/>
              </w:rPr>
              <w:t>water</w:t>
            </w:r>
            <w:r>
              <w:rPr>
                <w:spacing w:val="-4"/>
                <w:sz w:val="24"/>
              </w:rPr>
              <w:t> </w:t>
            </w:r>
            <w:r>
              <w:rPr>
                <w:spacing w:val="-2"/>
                <w:sz w:val="24"/>
              </w:rPr>
              <w:t>mains</w:t>
            </w:r>
          </w:p>
        </w:tc>
        <w:tc>
          <w:tcPr>
            <w:tcW w:w="2374" w:type="dxa"/>
          </w:tcPr>
          <w:p>
            <w:pPr>
              <w:pStyle w:val="TableParagraph"/>
              <w:spacing w:line="271" w:lineRule="exact"/>
              <w:ind w:right="1"/>
              <w:jc w:val="center"/>
              <w:rPr>
                <w:sz w:val="24"/>
              </w:rPr>
            </w:pPr>
            <w:r>
              <w:rPr>
                <w:spacing w:val="-4"/>
                <w:sz w:val="24"/>
              </w:rPr>
              <w:t>37.2</w:t>
            </w:r>
          </w:p>
        </w:tc>
        <w:tc>
          <w:tcPr>
            <w:tcW w:w="779" w:type="dxa"/>
          </w:tcPr>
          <w:p>
            <w:pPr>
              <w:pStyle w:val="TableParagraph"/>
              <w:spacing w:line="271" w:lineRule="exact"/>
              <w:ind w:left="2"/>
              <w:jc w:val="center"/>
              <w:rPr>
                <w:sz w:val="24"/>
              </w:rPr>
            </w:pPr>
            <w:r>
              <w:rPr>
                <w:spacing w:val="-10"/>
                <w:sz w:val="24"/>
              </w:rPr>
              <w:t>7</w:t>
            </w:r>
          </w:p>
        </w:tc>
        <w:tc>
          <w:tcPr>
            <w:tcW w:w="1737" w:type="dxa"/>
          </w:tcPr>
          <w:p>
            <w:pPr>
              <w:pStyle w:val="TableParagraph"/>
              <w:spacing w:line="271" w:lineRule="exact"/>
              <w:ind w:left="2" w:right="135"/>
              <w:jc w:val="center"/>
              <w:rPr>
                <w:sz w:val="24"/>
              </w:rPr>
            </w:pPr>
            <w:r>
              <w:rPr>
                <w:spacing w:val="-4"/>
                <w:sz w:val="24"/>
              </w:rPr>
              <w:t>Poor</w:t>
            </w:r>
          </w:p>
        </w:tc>
        <w:tc>
          <w:tcPr>
            <w:tcW w:w="2365" w:type="dxa"/>
          </w:tcPr>
          <w:p>
            <w:pPr>
              <w:pStyle w:val="TableParagraph"/>
              <w:spacing w:line="271" w:lineRule="exact"/>
              <w:ind w:left="320"/>
              <w:rPr>
                <w:sz w:val="24"/>
              </w:rPr>
            </w:pPr>
            <w:r>
              <w:rPr>
                <w:sz w:val="24"/>
              </w:rPr>
              <w:t>1st</w:t>
            </w:r>
            <w:r>
              <w:rPr>
                <w:spacing w:val="-1"/>
                <w:sz w:val="24"/>
              </w:rPr>
              <w:t> </w:t>
            </w:r>
            <w:r>
              <w:rPr>
                <w:sz w:val="24"/>
              </w:rPr>
              <w:t>level</w:t>
            </w:r>
            <w:r>
              <w:rPr>
                <w:spacing w:val="-1"/>
                <w:sz w:val="24"/>
              </w:rPr>
              <w:t> </w:t>
            </w:r>
            <w:r>
              <w:rPr>
                <w:spacing w:val="-2"/>
                <w:sz w:val="24"/>
              </w:rPr>
              <w:t>priority</w:t>
            </w:r>
          </w:p>
        </w:tc>
      </w:tr>
      <w:tr>
        <w:trPr>
          <w:trHeight w:val="546" w:hRule="atLeast"/>
        </w:trPr>
        <w:tc>
          <w:tcPr>
            <w:tcW w:w="590" w:type="dxa"/>
          </w:tcPr>
          <w:p>
            <w:pPr>
              <w:pStyle w:val="TableParagraph"/>
              <w:spacing w:line="276" w:lineRule="exact"/>
              <w:jc w:val="center"/>
              <w:rPr>
                <w:b/>
                <w:sz w:val="24"/>
              </w:rPr>
            </w:pPr>
            <w:r>
              <w:rPr>
                <w:b/>
                <w:spacing w:val="-10"/>
                <w:sz w:val="24"/>
              </w:rPr>
              <w:t>8</w:t>
            </w:r>
          </w:p>
        </w:tc>
        <w:tc>
          <w:tcPr>
            <w:tcW w:w="2083" w:type="dxa"/>
          </w:tcPr>
          <w:p>
            <w:pPr>
              <w:pStyle w:val="TableParagraph"/>
              <w:spacing w:line="271" w:lineRule="exact"/>
              <w:ind w:left="108"/>
              <w:rPr>
                <w:sz w:val="24"/>
              </w:rPr>
            </w:pPr>
            <w:r>
              <w:rPr>
                <w:spacing w:val="-2"/>
                <w:sz w:val="24"/>
              </w:rPr>
              <w:t>F-Layout</w:t>
            </w:r>
          </w:p>
        </w:tc>
        <w:tc>
          <w:tcPr>
            <w:tcW w:w="2517" w:type="dxa"/>
          </w:tcPr>
          <w:p>
            <w:pPr>
              <w:pStyle w:val="TableParagraph"/>
              <w:tabs>
                <w:tab w:pos="1026" w:val="left" w:leader="none"/>
                <w:tab w:pos="1878" w:val="left" w:leader="none"/>
              </w:tabs>
              <w:spacing w:line="271" w:lineRule="exact"/>
              <w:ind w:left="108"/>
              <w:rPr>
                <w:sz w:val="24"/>
              </w:rPr>
            </w:pPr>
            <w:r>
              <w:rPr>
                <w:spacing w:val="-2"/>
                <w:sz w:val="24"/>
              </w:rPr>
              <w:t>Within</w:t>
            </w:r>
            <w:r>
              <w:rPr>
                <w:sz w:val="24"/>
              </w:rPr>
              <w:tab/>
            </w:r>
            <w:r>
              <w:rPr>
                <w:spacing w:val="-2"/>
                <w:sz w:val="24"/>
              </w:rPr>
              <w:t>public</w:t>
            </w:r>
            <w:r>
              <w:rPr>
                <w:sz w:val="24"/>
              </w:rPr>
              <w:tab/>
            </w:r>
            <w:r>
              <w:rPr>
                <w:spacing w:val="-4"/>
                <w:sz w:val="24"/>
              </w:rPr>
              <w:t>water</w:t>
            </w:r>
          </w:p>
          <w:p>
            <w:pPr>
              <w:pStyle w:val="TableParagraph"/>
              <w:tabs>
                <w:tab w:pos="9770" w:val="left" w:leader="none"/>
              </w:tabs>
              <w:spacing w:line="256" w:lineRule="exact"/>
              <w:ind w:left="-2688" w:right="-7258"/>
              <w:rPr>
                <w:sz w:val="24"/>
              </w:rPr>
            </w:pPr>
            <w:r>
              <w:rPr>
                <w:spacing w:val="74"/>
                <w:w w:val="150"/>
                <w:sz w:val="24"/>
                <w:u w:val="single"/>
              </w:rPr>
              <w:t>                 </w:t>
            </w:r>
            <w:r>
              <w:rPr>
                <w:spacing w:val="-2"/>
                <w:sz w:val="24"/>
                <w:u w:val="single"/>
              </w:rPr>
              <w:t>mains</w:t>
            </w:r>
            <w:r>
              <w:rPr>
                <w:sz w:val="24"/>
                <w:u w:val="single"/>
              </w:rPr>
              <w:tab/>
            </w:r>
          </w:p>
        </w:tc>
        <w:tc>
          <w:tcPr>
            <w:tcW w:w="2374" w:type="dxa"/>
          </w:tcPr>
          <w:p>
            <w:pPr>
              <w:pStyle w:val="TableParagraph"/>
              <w:spacing w:line="271" w:lineRule="exact"/>
              <w:ind w:right="1"/>
              <w:jc w:val="center"/>
              <w:rPr>
                <w:sz w:val="24"/>
              </w:rPr>
            </w:pPr>
            <w:r>
              <w:rPr>
                <w:spacing w:val="-4"/>
                <w:sz w:val="24"/>
              </w:rPr>
              <w:t>32.7</w:t>
            </w:r>
          </w:p>
        </w:tc>
        <w:tc>
          <w:tcPr>
            <w:tcW w:w="779" w:type="dxa"/>
          </w:tcPr>
          <w:p>
            <w:pPr>
              <w:pStyle w:val="TableParagraph"/>
              <w:spacing w:line="271" w:lineRule="exact"/>
              <w:ind w:left="2"/>
              <w:jc w:val="center"/>
              <w:rPr>
                <w:sz w:val="24"/>
              </w:rPr>
            </w:pPr>
            <w:r>
              <w:rPr>
                <w:spacing w:val="-10"/>
                <w:sz w:val="24"/>
              </w:rPr>
              <w:t>8</w:t>
            </w:r>
          </w:p>
        </w:tc>
        <w:tc>
          <w:tcPr>
            <w:tcW w:w="1737" w:type="dxa"/>
          </w:tcPr>
          <w:p>
            <w:pPr>
              <w:pStyle w:val="TableParagraph"/>
              <w:spacing w:line="271" w:lineRule="exact"/>
              <w:ind w:left="2" w:right="135"/>
              <w:jc w:val="center"/>
              <w:rPr>
                <w:sz w:val="24"/>
              </w:rPr>
            </w:pPr>
            <w:r>
              <w:rPr>
                <w:spacing w:val="-4"/>
                <w:sz w:val="24"/>
              </w:rPr>
              <w:t>Poor</w:t>
            </w:r>
          </w:p>
        </w:tc>
        <w:tc>
          <w:tcPr>
            <w:tcW w:w="2365" w:type="dxa"/>
          </w:tcPr>
          <w:p>
            <w:pPr>
              <w:pStyle w:val="TableParagraph"/>
              <w:spacing w:line="271" w:lineRule="exact"/>
              <w:ind w:left="320"/>
              <w:rPr>
                <w:sz w:val="24"/>
              </w:rPr>
            </w:pPr>
            <w:r>
              <w:rPr>
                <w:sz w:val="24"/>
              </w:rPr>
              <w:t>1st</w:t>
            </w:r>
            <w:r>
              <w:rPr>
                <w:spacing w:val="-1"/>
                <w:sz w:val="24"/>
              </w:rPr>
              <w:t> </w:t>
            </w:r>
            <w:r>
              <w:rPr>
                <w:sz w:val="24"/>
              </w:rPr>
              <w:t>level</w:t>
            </w:r>
            <w:r>
              <w:rPr>
                <w:spacing w:val="-1"/>
                <w:sz w:val="24"/>
              </w:rPr>
              <w:t> </w:t>
            </w:r>
            <w:r>
              <w:rPr>
                <w:spacing w:val="-2"/>
                <w:sz w:val="24"/>
              </w:rPr>
              <w:t>priority</w:t>
            </w:r>
          </w:p>
        </w:tc>
      </w:tr>
    </w:tbl>
    <w:p>
      <w:pPr>
        <w:spacing w:after="0" w:line="271" w:lineRule="exact"/>
        <w:rPr>
          <w:sz w:val="24"/>
        </w:rPr>
        <w:sectPr>
          <w:footerReference w:type="default" r:id="rId41"/>
          <w:pgSz w:w="15840" w:h="12240" w:orient="landscape"/>
          <w:pgMar w:header="0" w:footer="1068" w:top="1340" w:bottom="1260" w:left="1880" w:right="1300"/>
        </w:sectPr>
      </w:pPr>
    </w:p>
    <w:p>
      <w:pPr>
        <w:pStyle w:val="BodyText"/>
        <w:spacing w:line="480" w:lineRule="auto" w:before="63"/>
        <w:ind w:left="267" w:right="105"/>
      </w:pPr>
      <w:r>
        <w:rPr/>
        <w:t>Figure</w:t>
      </w:r>
      <w:r>
        <w:rPr>
          <w:spacing w:val="-6"/>
        </w:rPr>
        <w:t> </w:t>
      </w:r>
      <w:r>
        <w:rPr/>
        <w:t>4.14</w:t>
      </w:r>
      <w:r>
        <w:rPr>
          <w:spacing w:val="-5"/>
        </w:rPr>
        <w:t> </w:t>
      </w:r>
      <w:r>
        <w:rPr/>
        <w:t>illustrates</w:t>
      </w:r>
      <w:r>
        <w:rPr>
          <w:spacing w:val="-5"/>
        </w:rPr>
        <w:t> </w:t>
      </w:r>
      <w:r>
        <w:rPr/>
        <w:t>the</w:t>
      </w:r>
      <w:r>
        <w:rPr>
          <w:spacing w:val="-5"/>
        </w:rPr>
        <w:t> </w:t>
      </w:r>
      <w:r>
        <w:rPr/>
        <w:t>spatial</w:t>
      </w:r>
      <w:r>
        <w:rPr>
          <w:spacing w:val="-5"/>
        </w:rPr>
        <w:t> </w:t>
      </w:r>
      <w:r>
        <w:rPr/>
        <w:t>variation</w:t>
      </w:r>
      <w:r>
        <w:rPr>
          <w:spacing w:val="-5"/>
        </w:rPr>
        <w:t> </w:t>
      </w:r>
      <w:r>
        <w:rPr/>
        <w:t>in</w:t>
      </w:r>
      <w:r>
        <w:rPr>
          <w:spacing w:val="-5"/>
        </w:rPr>
        <w:t> </w:t>
      </w:r>
      <w:r>
        <w:rPr/>
        <w:t>access</w:t>
      </w:r>
      <w:r>
        <w:rPr>
          <w:spacing w:val="-5"/>
        </w:rPr>
        <w:t> </w:t>
      </w:r>
      <w:r>
        <w:rPr/>
        <w:t>to</w:t>
      </w:r>
      <w:r>
        <w:rPr>
          <w:spacing w:val="-5"/>
        </w:rPr>
        <w:t> </w:t>
      </w:r>
      <w:r>
        <w:rPr/>
        <w:t>clean</w:t>
      </w:r>
      <w:r>
        <w:rPr>
          <w:spacing w:val="-5"/>
        </w:rPr>
        <w:t> </w:t>
      </w:r>
      <w:r>
        <w:rPr/>
        <w:t>water</w:t>
      </w:r>
      <w:r>
        <w:rPr>
          <w:spacing w:val="-6"/>
        </w:rPr>
        <w:t> </w:t>
      </w:r>
      <w:r>
        <w:rPr/>
        <w:t>in</w:t>
      </w:r>
      <w:r>
        <w:rPr>
          <w:spacing w:val="-5"/>
        </w:rPr>
        <w:t> </w:t>
      </w:r>
      <w:r>
        <w:rPr/>
        <w:t>the</w:t>
      </w:r>
      <w:r>
        <w:rPr>
          <w:spacing w:val="-5"/>
        </w:rPr>
        <w:t> </w:t>
      </w:r>
      <w:r>
        <w:rPr/>
        <w:t>study</w:t>
      </w:r>
      <w:r>
        <w:rPr>
          <w:spacing w:val="-10"/>
        </w:rPr>
        <w:t> </w:t>
      </w:r>
      <w:r>
        <w:rPr/>
        <w:t>area.</w:t>
      </w:r>
      <w:r>
        <w:rPr>
          <w:spacing w:val="-5"/>
        </w:rPr>
        <w:t> </w:t>
      </w:r>
      <w:r>
        <w:rPr/>
        <w:t>As</w:t>
      </w:r>
      <w:r>
        <w:rPr>
          <w:spacing w:val="-5"/>
        </w:rPr>
        <w:t> </w:t>
      </w:r>
      <w:r>
        <w:rPr/>
        <w:t>seen from</w:t>
      </w:r>
      <w:r>
        <w:rPr>
          <w:spacing w:val="23"/>
        </w:rPr>
        <w:t> </w:t>
      </w:r>
      <w:r>
        <w:rPr/>
        <w:t>the</w:t>
      </w:r>
      <w:r>
        <w:rPr>
          <w:spacing w:val="22"/>
        </w:rPr>
        <w:t> </w:t>
      </w:r>
      <w:r>
        <w:rPr/>
        <w:t>map,</w:t>
      </w:r>
      <w:r>
        <w:rPr>
          <w:spacing w:val="22"/>
        </w:rPr>
        <w:t> </w:t>
      </w:r>
      <w:r>
        <w:rPr/>
        <w:t>evidence</w:t>
      </w:r>
      <w:r>
        <w:rPr>
          <w:spacing w:val="24"/>
        </w:rPr>
        <w:t> </w:t>
      </w:r>
      <w:r>
        <w:rPr/>
        <w:t>of</w:t>
      </w:r>
      <w:r>
        <w:rPr>
          <w:spacing w:val="22"/>
        </w:rPr>
        <w:t> </w:t>
      </w:r>
      <w:r>
        <w:rPr/>
        <w:t>uneven</w:t>
      </w:r>
      <w:r>
        <w:rPr>
          <w:spacing w:val="23"/>
        </w:rPr>
        <w:t> </w:t>
      </w:r>
      <w:r>
        <w:rPr/>
        <w:t>distribution</w:t>
      </w:r>
      <w:r>
        <w:rPr>
          <w:spacing w:val="23"/>
        </w:rPr>
        <w:t> </w:t>
      </w:r>
      <w:r>
        <w:rPr/>
        <w:t>of</w:t>
      </w:r>
      <w:r>
        <w:rPr>
          <w:spacing w:val="22"/>
        </w:rPr>
        <w:t> </w:t>
      </w:r>
      <w:r>
        <w:rPr/>
        <w:t>access</w:t>
      </w:r>
      <w:r>
        <w:rPr>
          <w:spacing w:val="23"/>
        </w:rPr>
        <w:t> </w:t>
      </w:r>
      <w:r>
        <w:rPr/>
        <w:t>to</w:t>
      </w:r>
      <w:r>
        <w:rPr>
          <w:spacing w:val="23"/>
        </w:rPr>
        <w:t> </w:t>
      </w:r>
      <w:r>
        <w:rPr/>
        <w:t>water</w:t>
      </w:r>
      <w:r>
        <w:rPr>
          <w:spacing w:val="26"/>
        </w:rPr>
        <w:t> </w:t>
      </w:r>
      <w:r>
        <w:rPr/>
        <w:t>also</w:t>
      </w:r>
      <w:r>
        <w:rPr>
          <w:spacing w:val="23"/>
        </w:rPr>
        <w:t> </w:t>
      </w:r>
      <w:r>
        <w:rPr/>
        <w:t>manifest</w:t>
      </w:r>
      <w:r>
        <w:rPr>
          <w:spacing w:val="23"/>
        </w:rPr>
        <w:t> </w:t>
      </w:r>
      <w:r>
        <w:rPr/>
        <w:t>in</w:t>
      </w:r>
      <w:r>
        <w:rPr>
          <w:spacing w:val="23"/>
        </w:rPr>
        <w:t> </w:t>
      </w:r>
      <w:r>
        <w:rPr/>
        <w:t>spatial term. This uneven access is noticeable between neighbourhoods within the coverage of the public</w:t>
      </w:r>
      <w:r>
        <w:rPr>
          <w:spacing w:val="-3"/>
        </w:rPr>
        <w:t> </w:t>
      </w:r>
      <w:r>
        <w:rPr/>
        <w:t>water</w:t>
      </w:r>
      <w:r>
        <w:rPr>
          <w:spacing w:val="-4"/>
        </w:rPr>
        <w:t> </w:t>
      </w:r>
      <w:r>
        <w:rPr/>
        <w:t>mains</w:t>
      </w:r>
      <w:r>
        <w:rPr>
          <w:spacing w:val="-2"/>
        </w:rPr>
        <w:t> </w:t>
      </w:r>
      <w:r>
        <w:rPr/>
        <w:t>and</w:t>
      </w:r>
      <w:r>
        <w:rPr>
          <w:spacing w:val="-2"/>
        </w:rPr>
        <w:t> </w:t>
      </w:r>
      <w:r>
        <w:rPr/>
        <w:t>those</w:t>
      </w:r>
      <w:r>
        <w:rPr>
          <w:spacing w:val="-3"/>
        </w:rPr>
        <w:t> </w:t>
      </w:r>
      <w:r>
        <w:rPr/>
        <w:t>partly</w:t>
      </w:r>
      <w:r>
        <w:rPr>
          <w:spacing w:val="-7"/>
        </w:rPr>
        <w:t> </w:t>
      </w:r>
      <w:r>
        <w:rPr/>
        <w:t>outside</w:t>
      </w:r>
      <w:r>
        <w:rPr>
          <w:spacing w:val="-3"/>
        </w:rPr>
        <w:t> </w:t>
      </w:r>
      <w:r>
        <w:rPr/>
        <w:t>the</w:t>
      </w:r>
      <w:r>
        <w:rPr>
          <w:spacing w:val="-2"/>
        </w:rPr>
        <w:t> </w:t>
      </w:r>
      <w:r>
        <w:rPr/>
        <w:t>public</w:t>
      </w:r>
      <w:r>
        <w:rPr>
          <w:spacing w:val="-3"/>
        </w:rPr>
        <w:t> </w:t>
      </w:r>
      <w:r>
        <w:rPr/>
        <w:t>water</w:t>
      </w:r>
      <w:r>
        <w:rPr>
          <w:spacing w:val="-4"/>
        </w:rPr>
        <w:t> </w:t>
      </w:r>
      <w:r>
        <w:rPr/>
        <w:t>mains.</w:t>
      </w:r>
      <w:r>
        <w:rPr>
          <w:spacing w:val="-2"/>
        </w:rPr>
        <w:t> </w:t>
      </w:r>
      <w:r>
        <w:rPr/>
        <w:t>For</w:t>
      </w:r>
      <w:r>
        <w:rPr>
          <w:spacing w:val="-2"/>
        </w:rPr>
        <w:t> </w:t>
      </w:r>
      <w:r>
        <w:rPr/>
        <w:t>instance,</w:t>
      </w:r>
      <w:r>
        <w:rPr>
          <w:spacing w:val="-2"/>
        </w:rPr>
        <w:t> </w:t>
      </w:r>
      <w:r>
        <w:rPr/>
        <w:t>apart</w:t>
      </w:r>
      <w:r>
        <w:rPr>
          <w:spacing w:val="-2"/>
        </w:rPr>
        <w:t> </w:t>
      </w:r>
      <w:r>
        <w:rPr/>
        <w:t>from F-Layout,</w:t>
      </w:r>
      <w:r>
        <w:rPr>
          <w:spacing w:val="37"/>
        </w:rPr>
        <w:t> </w:t>
      </w:r>
      <w:r>
        <w:rPr/>
        <w:t>the</w:t>
      </w:r>
      <w:r>
        <w:rPr>
          <w:spacing w:val="36"/>
        </w:rPr>
        <w:t> </w:t>
      </w:r>
      <w:r>
        <w:rPr/>
        <w:t>three</w:t>
      </w:r>
      <w:r>
        <w:rPr>
          <w:spacing w:val="35"/>
        </w:rPr>
        <w:t> </w:t>
      </w:r>
      <w:r>
        <w:rPr/>
        <w:t>(3)</w:t>
      </w:r>
      <w:r>
        <w:rPr>
          <w:spacing w:val="35"/>
        </w:rPr>
        <w:t> </w:t>
      </w:r>
      <w:r>
        <w:rPr/>
        <w:t>neighbourhoods</w:t>
      </w:r>
      <w:r>
        <w:rPr>
          <w:spacing w:val="36"/>
        </w:rPr>
        <w:t> </w:t>
      </w:r>
      <w:r>
        <w:rPr/>
        <w:t>of</w:t>
      </w:r>
      <w:r>
        <w:rPr>
          <w:spacing w:val="35"/>
        </w:rPr>
        <w:t> </w:t>
      </w:r>
      <w:r>
        <w:rPr/>
        <w:t>Dutsenkura,</w:t>
      </w:r>
      <w:r>
        <w:rPr>
          <w:spacing w:val="36"/>
        </w:rPr>
        <w:t> </w:t>
      </w:r>
      <w:r>
        <w:rPr/>
        <w:t>Minna-Central</w:t>
      </w:r>
      <w:r>
        <w:rPr>
          <w:spacing w:val="37"/>
        </w:rPr>
        <w:t> </w:t>
      </w:r>
      <w:r>
        <w:rPr/>
        <w:t>and</w:t>
      </w:r>
      <w:r>
        <w:rPr>
          <w:spacing w:val="36"/>
        </w:rPr>
        <w:t> </w:t>
      </w:r>
      <w:r>
        <w:rPr/>
        <w:t>Tudun-Wada South</w:t>
      </w:r>
      <w:r>
        <w:rPr>
          <w:spacing w:val="-3"/>
        </w:rPr>
        <w:t> </w:t>
      </w:r>
      <w:r>
        <w:rPr/>
        <w:t>which</w:t>
      </w:r>
      <w:r>
        <w:rPr>
          <w:spacing w:val="-3"/>
        </w:rPr>
        <w:t> </w:t>
      </w:r>
      <w:r>
        <w:rPr/>
        <w:t>are</w:t>
      </w:r>
      <w:r>
        <w:rPr>
          <w:spacing w:val="-5"/>
        </w:rPr>
        <w:t> </w:t>
      </w:r>
      <w:r>
        <w:rPr/>
        <w:t>within</w:t>
      </w:r>
      <w:r>
        <w:rPr>
          <w:spacing w:val="-3"/>
        </w:rPr>
        <w:t> </w:t>
      </w:r>
      <w:r>
        <w:rPr/>
        <w:t>the</w:t>
      </w:r>
      <w:r>
        <w:rPr>
          <w:spacing w:val="-4"/>
        </w:rPr>
        <w:t> </w:t>
      </w:r>
      <w:r>
        <w:rPr/>
        <w:t>coverage</w:t>
      </w:r>
      <w:r>
        <w:rPr>
          <w:spacing w:val="-3"/>
        </w:rPr>
        <w:t> </w:t>
      </w:r>
      <w:r>
        <w:rPr/>
        <w:t>of</w:t>
      </w:r>
      <w:r>
        <w:rPr>
          <w:spacing w:val="-4"/>
        </w:rPr>
        <w:t> </w:t>
      </w:r>
      <w:r>
        <w:rPr/>
        <w:t>public</w:t>
      </w:r>
      <w:r>
        <w:rPr>
          <w:spacing w:val="-4"/>
        </w:rPr>
        <w:t> </w:t>
      </w:r>
      <w:r>
        <w:rPr/>
        <w:t>water</w:t>
      </w:r>
      <w:r>
        <w:rPr>
          <w:spacing w:val="-5"/>
        </w:rPr>
        <w:t> </w:t>
      </w:r>
      <w:r>
        <w:rPr/>
        <w:t>mains</w:t>
      </w:r>
      <w:r>
        <w:rPr>
          <w:spacing w:val="-3"/>
        </w:rPr>
        <w:t> </w:t>
      </w:r>
      <w:r>
        <w:rPr/>
        <w:t>exhibited</w:t>
      </w:r>
      <w:r>
        <w:rPr>
          <w:spacing w:val="-3"/>
        </w:rPr>
        <w:t> </w:t>
      </w:r>
      <w:r>
        <w:rPr/>
        <w:t>a</w:t>
      </w:r>
      <w:r>
        <w:rPr>
          <w:spacing w:val="-5"/>
        </w:rPr>
        <w:t> </w:t>
      </w:r>
      <w:r>
        <w:rPr/>
        <w:t>fair</w:t>
      </w:r>
      <w:r>
        <w:rPr>
          <w:spacing w:val="-3"/>
        </w:rPr>
        <w:t> </w:t>
      </w:r>
      <w:r>
        <w:rPr/>
        <w:t>access</w:t>
      </w:r>
      <w:r>
        <w:rPr>
          <w:spacing w:val="-3"/>
        </w:rPr>
        <w:t> </w:t>
      </w:r>
      <w:r>
        <w:rPr/>
        <w:t>index.</w:t>
      </w:r>
      <w:r>
        <w:rPr>
          <w:spacing w:val="-3"/>
        </w:rPr>
        <w:t> </w:t>
      </w:r>
      <w:r>
        <w:rPr/>
        <w:t>On the</w:t>
      </w:r>
      <w:r>
        <w:rPr>
          <w:spacing w:val="38"/>
        </w:rPr>
        <w:t> </w:t>
      </w:r>
      <w:r>
        <w:rPr/>
        <w:t>other</w:t>
      </w:r>
      <w:r>
        <w:rPr>
          <w:spacing w:val="37"/>
        </w:rPr>
        <w:t> </w:t>
      </w:r>
      <w:r>
        <w:rPr/>
        <w:t>hand,</w:t>
      </w:r>
      <w:r>
        <w:rPr>
          <w:spacing w:val="38"/>
        </w:rPr>
        <w:t> </w:t>
      </w:r>
      <w:r>
        <w:rPr/>
        <w:t>all</w:t>
      </w:r>
      <w:r>
        <w:rPr>
          <w:spacing w:val="39"/>
        </w:rPr>
        <w:t> </w:t>
      </w:r>
      <w:r>
        <w:rPr/>
        <w:t>the</w:t>
      </w:r>
      <w:r>
        <w:rPr>
          <w:spacing w:val="40"/>
        </w:rPr>
        <w:t> </w:t>
      </w:r>
      <w:r>
        <w:rPr/>
        <w:t>neighbourhoods</w:t>
      </w:r>
      <w:r>
        <w:rPr>
          <w:spacing w:val="38"/>
        </w:rPr>
        <w:t> </w:t>
      </w:r>
      <w:r>
        <w:rPr/>
        <w:t>which</w:t>
      </w:r>
      <w:r>
        <w:rPr>
          <w:spacing w:val="40"/>
        </w:rPr>
        <w:t> </w:t>
      </w:r>
      <w:r>
        <w:rPr/>
        <w:t>are</w:t>
      </w:r>
      <w:r>
        <w:rPr>
          <w:spacing w:val="36"/>
        </w:rPr>
        <w:t> </w:t>
      </w:r>
      <w:r>
        <w:rPr/>
        <w:t>partly</w:t>
      </w:r>
      <w:r>
        <w:rPr>
          <w:spacing w:val="33"/>
        </w:rPr>
        <w:t> </w:t>
      </w:r>
      <w:r>
        <w:rPr/>
        <w:t>outside</w:t>
      </w:r>
      <w:r>
        <w:rPr>
          <w:spacing w:val="40"/>
        </w:rPr>
        <w:t> </w:t>
      </w:r>
      <w:r>
        <w:rPr/>
        <w:t>the</w:t>
      </w:r>
      <w:r>
        <w:rPr>
          <w:spacing w:val="38"/>
        </w:rPr>
        <w:t> </w:t>
      </w:r>
      <w:r>
        <w:rPr/>
        <w:t>public</w:t>
      </w:r>
      <w:r>
        <w:rPr>
          <w:spacing w:val="37"/>
        </w:rPr>
        <w:t> </w:t>
      </w:r>
      <w:r>
        <w:rPr/>
        <w:t>water</w:t>
      </w:r>
      <w:r>
        <w:rPr>
          <w:spacing w:val="39"/>
        </w:rPr>
        <w:t> </w:t>
      </w:r>
      <w:r>
        <w:rPr/>
        <w:t>mains (Tudun-Fulani, Maitumbi, Saukakauta and Kpakungu) have poor water accessibility</w:t>
      </w:r>
      <w:r>
        <w:rPr>
          <w:spacing w:val="-2"/>
        </w:rPr>
        <w:t> </w:t>
      </w:r>
      <w:r>
        <w:rPr/>
        <w:t>index. The</w:t>
      </w:r>
      <w:r>
        <w:rPr>
          <w:spacing w:val="15"/>
        </w:rPr>
        <w:t> </w:t>
      </w:r>
      <w:r>
        <w:rPr/>
        <w:t>spatial</w:t>
      </w:r>
      <w:r>
        <w:rPr>
          <w:spacing w:val="17"/>
        </w:rPr>
        <w:t> </w:t>
      </w:r>
      <w:r>
        <w:rPr/>
        <w:t>variation</w:t>
      </w:r>
      <w:r>
        <w:rPr>
          <w:spacing w:val="16"/>
        </w:rPr>
        <w:t> </w:t>
      </w:r>
      <w:r>
        <w:rPr/>
        <w:t>in</w:t>
      </w:r>
      <w:r>
        <w:rPr>
          <w:spacing w:val="18"/>
        </w:rPr>
        <w:t> </w:t>
      </w:r>
      <w:r>
        <w:rPr/>
        <w:t>the</w:t>
      </w:r>
      <w:r>
        <w:rPr>
          <w:spacing w:val="15"/>
        </w:rPr>
        <w:t> </w:t>
      </w:r>
      <w:r>
        <w:rPr/>
        <w:t>capacity</w:t>
      </w:r>
      <w:r>
        <w:rPr>
          <w:spacing w:val="11"/>
        </w:rPr>
        <w:t> </w:t>
      </w:r>
      <w:r>
        <w:rPr/>
        <w:t>component</w:t>
      </w:r>
      <w:r>
        <w:rPr>
          <w:spacing w:val="16"/>
        </w:rPr>
        <w:t> </w:t>
      </w:r>
      <w:r>
        <w:rPr/>
        <w:t>index</w:t>
      </w:r>
      <w:r>
        <w:rPr>
          <w:spacing w:val="19"/>
        </w:rPr>
        <w:t> </w:t>
      </w:r>
      <w:r>
        <w:rPr/>
        <w:t>in</w:t>
      </w:r>
      <w:r>
        <w:rPr>
          <w:spacing w:val="17"/>
        </w:rPr>
        <w:t> </w:t>
      </w:r>
      <w:r>
        <w:rPr/>
        <w:t>the</w:t>
      </w:r>
      <w:r>
        <w:rPr>
          <w:spacing w:val="16"/>
        </w:rPr>
        <w:t> </w:t>
      </w:r>
      <w:r>
        <w:rPr/>
        <w:t>study</w:t>
      </w:r>
      <w:r>
        <w:rPr>
          <w:spacing w:val="9"/>
        </w:rPr>
        <w:t> </w:t>
      </w:r>
      <w:r>
        <w:rPr/>
        <w:t>area</w:t>
      </w:r>
      <w:r>
        <w:rPr>
          <w:spacing w:val="16"/>
        </w:rPr>
        <w:t> </w:t>
      </w:r>
      <w:r>
        <w:rPr/>
        <w:t>is</w:t>
      </w:r>
      <w:r>
        <w:rPr>
          <w:spacing w:val="17"/>
        </w:rPr>
        <w:t> </w:t>
      </w:r>
      <w:r>
        <w:rPr/>
        <w:t>depict</w:t>
      </w:r>
      <w:r>
        <w:rPr>
          <w:spacing w:val="16"/>
        </w:rPr>
        <w:t> </w:t>
      </w:r>
      <w:r>
        <w:rPr/>
        <w:t>by</w:t>
      </w:r>
      <w:r>
        <w:rPr>
          <w:spacing w:val="15"/>
        </w:rPr>
        <w:t> </w:t>
      </w:r>
      <w:r>
        <w:rPr>
          <w:spacing w:val="-2"/>
        </w:rPr>
        <w:t>figure</w:t>
      </w:r>
    </w:p>
    <w:p>
      <w:pPr>
        <w:pStyle w:val="BodyText"/>
        <w:spacing w:line="480" w:lineRule="auto" w:before="1"/>
        <w:ind w:left="267" w:right="109"/>
        <w:jc w:val="both"/>
      </w:pPr>
      <w:r>
        <w:rPr/>
        <w:t>4.15. The map depicts that the households in all the eight (8) neigbourhoods have a fair capacity to manage water and sanitation services based on their level of education, employment, financial capacity and health status. In other words, all the eight (8) neigbourhoods</w:t>
      </w:r>
      <w:r>
        <w:rPr>
          <w:spacing w:val="-9"/>
        </w:rPr>
        <w:t> </w:t>
      </w:r>
      <w:r>
        <w:rPr/>
        <w:t>have</w:t>
      </w:r>
      <w:r>
        <w:rPr>
          <w:spacing w:val="-8"/>
        </w:rPr>
        <w:t> </w:t>
      </w:r>
      <w:r>
        <w:rPr/>
        <w:t>a</w:t>
      </w:r>
      <w:r>
        <w:rPr>
          <w:spacing w:val="-11"/>
        </w:rPr>
        <w:t> </w:t>
      </w:r>
      <w:r>
        <w:rPr/>
        <w:t>fair</w:t>
      </w:r>
      <w:r>
        <w:rPr>
          <w:spacing w:val="-10"/>
        </w:rPr>
        <w:t> </w:t>
      </w:r>
      <w:r>
        <w:rPr/>
        <w:t>capacity</w:t>
      </w:r>
      <w:r>
        <w:rPr>
          <w:spacing w:val="-14"/>
        </w:rPr>
        <w:t> </w:t>
      </w:r>
      <w:r>
        <w:rPr/>
        <w:t>to</w:t>
      </w:r>
      <w:r>
        <w:rPr>
          <w:spacing w:val="-9"/>
        </w:rPr>
        <w:t> </w:t>
      </w:r>
      <w:r>
        <w:rPr/>
        <w:t>manage</w:t>
      </w:r>
      <w:r>
        <w:rPr>
          <w:spacing w:val="-11"/>
        </w:rPr>
        <w:t> </w:t>
      </w:r>
      <w:r>
        <w:rPr/>
        <w:t>water</w:t>
      </w:r>
      <w:r>
        <w:rPr>
          <w:spacing w:val="-11"/>
        </w:rPr>
        <w:t> </w:t>
      </w:r>
      <w:r>
        <w:rPr/>
        <w:t>and</w:t>
      </w:r>
      <w:r>
        <w:rPr>
          <w:spacing w:val="-10"/>
        </w:rPr>
        <w:t> </w:t>
      </w:r>
      <w:r>
        <w:rPr/>
        <w:t>sanitation</w:t>
      </w:r>
      <w:r>
        <w:rPr>
          <w:spacing w:val="-10"/>
        </w:rPr>
        <w:t> </w:t>
      </w:r>
      <w:r>
        <w:rPr/>
        <w:t>services</w:t>
      </w:r>
      <w:r>
        <w:rPr>
          <w:spacing w:val="-7"/>
        </w:rPr>
        <w:t> </w:t>
      </w:r>
      <w:r>
        <w:rPr/>
        <w:t>in</w:t>
      </w:r>
      <w:r>
        <w:rPr>
          <w:spacing w:val="-9"/>
        </w:rPr>
        <w:t> </w:t>
      </w:r>
      <w:r>
        <w:rPr/>
        <w:t>the</w:t>
      </w:r>
      <w:r>
        <w:rPr>
          <w:spacing w:val="-10"/>
        </w:rPr>
        <w:t> </w:t>
      </w:r>
      <w:r>
        <w:rPr/>
        <w:t>study</w:t>
      </w:r>
      <w:r>
        <w:rPr>
          <w:spacing w:val="-12"/>
        </w:rPr>
        <w:t> </w:t>
      </w:r>
      <w:r>
        <w:rPr/>
        <w:t>area. Figure</w:t>
      </w:r>
      <w:r>
        <w:rPr>
          <w:spacing w:val="-15"/>
        </w:rPr>
        <w:t> </w:t>
      </w:r>
      <w:r>
        <w:rPr/>
        <w:t>4.16</w:t>
      </w:r>
      <w:r>
        <w:rPr>
          <w:spacing w:val="-12"/>
        </w:rPr>
        <w:t> </w:t>
      </w:r>
      <w:r>
        <w:rPr/>
        <w:t>shows</w:t>
      </w:r>
      <w:r>
        <w:rPr>
          <w:spacing w:val="-11"/>
        </w:rPr>
        <w:t> </w:t>
      </w:r>
      <w:r>
        <w:rPr/>
        <w:t>the</w:t>
      </w:r>
      <w:r>
        <w:rPr>
          <w:spacing w:val="-12"/>
        </w:rPr>
        <w:t> </w:t>
      </w:r>
      <w:r>
        <w:rPr/>
        <w:t>spatial</w:t>
      </w:r>
      <w:r>
        <w:rPr>
          <w:spacing w:val="-11"/>
        </w:rPr>
        <w:t> </w:t>
      </w:r>
      <w:r>
        <w:rPr/>
        <w:t>distribution</w:t>
      </w:r>
      <w:r>
        <w:rPr>
          <w:spacing w:val="-12"/>
        </w:rPr>
        <w:t> </w:t>
      </w:r>
      <w:r>
        <w:rPr/>
        <w:t>of</w:t>
      </w:r>
      <w:r>
        <w:rPr>
          <w:spacing w:val="-12"/>
        </w:rPr>
        <w:t> </w:t>
      </w:r>
      <w:r>
        <w:rPr/>
        <w:t>water</w:t>
      </w:r>
      <w:r>
        <w:rPr>
          <w:spacing w:val="-13"/>
        </w:rPr>
        <w:t> </w:t>
      </w:r>
      <w:r>
        <w:rPr/>
        <w:t>use</w:t>
      </w:r>
      <w:r>
        <w:rPr>
          <w:spacing w:val="-12"/>
        </w:rPr>
        <w:t> </w:t>
      </w:r>
      <w:r>
        <w:rPr/>
        <w:t>index</w:t>
      </w:r>
      <w:r>
        <w:rPr>
          <w:spacing w:val="-12"/>
        </w:rPr>
        <w:t> </w:t>
      </w:r>
      <w:r>
        <w:rPr/>
        <w:t>in</w:t>
      </w:r>
      <w:r>
        <w:rPr>
          <w:spacing w:val="-11"/>
        </w:rPr>
        <w:t> </w:t>
      </w:r>
      <w:r>
        <w:rPr/>
        <w:t>the</w:t>
      </w:r>
      <w:r>
        <w:rPr>
          <w:spacing w:val="-12"/>
        </w:rPr>
        <w:t> </w:t>
      </w:r>
      <w:r>
        <w:rPr/>
        <w:t>study</w:t>
      </w:r>
      <w:r>
        <w:rPr>
          <w:spacing w:val="-15"/>
        </w:rPr>
        <w:t> </w:t>
      </w:r>
      <w:r>
        <w:rPr/>
        <w:t>area.</w:t>
      </w:r>
      <w:r>
        <w:rPr>
          <w:spacing w:val="-11"/>
        </w:rPr>
        <w:t> </w:t>
      </w:r>
      <w:r>
        <w:rPr/>
        <w:t>This</w:t>
      </w:r>
      <w:r>
        <w:rPr>
          <w:spacing w:val="-11"/>
        </w:rPr>
        <w:t> </w:t>
      </w:r>
      <w:r>
        <w:rPr/>
        <w:t>illustrates that</w:t>
      </w:r>
      <w:r>
        <w:rPr>
          <w:spacing w:val="-5"/>
        </w:rPr>
        <w:t> </w:t>
      </w:r>
      <w:r>
        <w:rPr/>
        <w:t>the</w:t>
      </w:r>
      <w:r>
        <w:rPr>
          <w:spacing w:val="-5"/>
        </w:rPr>
        <w:t> </w:t>
      </w:r>
      <w:r>
        <w:rPr/>
        <w:t>use</w:t>
      </w:r>
      <w:r>
        <w:rPr>
          <w:spacing w:val="-6"/>
        </w:rPr>
        <w:t> </w:t>
      </w:r>
      <w:r>
        <w:rPr/>
        <w:t>of</w:t>
      </w:r>
      <w:r>
        <w:rPr>
          <w:spacing w:val="-6"/>
        </w:rPr>
        <w:t> </w:t>
      </w:r>
      <w:r>
        <w:rPr/>
        <w:t>water</w:t>
      </w:r>
      <w:r>
        <w:rPr>
          <w:spacing w:val="-6"/>
        </w:rPr>
        <w:t> </w:t>
      </w:r>
      <w:r>
        <w:rPr/>
        <w:t>in</w:t>
      </w:r>
      <w:r>
        <w:rPr>
          <w:spacing w:val="-4"/>
        </w:rPr>
        <w:t> </w:t>
      </w:r>
      <w:r>
        <w:rPr/>
        <w:t>all</w:t>
      </w:r>
      <w:r>
        <w:rPr>
          <w:spacing w:val="-4"/>
        </w:rPr>
        <w:t> </w:t>
      </w:r>
      <w:r>
        <w:rPr/>
        <w:t>the</w:t>
      </w:r>
      <w:r>
        <w:rPr>
          <w:spacing w:val="-5"/>
        </w:rPr>
        <w:t> </w:t>
      </w:r>
      <w:r>
        <w:rPr/>
        <w:t>eight</w:t>
      </w:r>
      <w:r>
        <w:rPr>
          <w:spacing w:val="-4"/>
        </w:rPr>
        <w:t> </w:t>
      </w:r>
      <w:r>
        <w:rPr/>
        <w:t>(8)</w:t>
      </w:r>
      <w:r>
        <w:rPr>
          <w:spacing w:val="-6"/>
        </w:rPr>
        <w:t> </w:t>
      </w:r>
      <w:r>
        <w:rPr/>
        <w:t>neighbourhoods</w:t>
      </w:r>
      <w:r>
        <w:rPr>
          <w:spacing w:val="-5"/>
        </w:rPr>
        <w:t> </w:t>
      </w:r>
      <w:r>
        <w:rPr/>
        <w:t>is</w:t>
      </w:r>
      <w:r>
        <w:rPr>
          <w:spacing w:val="-4"/>
        </w:rPr>
        <w:t> </w:t>
      </w:r>
      <w:r>
        <w:rPr/>
        <w:t>very</w:t>
      </w:r>
      <w:r>
        <w:rPr>
          <w:spacing w:val="-10"/>
        </w:rPr>
        <w:t> </w:t>
      </w:r>
      <w:r>
        <w:rPr/>
        <w:t>poor.</w:t>
      </w:r>
      <w:r>
        <w:rPr>
          <w:spacing w:val="-6"/>
        </w:rPr>
        <w:t> </w:t>
      </w:r>
      <w:r>
        <w:rPr/>
        <w:t>This</w:t>
      </w:r>
      <w:r>
        <w:rPr>
          <w:spacing w:val="-4"/>
        </w:rPr>
        <w:t> </w:t>
      </w:r>
      <w:r>
        <w:rPr/>
        <w:t>reflects</w:t>
      </w:r>
      <w:r>
        <w:rPr>
          <w:spacing w:val="-4"/>
        </w:rPr>
        <w:t> </w:t>
      </w:r>
      <w:r>
        <w:rPr/>
        <w:t>a</w:t>
      </w:r>
      <w:r>
        <w:rPr>
          <w:spacing w:val="-6"/>
        </w:rPr>
        <w:t> </w:t>
      </w:r>
      <w:r>
        <w:rPr/>
        <w:t>lack</w:t>
      </w:r>
      <w:r>
        <w:rPr>
          <w:spacing w:val="-5"/>
        </w:rPr>
        <w:t> </w:t>
      </w:r>
      <w:r>
        <w:rPr/>
        <w:t>and inefficient use of water for drinking and green use.</w:t>
      </w:r>
    </w:p>
    <w:p>
      <w:pPr>
        <w:pStyle w:val="BodyText"/>
        <w:spacing w:before="1"/>
      </w:pPr>
    </w:p>
    <w:p>
      <w:pPr>
        <w:pStyle w:val="BodyText"/>
        <w:spacing w:line="480" w:lineRule="auto"/>
        <w:ind w:left="267"/>
      </w:pPr>
      <w:r>
        <w:rPr/>
        <w:t>Finally,</w:t>
      </w:r>
      <w:r>
        <w:rPr>
          <w:spacing w:val="-15"/>
        </w:rPr>
        <w:t> </w:t>
      </w:r>
      <w:r>
        <w:rPr/>
        <w:t>Figure</w:t>
      </w:r>
      <w:r>
        <w:rPr>
          <w:spacing w:val="-16"/>
        </w:rPr>
        <w:t> </w:t>
      </w:r>
      <w:r>
        <w:rPr/>
        <w:t>4.17</w:t>
      </w:r>
      <w:r>
        <w:rPr>
          <w:spacing w:val="-15"/>
        </w:rPr>
        <w:t> </w:t>
      </w:r>
      <w:r>
        <w:rPr/>
        <w:t>shows</w:t>
      </w:r>
      <w:r>
        <w:rPr>
          <w:spacing w:val="-15"/>
        </w:rPr>
        <w:t> </w:t>
      </w:r>
      <w:r>
        <w:rPr/>
        <w:t>the</w:t>
      </w:r>
      <w:r>
        <w:rPr>
          <w:spacing w:val="-15"/>
        </w:rPr>
        <w:t> </w:t>
      </w:r>
      <w:r>
        <w:rPr/>
        <w:t>map</w:t>
      </w:r>
      <w:r>
        <w:rPr>
          <w:spacing w:val="-15"/>
        </w:rPr>
        <w:t> </w:t>
      </w:r>
      <w:r>
        <w:rPr/>
        <w:t>of</w:t>
      </w:r>
      <w:r>
        <w:rPr>
          <w:spacing w:val="-16"/>
        </w:rPr>
        <w:t> </w:t>
      </w:r>
      <w:r>
        <w:rPr/>
        <w:t>environment</w:t>
      </w:r>
      <w:r>
        <w:rPr>
          <w:spacing w:val="-15"/>
        </w:rPr>
        <w:t> </w:t>
      </w:r>
      <w:r>
        <w:rPr/>
        <w:t>component</w:t>
      </w:r>
      <w:r>
        <w:rPr>
          <w:spacing w:val="-15"/>
        </w:rPr>
        <w:t> </w:t>
      </w:r>
      <w:r>
        <w:rPr/>
        <w:t>for</w:t>
      </w:r>
      <w:r>
        <w:rPr>
          <w:spacing w:val="-15"/>
        </w:rPr>
        <w:t> </w:t>
      </w:r>
      <w:r>
        <w:rPr/>
        <w:t>the</w:t>
      </w:r>
      <w:r>
        <w:rPr>
          <w:spacing w:val="-15"/>
        </w:rPr>
        <w:t> </w:t>
      </w:r>
      <w:r>
        <w:rPr/>
        <w:t>study.</w:t>
      </w:r>
      <w:r>
        <w:rPr>
          <w:spacing w:val="-15"/>
        </w:rPr>
        <w:t> </w:t>
      </w:r>
      <w:r>
        <w:rPr/>
        <w:t>The</w:t>
      </w:r>
      <w:r>
        <w:rPr>
          <w:spacing w:val="-15"/>
        </w:rPr>
        <w:t> </w:t>
      </w:r>
      <w:r>
        <w:rPr/>
        <w:t>map</w:t>
      </w:r>
      <w:r>
        <w:rPr>
          <w:spacing w:val="-15"/>
        </w:rPr>
        <w:t> </w:t>
      </w:r>
      <w:r>
        <w:rPr/>
        <w:t>depicts that</w:t>
      </w:r>
      <w:r>
        <w:rPr>
          <w:spacing w:val="-15"/>
        </w:rPr>
        <w:t> </w:t>
      </w:r>
      <w:r>
        <w:rPr/>
        <w:t>only</w:t>
      </w:r>
      <w:r>
        <w:rPr>
          <w:spacing w:val="-20"/>
        </w:rPr>
        <w:t> </w:t>
      </w:r>
      <w:r>
        <w:rPr/>
        <w:t>Tudun</w:t>
      </w:r>
      <w:r>
        <w:rPr>
          <w:spacing w:val="-15"/>
        </w:rPr>
        <w:t> </w:t>
      </w:r>
      <w:r>
        <w:rPr/>
        <w:t>Wada</w:t>
      </w:r>
      <w:r>
        <w:rPr>
          <w:spacing w:val="-16"/>
        </w:rPr>
        <w:t> </w:t>
      </w:r>
      <w:r>
        <w:rPr/>
        <w:t>South</w:t>
      </w:r>
      <w:r>
        <w:rPr>
          <w:spacing w:val="-15"/>
        </w:rPr>
        <w:t> </w:t>
      </w:r>
      <w:r>
        <w:rPr/>
        <w:t>is</w:t>
      </w:r>
      <w:r>
        <w:rPr>
          <w:spacing w:val="-15"/>
        </w:rPr>
        <w:t> </w:t>
      </w:r>
      <w:r>
        <w:rPr/>
        <w:t>characterized</w:t>
      </w:r>
      <w:r>
        <w:rPr>
          <w:spacing w:val="-15"/>
        </w:rPr>
        <w:t> </w:t>
      </w:r>
      <w:r>
        <w:rPr/>
        <w:t>by</w:t>
      </w:r>
      <w:r>
        <w:rPr>
          <w:spacing w:val="-17"/>
        </w:rPr>
        <w:t> </w:t>
      </w:r>
      <w:r>
        <w:rPr/>
        <w:t>good</w:t>
      </w:r>
      <w:r>
        <w:rPr>
          <w:spacing w:val="-15"/>
        </w:rPr>
        <w:t> </w:t>
      </w:r>
      <w:r>
        <w:rPr/>
        <w:t>environment</w:t>
      </w:r>
      <w:r>
        <w:rPr>
          <w:spacing w:val="-15"/>
        </w:rPr>
        <w:t> </w:t>
      </w:r>
      <w:r>
        <w:rPr/>
        <w:t>while</w:t>
      </w:r>
      <w:r>
        <w:rPr>
          <w:spacing w:val="-15"/>
        </w:rPr>
        <w:t> </w:t>
      </w:r>
      <w:r>
        <w:rPr/>
        <w:t>the</w:t>
      </w:r>
      <w:r>
        <w:rPr>
          <w:spacing w:val="-15"/>
        </w:rPr>
        <w:t> </w:t>
      </w:r>
      <w:r>
        <w:rPr/>
        <w:t>remaining</w:t>
      </w:r>
      <w:r>
        <w:rPr>
          <w:spacing w:val="-17"/>
        </w:rPr>
        <w:t> </w:t>
      </w:r>
      <w:r>
        <w:rPr>
          <w:spacing w:val="-2"/>
        </w:rPr>
        <w:t>seven</w:t>
      </w:r>
    </w:p>
    <w:p>
      <w:pPr>
        <w:pStyle w:val="BodyText"/>
        <w:spacing w:line="480" w:lineRule="auto" w:before="1"/>
        <w:ind w:left="267" w:right="108"/>
        <w:jc w:val="both"/>
      </w:pPr>
      <w:r>
        <w:rPr/>
        <w:t>(7)</w:t>
      </w:r>
      <w:r>
        <w:rPr>
          <w:spacing w:val="-2"/>
        </w:rPr>
        <w:t> </w:t>
      </w:r>
      <w:r>
        <w:rPr/>
        <w:t>neighbourhoods exhibit</w:t>
      </w:r>
      <w:r>
        <w:rPr>
          <w:spacing w:val="-1"/>
        </w:rPr>
        <w:t> </w:t>
      </w:r>
      <w:r>
        <w:rPr/>
        <w:t>a</w:t>
      </w:r>
      <w:r>
        <w:rPr>
          <w:spacing w:val="-2"/>
        </w:rPr>
        <w:t> </w:t>
      </w:r>
      <w:r>
        <w:rPr/>
        <w:t>fair environment condition</w:t>
      </w:r>
      <w:r>
        <w:rPr>
          <w:spacing w:val="-1"/>
        </w:rPr>
        <w:t> </w:t>
      </w:r>
      <w:r>
        <w:rPr/>
        <w:t>in</w:t>
      </w:r>
      <w:r>
        <w:rPr>
          <w:spacing w:val="-1"/>
        </w:rPr>
        <w:t> </w:t>
      </w:r>
      <w:r>
        <w:rPr/>
        <w:t>terms</w:t>
      </w:r>
      <w:r>
        <w:rPr>
          <w:spacing w:val="-1"/>
        </w:rPr>
        <w:t> </w:t>
      </w:r>
      <w:r>
        <w:rPr/>
        <w:t>of</w:t>
      </w:r>
      <w:r>
        <w:rPr>
          <w:spacing w:val="-2"/>
        </w:rPr>
        <w:t> </w:t>
      </w:r>
      <w:r>
        <w:rPr/>
        <w:t>improved</w:t>
      </w:r>
      <w:r>
        <w:rPr>
          <w:spacing w:val="-1"/>
        </w:rPr>
        <w:t> </w:t>
      </w:r>
      <w:r>
        <w:rPr/>
        <w:t>water</w:t>
      </w:r>
      <w:r>
        <w:rPr>
          <w:spacing w:val="-2"/>
        </w:rPr>
        <w:t> </w:t>
      </w:r>
      <w:r>
        <w:rPr/>
        <w:t>quality and presence of sanitation services necessary for healthy living.</w:t>
      </w:r>
    </w:p>
    <w:p>
      <w:pPr>
        <w:spacing w:after="0" w:line="480" w:lineRule="auto"/>
        <w:jc w:val="both"/>
        <w:sectPr>
          <w:footerReference w:type="default" r:id="rId42"/>
          <w:pgSz w:w="12240" w:h="15840"/>
          <w:pgMar w:header="0" w:footer="1068" w:top="1340" w:bottom="1260" w:left="1720" w:right="1300"/>
          <w:pgNumType w:start="143"/>
        </w:sectPr>
      </w:pPr>
    </w:p>
    <w:p>
      <w:pPr>
        <w:pStyle w:val="BodyText"/>
        <w:ind w:left="338"/>
        <w:rPr>
          <w:sz w:val="20"/>
        </w:rPr>
      </w:pPr>
      <w:r>
        <w:rPr>
          <w:sz w:val="20"/>
        </w:rPr>
        <mc:AlternateContent>
          <mc:Choice Requires="wps">
            <w:drawing>
              <wp:inline distT="0" distB="0" distL="0" distR="0">
                <wp:extent cx="5529580" cy="6832600"/>
                <wp:effectExtent l="0" t="0" r="0" b="6350"/>
                <wp:docPr id="110" name="Group 110"/>
                <wp:cNvGraphicFramePr>
                  <a:graphicFrameLocks/>
                </wp:cNvGraphicFramePr>
                <a:graphic>
                  <a:graphicData uri="http://schemas.microsoft.com/office/word/2010/wordprocessingGroup">
                    <wpg:wgp>
                      <wpg:cNvPr id="110" name="Group 110"/>
                      <wpg:cNvGrpSpPr/>
                      <wpg:grpSpPr>
                        <a:xfrm>
                          <a:off x="0" y="0"/>
                          <a:ext cx="5529580" cy="6832600"/>
                          <a:chExt cx="5529580" cy="6832600"/>
                        </a:xfrm>
                      </wpg:grpSpPr>
                      <pic:pic>
                        <pic:nvPicPr>
                          <pic:cNvPr id="111" name="Image 111"/>
                          <pic:cNvPicPr/>
                        </pic:nvPicPr>
                        <pic:blipFill>
                          <a:blip r:embed="rId43" cstate="print"/>
                          <a:stretch>
                            <a:fillRect/>
                          </a:stretch>
                        </pic:blipFill>
                        <pic:spPr>
                          <a:xfrm>
                            <a:off x="66924" y="9144"/>
                            <a:ext cx="5453003" cy="6668695"/>
                          </a:xfrm>
                          <a:prstGeom prst="rect">
                            <a:avLst/>
                          </a:prstGeom>
                        </pic:spPr>
                      </pic:pic>
                      <wps:wsp>
                        <wps:cNvPr id="112" name="Graphic 112"/>
                        <wps:cNvSpPr/>
                        <wps:spPr>
                          <a:xfrm>
                            <a:off x="4572" y="4572"/>
                            <a:ext cx="5520055" cy="6823075"/>
                          </a:xfrm>
                          <a:custGeom>
                            <a:avLst/>
                            <a:gdLst/>
                            <a:ahLst/>
                            <a:cxnLst/>
                            <a:rect l="l" t="t" r="r" b="b"/>
                            <a:pathLst>
                              <a:path w="5520055" h="6823075">
                                <a:moveTo>
                                  <a:pt x="0" y="6822948"/>
                                </a:moveTo>
                                <a:lnTo>
                                  <a:pt x="5519928" y="6822948"/>
                                </a:lnTo>
                                <a:lnTo>
                                  <a:pt x="5519928" y="0"/>
                                </a:lnTo>
                                <a:lnTo>
                                  <a:pt x="0" y="0"/>
                                </a:lnTo>
                                <a:lnTo>
                                  <a:pt x="0" y="68229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5.4pt;height:538pt;mso-position-horizontal-relative:char;mso-position-vertical-relative:line" id="docshapegroup100" coordorigin="0,0" coordsize="8708,10760">
                <v:shape style="position:absolute;left:105;top:14;width:8588;height:10502" type="#_x0000_t75" id="docshape101" stroked="false">
                  <v:imagedata r:id="rId43" o:title=""/>
                </v:shape>
                <v:rect style="position:absolute;left:7;top:7;width:8693;height:10745" id="docshape102" filled="false" stroked="true" strokeweight=".72pt" strokecolor="#000000">
                  <v:stroke dashstyle="solid"/>
                </v:rect>
              </v:group>
            </w:pict>
          </mc:Fallback>
        </mc:AlternateContent>
      </w:r>
      <w:r>
        <w:rPr>
          <w:sz w:val="20"/>
        </w:rPr>
      </w:r>
    </w:p>
    <w:p>
      <w:pPr>
        <w:pStyle w:val="Heading1"/>
        <w:spacing w:line="273" w:lineRule="exact"/>
        <w:ind w:left="160" w:right="5"/>
        <w:jc w:val="center"/>
      </w:pPr>
      <w:r>
        <w:rPr/>
        <w:t>Figure</w:t>
      </w:r>
      <w:r>
        <w:rPr>
          <w:spacing w:val="-3"/>
        </w:rPr>
        <w:t> </w:t>
      </w:r>
      <w:r>
        <w:rPr/>
        <w:t>4.13:</w:t>
      </w:r>
      <w:r>
        <w:rPr>
          <w:spacing w:val="-2"/>
        </w:rPr>
        <w:t> </w:t>
      </w:r>
      <w:r>
        <w:rPr/>
        <w:t>Spatial</w:t>
      </w:r>
      <w:r>
        <w:rPr>
          <w:spacing w:val="-2"/>
        </w:rPr>
        <w:t> </w:t>
      </w:r>
      <w:r>
        <w:rPr/>
        <w:t>Variation</w:t>
      </w:r>
      <w:r>
        <w:rPr>
          <w:spacing w:val="-1"/>
        </w:rPr>
        <w:t> </w:t>
      </w:r>
      <w:r>
        <w:rPr/>
        <w:t>of</w:t>
      </w:r>
      <w:r>
        <w:rPr>
          <w:spacing w:val="-1"/>
        </w:rPr>
        <w:t> </w:t>
      </w:r>
      <w:r>
        <w:rPr/>
        <w:t>Resource</w:t>
      </w:r>
      <w:r>
        <w:rPr>
          <w:spacing w:val="-3"/>
        </w:rPr>
        <w:t> </w:t>
      </w:r>
      <w:r>
        <w:rPr/>
        <w:t>Component</w:t>
      </w:r>
      <w:r>
        <w:rPr>
          <w:spacing w:val="-1"/>
        </w:rPr>
        <w:t> </w:t>
      </w:r>
      <w:r>
        <w:rPr>
          <w:spacing w:val="-2"/>
        </w:rPr>
        <w:t>Index</w:t>
      </w:r>
    </w:p>
    <w:p>
      <w:pPr>
        <w:pStyle w:val="BodyText"/>
        <w:spacing w:line="274" w:lineRule="exact"/>
        <w:ind w:left="160" w:right="7"/>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420" w:bottom="1260" w:left="1720" w:right="1300"/>
        </w:sectPr>
      </w:pPr>
    </w:p>
    <w:p>
      <w:pPr>
        <w:pStyle w:val="BodyText"/>
        <w:ind w:left="280"/>
        <w:rPr>
          <w:sz w:val="20"/>
        </w:rPr>
      </w:pPr>
      <w:r>
        <w:rPr>
          <w:sz w:val="20"/>
        </w:rPr>
        <mc:AlternateContent>
          <mc:Choice Requires="wps">
            <w:drawing>
              <wp:inline distT="0" distB="0" distL="0" distR="0">
                <wp:extent cx="5596255" cy="6979920"/>
                <wp:effectExtent l="0" t="0" r="0" b="1904"/>
                <wp:docPr id="113" name="Group 113"/>
                <wp:cNvGraphicFramePr>
                  <a:graphicFrameLocks/>
                </wp:cNvGraphicFramePr>
                <a:graphic>
                  <a:graphicData uri="http://schemas.microsoft.com/office/word/2010/wordprocessingGroup">
                    <wpg:wgp>
                      <wpg:cNvPr id="113" name="Group 113"/>
                      <wpg:cNvGrpSpPr/>
                      <wpg:grpSpPr>
                        <a:xfrm>
                          <a:off x="0" y="0"/>
                          <a:ext cx="5596255" cy="6979920"/>
                          <a:chExt cx="5596255" cy="6979920"/>
                        </a:xfrm>
                      </wpg:grpSpPr>
                      <pic:pic>
                        <pic:nvPicPr>
                          <pic:cNvPr id="114" name="Image 114" descr="E:\Access2.jpg"/>
                          <pic:cNvPicPr/>
                        </pic:nvPicPr>
                        <pic:blipFill>
                          <a:blip r:embed="rId44" cstate="print"/>
                          <a:stretch>
                            <a:fillRect/>
                          </a:stretch>
                        </pic:blipFill>
                        <pic:spPr>
                          <a:xfrm>
                            <a:off x="71553" y="9144"/>
                            <a:ext cx="5492027" cy="6805629"/>
                          </a:xfrm>
                          <a:prstGeom prst="rect">
                            <a:avLst/>
                          </a:prstGeom>
                        </pic:spPr>
                      </pic:pic>
                      <wps:wsp>
                        <wps:cNvPr id="115" name="Graphic 115"/>
                        <wps:cNvSpPr/>
                        <wps:spPr>
                          <a:xfrm>
                            <a:off x="4572" y="4572"/>
                            <a:ext cx="5587365" cy="6971030"/>
                          </a:xfrm>
                          <a:custGeom>
                            <a:avLst/>
                            <a:gdLst/>
                            <a:ahLst/>
                            <a:cxnLst/>
                            <a:rect l="l" t="t" r="r" b="b"/>
                            <a:pathLst>
                              <a:path w="5587365" h="6971030">
                                <a:moveTo>
                                  <a:pt x="0" y="6970776"/>
                                </a:moveTo>
                                <a:lnTo>
                                  <a:pt x="5586984" y="6970776"/>
                                </a:lnTo>
                                <a:lnTo>
                                  <a:pt x="5586984" y="0"/>
                                </a:lnTo>
                                <a:lnTo>
                                  <a:pt x="0" y="0"/>
                                </a:lnTo>
                                <a:lnTo>
                                  <a:pt x="0" y="69707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0.65pt;height:549.6pt;mso-position-horizontal-relative:char;mso-position-vertical-relative:line" id="docshapegroup103" coordorigin="0,0" coordsize="8813,10992">
                <v:shape style="position:absolute;left:112;top:14;width:8649;height:10718" type="#_x0000_t75" id="docshape104" alt="E:\Access2.jpg" stroked="false">
                  <v:imagedata r:id="rId44" o:title=""/>
                </v:shape>
                <v:rect style="position:absolute;left:7;top:7;width:8799;height:10978" id="docshape105" filled="false" stroked="true" strokeweight=".72pt" strokecolor="#000000">
                  <v:stroke dashstyle="solid"/>
                </v:rect>
              </v:group>
            </w:pict>
          </mc:Fallback>
        </mc:AlternateContent>
      </w:r>
      <w:r>
        <w:rPr>
          <w:sz w:val="20"/>
        </w:rPr>
      </w:r>
    </w:p>
    <w:p>
      <w:pPr>
        <w:pStyle w:val="Heading1"/>
        <w:spacing w:line="257" w:lineRule="exact"/>
        <w:ind w:left="160" w:right="3"/>
        <w:jc w:val="center"/>
      </w:pPr>
      <w:r>
        <w:rPr/>
        <w:t>Figure</w:t>
      </w:r>
      <w:r>
        <w:rPr>
          <w:spacing w:val="-2"/>
        </w:rPr>
        <w:t> </w:t>
      </w:r>
      <w:r>
        <w:rPr/>
        <w:t>4.14:</w:t>
      </w:r>
      <w:r>
        <w:rPr>
          <w:spacing w:val="-1"/>
        </w:rPr>
        <w:t> </w:t>
      </w:r>
      <w:r>
        <w:rPr/>
        <w:t>Spatial</w:t>
      </w:r>
      <w:r>
        <w:rPr>
          <w:spacing w:val="-1"/>
        </w:rPr>
        <w:t> </w:t>
      </w:r>
      <w:r>
        <w:rPr/>
        <w:t>Variation</w:t>
      </w:r>
      <w:r>
        <w:rPr>
          <w:spacing w:val="-1"/>
        </w:rPr>
        <w:t> </w:t>
      </w:r>
      <w:r>
        <w:rPr/>
        <w:t>of Access</w:t>
      </w:r>
      <w:r>
        <w:rPr>
          <w:spacing w:val="-1"/>
        </w:rPr>
        <w:t> </w:t>
      </w:r>
      <w:r>
        <w:rPr/>
        <w:t>Component</w:t>
      </w:r>
      <w:r>
        <w:rPr>
          <w:spacing w:val="-1"/>
        </w:rPr>
        <w:t> </w:t>
      </w:r>
      <w:r>
        <w:rPr>
          <w:spacing w:val="-2"/>
        </w:rPr>
        <w:t>Index</w:t>
      </w:r>
    </w:p>
    <w:p>
      <w:pPr>
        <w:pStyle w:val="BodyText"/>
        <w:spacing w:line="274" w:lineRule="exact"/>
        <w:ind w:left="160" w:right="7"/>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420" w:bottom="1260" w:left="1720" w:right="1300"/>
        </w:sectPr>
      </w:pPr>
    </w:p>
    <w:p>
      <w:pPr>
        <w:pStyle w:val="BodyText"/>
        <w:ind w:left="280"/>
        <w:rPr>
          <w:sz w:val="20"/>
        </w:rPr>
      </w:pPr>
      <w:r>
        <w:rPr>
          <w:sz w:val="20"/>
        </w:rPr>
        <mc:AlternateContent>
          <mc:Choice Requires="wps">
            <w:drawing>
              <wp:inline distT="0" distB="0" distL="0" distR="0">
                <wp:extent cx="5611495" cy="6868795"/>
                <wp:effectExtent l="0" t="0" r="0" b="8254"/>
                <wp:docPr id="116" name="Group 116"/>
                <wp:cNvGraphicFramePr>
                  <a:graphicFrameLocks/>
                </wp:cNvGraphicFramePr>
                <a:graphic>
                  <a:graphicData uri="http://schemas.microsoft.com/office/word/2010/wordprocessingGroup">
                    <wpg:wgp>
                      <wpg:cNvPr id="116" name="Group 116"/>
                      <wpg:cNvGrpSpPr/>
                      <wpg:grpSpPr>
                        <a:xfrm>
                          <a:off x="0" y="0"/>
                          <a:ext cx="5611495" cy="6868795"/>
                          <a:chExt cx="5611495" cy="6868795"/>
                        </a:xfrm>
                      </wpg:grpSpPr>
                      <pic:pic>
                        <pic:nvPicPr>
                          <pic:cNvPr id="117" name="Image 117" descr="C:\Users\Mrs Foluke\Desktop\map aisha\Capacity.jpg"/>
                          <pic:cNvPicPr/>
                        </pic:nvPicPr>
                        <pic:blipFill>
                          <a:blip r:embed="rId45" cstate="print"/>
                          <a:stretch>
                            <a:fillRect/>
                          </a:stretch>
                        </pic:blipFill>
                        <pic:spPr>
                          <a:xfrm>
                            <a:off x="71723" y="9144"/>
                            <a:ext cx="5510943" cy="6697801"/>
                          </a:xfrm>
                          <a:prstGeom prst="rect">
                            <a:avLst/>
                          </a:prstGeom>
                        </pic:spPr>
                      </pic:pic>
                      <wps:wsp>
                        <wps:cNvPr id="118" name="Graphic 118"/>
                        <wps:cNvSpPr/>
                        <wps:spPr>
                          <a:xfrm>
                            <a:off x="4572" y="4572"/>
                            <a:ext cx="5602605" cy="6859905"/>
                          </a:xfrm>
                          <a:custGeom>
                            <a:avLst/>
                            <a:gdLst/>
                            <a:ahLst/>
                            <a:cxnLst/>
                            <a:rect l="l" t="t" r="r" b="b"/>
                            <a:pathLst>
                              <a:path w="5602605" h="6859905">
                                <a:moveTo>
                                  <a:pt x="0" y="6859524"/>
                                </a:moveTo>
                                <a:lnTo>
                                  <a:pt x="5602223" y="6859524"/>
                                </a:lnTo>
                                <a:lnTo>
                                  <a:pt x="5602223" y="0"/>
                                </a:lnTo>
                                <a:lnTo>
                                  <a:pt x="0" y="0"/>
                                </a:lnTo>
                                <a:lnTo>
                                  <a:pt x="0" y="685952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5pt;height:540.85pt;mso-position-horizontal-relative:char;mso-position-vertical-relative:line" id="docshapegroup106" coordorigin="0,0" coordsize="8837,10817">
                <v:shape style="position:absolute;left:112;top:14;width:8679;height:10548" type="#_x0000_t75" id="docshape107" alt="C:\Users\Mrs Foluke\Desktop\map aisha\Capacity.jpg" stroked="false">
                  <v:imagedata r:id="rId45" o:title=""/>
                </v:shape>
                <v:rect style="position:absolute;left:7;top:7;width:8823;height:10803" id="docshape108" filled="false" stroked="true" strokeweight=".72pt" strokecolor="#000000">
                  <v:stroke dashstyle="solid"/>
                </v:rect>
              </v:group>
            </w:pict>
          </mc:Fallback>
        </mc:AlternateContent>
      </w:r>
      <w:r>
        <w:rPr>
          <w:sz w:val="20"/>
        </w:rPr>
      </w:r>
    </w:p>
    <w:p>
      <w:pPr>
        <w:pStyle w:val="Heading1"/>
        <w:spacing w:line="273" w:lineRule="exact"/>
        <w:ind w:left="160" w:right="7"/>
        <w:jc w:val="center"/>
      </w:pPr>
      <w:r>
        <w:rPr/>
        <w:t>Figure</w:t>
      </w:r>
      <w:r>
        <w:rPr>
          <w:spacing w:val="-3"/>
        </w:rPr>
        <w:t> </w:t>
      </w:r>
      <w:r>
        <w:rPr/>
        <w:t>4.15:</w:t>
      </w:r>
      <w:r>
        <w:rPr>
          <w:spacing w:val="-1"/>
        </w:rPr>
        <w:t> </w:t>
      </w:r>
      <w:r>
        <w:rPr/>
        <w:t>Spatial</w:t>
      </w:r>
      <w:r>
        <w:rPr>
          <w:spacing w:val="-2"/>
        </w:rPr>
        <w:t> </w:t>
      </w:r>
      <w:r>
        <w:rPr/>
        <w:t>Variation</w:t>
      </w:r>
      <w:r>
        <w:rPr>
          <w:spacing w:val="-1"/>
        </w:rPr>
        <w:t> </w:t>
      </w:r>
      <w:r>
        <w:rPr/>
        <w:t>of</w:t>
      </w:r>
      <w:r>
        <w:rPr>
          <w:spacing w:val="-1"/>
        </w:rPr>
        <w:t> </w:t>
      </w:r>
      <w:r>
        <w:rPr/>
        <w:t>Capacity</w:t>
      </w:r>
      <w:r>
        <w:rPr>
          <w:spacing w:val="-1"/>
        </w:rPr>
        <w:t> </w:t>
      </w:r>
      <w:r>
        <w:rPr/>
        <w:t>Component</w:t>
      </w:r>
      <w:r>
        <w:rPr>
          <w:spacing w:val="-1"/>
        </w:rPr>
        <w:t> </w:t>
      </w:r>
      <w:r>
        <w:rPr>
          <w:spacing w:val="-2"/>
        </w:rPr>
        <w:t>Index</w:t>
      </w:r>
    </w:p>
    <w:p>
      <w:pPr>
        <w:pStyle w:val="BodyText"/>
        <w:spacing w:line="274" w:lineRule="exact"/>
        <w:ind w:left="160" w:right="6"/>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420" w:bottom="1260" w:left="1720" w:right="1300"/>
        </w:sectPr>
      </w:pPr>
    </w:p>
    <w:p>
      <w:pPr>
        <w:pStyle w:val="BodyText"/>
        <w:ind w:left="307"/>
        <w:rPr>
          <w:sz w:val="20"/>
        </w:rPr>
      </w:pPr>
      <w:r>
        <w:rPr>
          <w:sz w:val="20"/>
        </w:rPr>
        <mc:AlternateContent>
          <mc:Choice Requires="wps">
            <w:drawing>
              <wp:inline distT="0" distB="0" distL="0" distR="0">
                <wp:extent cx="5564505" cy="6643370"/>
                <wp:effectExtent l="0" t="0" r="0" b="5079"/>
                <wp:docPr id="119" name="Group 119"/>
                <wp:cNvGraphicFramePr>
                  <a:graphicFrameLocks/>
                </wp:cNvGraphicFramePr>
                <a:graphic>
                  <a:graphicData uri="http://schemas.microsoft.com/office/word/2010/wordprocessingGroup">
                    <wpg:wgp>
                      <wpg:cNvPr id="119" name="Group 119"/>
                      <wpg:cNvGrpSpPr/>
                      <wpg:grpSpPr>
                        <a:xfrm>
                          <a:off x="0" y="0"/>
                          <a:ext cx="5564505" cy="6643370"/>
                          <a:chExt cx="5564505" cy="6643370"/>
                        </a:xfrm>
                      </wpg:grpSpPr>
                      <pic:pic>
                        <pic:nvPicPr>
                          <pic:cNvPr id="120" name="Image 120" descr="C:\Users\Mrs Foluke\Desktop\map aisha\Use.jpg"/>
                          <pic:cNvPicPr/>
                        </pic:nvPicPr>
                        <pic:blipFill>
                          <a:blip r:embed="rId46" cstate="print"/>
                          <a:stretch>
                            <a:fillRect/>
                          </a:stretch>
                        </pic:blipFill>
                        <pic:spPr>
                          <a:xfrm>
                            <a:off x="71195" y="9144"/>
                            <a:ext cx="5460515" cy="6469671"/>
                          </a:xfrm>
                          <a:prstGeom prst="rect">
                            <a:avLst/>
                          </a:prstGeom>
                        </pic:spPr>
                      </pic:pic>
                      <wps:wsp>
                        <wps:cNvPr id="121" name="Graphic 121"/>
                        <wps:cNvSpPr/>
                        <wps:spPr>
                          <a:xfrm>
                            <a:off x="4572" y="4572"/>
                            <a:ext cx="5554980" cy="6634480"/>
                          </a:xfrm>
                          <a:custGeom>
                            <a:avLst/>
                            <a:gdLst/>
                            <a:ahLst/>
                            <a:cxnLst/>
                            <a:rect l="l" t="t" r="r" b="b"/>
                            <a:pathLst>
                              <a:path w="5554980" h="6634480">
                                <a:moveTo>
                                  <a:pt x="0" y="6633972"/>
                                </a:moveTo>
                                <a:lnTo>
                                  <a:pt x="5554980" y="6633972"/>
                                </a:lnTo>
                                <a:lnTo>
                                  <a:pt x="5554980" y="0"/>
                                </a:lnTo>
                                <a:lnTo>
                                  <a:pt x="0" y="0"/>
                                </a:lnTo>
                                <a:lnTo>
                                  <a:pt x="0" y="663397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8.15pt;height:523.1pt;mso-position-horizontal-relative:char;mso-position-vertical-relative:line" id="docshapegroup109" coordorigin="0,0" coordsize="8763,10462">
                <v:shape style="position:absolute;left:112;top:14;width:8600;height:10189" type="#_x0000_t75" id="docshape110" alt="C:\Users\Mrs Foluke\Desktop\map aisha\Use.jpg" stroked="false">
                  <v:imagedata r:id="rId46" o:title=""/>
                </v:shape>
                <v:rect style="position:absolute;left:7;top:7;width:8748;height:10448" id="docshape111" filled="false" stroked="true" strokeweight=".72pt" strokecolor="#000000">
                  <v:stroke dashstyle="solid"/>
                </v:rect>
              </v:group>
            </w:pict>
          </mc:Fallback>
        </mc:AlternateContent>
      </w:r>
      <w:r>
        <w:rPr>
          <w:sz w:val="20"/>
        </w:rPr>
      </w:r>
    </w:p>
    <w:p>
      <w:pPr>
        <w:pStyle w:val="Heading1"/>
        <w:spacing w:line="273" w:lineRule="exact"/>
        <w:ind w:left="160" w:right="5"/>
        <w:jc w:val="center"/>
      </w:pPr>
      <w:r>
        <w:rPr/>
        <w:t>Figure</w:t>
      </w:r>
      <w:r>
        <w:rPr>
          <w:spacing w:val="-2"/>
        </w:rPr>
        <w:t> </w:t>
      </w:r>
      <w:r>
        <w:rPr/>
        <w:t>4.16:</w:t>
      </w:r>
      <w:r>
        <w:rPr>
          <w:spacing w:val="-1"/>
        </w:rPr>
        <w:t> </w:t>
      </w:r>
      <w:r>
        <w:rPr/>
        <w:t>Spatial</w:t>
      </w:r>
      <w:r>
        <w:rPr>
          <w:spacing w:val="-1"/>
        </w:rPr>
        <w:t> </w:t>
      </w:r>
      <w:r>
        <w:rPr/>
        <w:t>Variation</w:t>
      </w:r>
      <w:r>
        <w:rPr>
          <w:spacing w:val="-1"/>
        </w:rPr>
        <w:t> </w:t>
      </w:r>
      <w:r>
        <w:rPr/>
        <w:t>of Use</w:t>
      </w:r>
      <w:r>
        <w:rPr>
          <w:spacing w:val="-3"/>
        </w:rPr>
        <w:t> </w:t>
      </w:r>
      <w:r>
        <w:rPr/>
        <w:t>Component </w:t>
      </w:r>
      <w:r>
        <w:rPr>
          <w:spacing w:val="-2"/>
        </w:rPr>
        <w:t>Index</w:t>
      </w:r>
    </w:p>
    <w:p>
      <w:pPr>
        <w:pStyle w:val="BodyText"/>
        <w:spacing w:line="274" w:lineRule="exact"/>
        <w:ind w:left="160" w:right="6"/>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420" w:bottom="1260" w:left="1720" w:right="1300"/>
        </w:sectPr>
      </w:pPr>
    </w:p>
    <w:p>
      <w:pPr>
        <w:pStyle w:val="BodyText"/>
        <w:ind w:left="338"/>
        <w:rPr>
          <w:sz w:val="20"/>
        </w:rPr>
      </w:pPr>
      <w:r>
        <w:rPr>
          <w:sz w:val="20"/>
        </w:rPr>
        <mc:AlternateContent>
          <mc:Choice Requires="wps">
            <w:drawing>
              <wp:inline distT="0" distB="0" distL="0" distR="0">
                <wp:extent cx="5532120" cy="7016750"/>
                <wp:effectExtent l="0" t="0" r="0" b="3175"/>
                <wp:docPr id="122" name="Group 122"/>
                <wp:cNvGraphicFramePr>
                  <a:graphicFrameLocks/>
                </wp:cNvGraphicFramePr>
                <a:graphic>
                  <a:graphicData uri="http://schemas.microsoft.com/office/word/2010/wordprocessingGroup">
                    <wpg:wgp>
                      <wpg:cNvPr id="122" name="Group 122"/>
                      <wpg:cNvGrpSpPr/>
                      <wpg:grpSpPr>
                        <a:xfrm>
                          <a:off x="0" y="0"/>
                          <a:ext cx="5532120" cy="7016750"/>
                          <a:chExt cx="5532120" cy="7016750"/>
                        </a:xfrm>
                      </wpg:grpSpPr>
                      <pic:pic>
                        <pic:nvPicPr>
                          <pic:cNvPr id="123" name="Image 123"/>
                          <pic:cNvPicPr/>
                        </pic:nvPicPr>
                        <pic:blipFill>
                          <a:blip r:embed="rId47" cstate="print"/>
                          <a:stretch>
                            <a:fillRect/>
                          </a:stretch>
                        </pic:blipFill>
                        <pic:spPr>
                          <a:xfrm>
                            <a:off x="66956" y="9144"/>
                            <a:ext cx="5456019" cy="6849172"/>
                          </a:xfrm>
                          <a:prstGeom prst="rect">
                            <a:avLst/>
                          </a:prstGeom>
                        </pic:spPr>
                      </pic:pic>
                      <wps:wsp>
                        <wps:cNvPr id="124" name="Graphic 124"/>
                        <wps:cNvSpPr/>
                        <wps:spPr>
                          <a:xfrm>
                            <a:off x="4572" y="4572"/>
                            <a:ext cx="5523230" cy="7007859"/>
                          </a:xfrm>
                          <a:custGeom>
                            <a:avLst/>
                            <a:gdLst/>
                            <a:ahLst/>
                            <a:cxnLst/>
                            <a:rect l="l" t="t" r="r" b="b"/>
                            <a:pathLst>
                              <a:path w="5523230" h="7007859">
                                <a:moveTo>
                                  <a:pt x="0" y="7007352"/>
                                </a:moveTo>
                                <a:lnTo>
                                  <a:pt x="5522976" y="7007352"/>
                                </a:lnTo>
                                <a:lnTo>
                                  <a:pt x="5522976" y="0"/>
                                </a:lnTo>
                                <a:lnTo>
                                  <a:pt x="0" y="0"/>
                                </a:lnTo>
                                <a:lnTo>
                                  <a:pt x="0" y="70073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5.6pt;height:552.5pt;mso-position-horizontal-relative:char;mso-position-vertical-relative:line" id="docshapegroup112" coordorigin="0,0" coordsize="8712,11050">
                <v:shape style="position:absolute;left:105;top:14;width:8593;height:10787" type="#_x0000_t75" id="docshape113" stroked="false">
                  <v:imagedata r:id="rId47" o:title=""/>
                </v:shape>
                <v:rect style="position:absolute;left:7;top:7;width:8698;height:11036" id="docshape114" filled="false" stroked="true" strokeweight=".72pt" strokecolor="#000000">
                  <v:stroke dashstyle="solid"/>
                </v:rect>
              </v:group>
            </w:pict>
          </mc:Fallback>
        </mc:AlternateContent>
      </w:r>
      <w:r>
        <w:rPr>
          <w:sz w:val="20"/>
        </w:rPr>
      </w:r>
    </w:p>
    <w:p>
      <w:pPr>
        <w:pStyle w:val="Heading1"/>
        <w:spacing w:line="257" w:lineRule="exact"/>
        <w:ind w:left="160" w:right="8"/>
        <w:jc w:val="center"/>
      </w:pPr>
      <w:r>
        <w:rPr/>
        <w:t>Figure</w:t>
      </w:r>
      <w:r>
        <w:rPr>
          <w:spacing w:val="-4"/>
        </w:rPr>
        <w:t> </w:t>
      </w:r>
      <w:r>
        <w:rPr/>
        <w:t>4.17:</w:t>
      </w:r>
      <w:r>
        <w:rPr>
          <w:spacing w:val="-2"/>
        </w:rPr>
        <w:t> </w:t>
      </w:r>
      <w:r>
        <w:rPr/>
        <w:t>Spatial</w:t>
      </w:r>
      <w:r>
        <w:rPr>
          <w:spacing w:val="-2"/>
        </w:rPr>
        <w:t> </w:t>
      </w:r>
      <w:r>
        <w:rPr/>
        <w:t>Variation</w:t>
      </w:r>
      <w:r>
        <w:rPr>
          <w:spacing w:val="-2"/>
        </w:rPr>
        <w:t> </w:t>
      </w:r>
      <w:r>
        <w:rPr/>
        <w:t>of</w:t>
      </w:r>
      <w:r>
        <w:rPr>
          <w:spacing w:val="-1"/>
        </w:rPr>
        <w:t> </w:t>
      </w:r>
      <w:r>
        <w:rPr/>
        <w:t>Environment</w:t>
      </w:r>
      <w:r>
        <w:rPr>
          <w:spacing w:val="-1"/>
        </w:rPr>
        <w:t> </w:t>
      </w:r>
      <w:r>
        <w:rPr/>
        <w:t>Component</w:t>
      </w:r>
      <w:r>
        <w:rPr>
          <w:spacing w:val="-2"/>
        </w:rPr>
        <w:t> Index</w:t>
      </w:r>
    </w:p>
    <w:p>
      <w:pPr>
        <w:pStyle w:val="BodyText"/>
        <w:spacing w:line="274" w:lineRule="exact"/>
        <w:ind w:left="160" w:right="7"/>
        <w:jc w:val="center"/>
      </w:pPr>
      <w:r>
        <w:rPr/>
        <w:t>Source:</w:t>
      </w:r>
      <w:r>
        <w:rPr>
          <w:spacing w:val="-2"/>
        </w:rPr>
        <w:t> </w:t>
      </w:r>
      <w:r>
        <w:rPr/>
        <w:t>Author</w:t>
      </w:r>
      <w:r>
        <w:rPr>
          <w:spacing w:val="-1"/>
        </w:rPr>
        <w:t> </w:t>
      </w:r>
      <w:r>
        <w:rPr>
          <w:spacing w:val="-2"/>
        </w:rPr>
        <w:t>(2021)</w:t>
      </w:r>
    </w:p>
    <w:p>
      <w:pPr>
        <w:spacing w:after="0" w:line="274" w:lineRule="exact"/>
        <w:jc w:val="center"/>
        <w:sectPr>
          <w:pgSz w:w="12240" w:h="15840"/>
          <w:pgMar w:header="0" w:footer="1068" w:top="1420" w:bottom="1260" w:left="1720" w:right="1300"/>
        </w:sectPr>
      </w:pPr>
    </w:p>
    <w:p>
      <w:pPr>
        <w:pStyle w:val="ListParagraph"/>
        <w:numPr>
          <w:ilvl w:val="3"/>
          <w:numId w:val="10"/>
        </w:numPr>
        <w:tabs>
          <w:tab w:pos="986" w:val="left" w:leader="none"/>
        </w:tabs>
        <w:spacing w:line="482" w:lineRule="auto" w:before="70" w:after="0"/>
        <w:ind w:left="267" w:right="106" w:firstLine="0"/>
        <w:jc w:val="left"/>
        <w:rPr>
          <w:sz w:val="24"/>
        </w:rPr>
      </w:pPr>
      <w:r>
        <w:rPr>
          <w:b/>
          <w:sz w:val="24"/>
        </w:rPr>
        <w:t>Pentagram representation of water poverty components of neighbourhoods </w:t>
      </w:r>
      <w:r>
        <w:rPr>
          <w:sz w:val="24"/>
        </w:rPr>
        <w:t>Figure</w:t>
      </w:r>
      <w:r>
        <w:rPr>
          <w:spacing w:val="79"/>
          <w:sz w:val="24"/>
        </w:rPr>
        <w:t> </w:t>
      </w:r>
      <w:r>
        <w:rPr>
          <w:sz w:val="24"/>
        </w:rPr>
        <w:t>4.18a</w:t>
      </w:r>
      <w:r>
        <w:rPr>
          <w:spacing w:val="80"/>
          <w:sz w:val="24"/>
        </w:rPr>
        <w:t> </w:t>
      </w:r>
      <w:r>
        <w:rPr>
          <w:sz w:val="24"/>
        </w:rPr>
        <w:t>and</w:t>
      </w:r>
      <w:r>
        <w:rPr>
          <w:spacing w:val="80"/>
          <w:sz w:val="24"/>
        </w:rPr>
        <w:t> </w:t>
      </w:r>
      <w:r>
        <w:rPr>
          <w:sz w:val="24"/>
        </w:rPr>
        <w:t>Figure</w:t>
      </w:r>
      <w:r>
        <w:rPr>
          <w:spacing w:val="80"/>
          <w:sz w:val="24"/>
        </w:rPr>
        <w:t> </w:t>
      </w:r>
      <w:r>
        <w:rPr>
          <w:sz w:val="24"/>
        </w:rPr>
        <w:t>4.18b</w:t>
      </w:r>
      <w:r>
        <w:rPr>
          <w:spacing w:val="80"/>
          <w:sz w:val="24"/>
        </w:rPr>
        <w:t> </w:t>
      </w:r>
      <w:r>
        <w:rPr>
          <w:sz w:val="24"/>
        </w:rPr>
        <w:t>are</w:t>
      </w:r>
      <w:r>
        <w:rPr>
          <w:spacing w:val="79"/>
          <w:sz w:val="24"/>
        </w:rPr>
        <w:t> </w:t>
      </w:r>
      <w:r>
        <w:rPr>
          <w:sz w:val="24"/>
        </w:rPr>
        <w:t>pentagram</w:t>
      </w:r>
      <w:r>
        <w:rPr>
          <w:spacing w:val="80"/>
          <w:sz w:val="24"/>
        </w:rPr>
        <w:t> </w:t>
      </w:r>
      <w:r>
        <w:rPr>
          <w:sz w:val="24"/>
        </w:rPr>
        <w:t>representations</w:t>
      </w:r>
      <w:r>
        <w:rPr>
          <w:spacing w:val="80"/>
          <w:sz w:val="24"/>
        </w:rPr>
        <w:t> </w:t>
      </w:r>
      <w:r>
        <w:rPr>
          <w:sz w:val="24"/>
        </w:rPr>
        <w:t>for</w:t>
      </w:r>
      <w:r>
        <w:rPr>
          <w:spacing w:val="79"/>
          <w:sz w:val="24"/>
        </w:rPr>
        <w:t> </w:t>
      </w:r>
      <w:r>
        <w:rPr>
          <w:sz w:val="24"/>
        </w:rPr>
        <w:t>each</w:t>
      </w:r>
      <w:r>
        <w:rPr>
          <w:spacing w:val="80"/>
          <w:sz w:val="24"/>
        </w:rPr>
        <w:t> </w:t>
      </w:r>
      <w:r>
        <w:rPr>
          <w:sz w:val="24"/>
        </w:rPr>
        <w:t>of</w:t>
      </w:r>
      <w:r>
        <w:rPr>
          <w:spacing w:val="80"/>
          <w:sz w:val="24"/>
        </w:rPr>
        <w:t> </w:t>
      </w:r>
      <w:r>
        <w:rPr>
          <w:sz w:val="24"/>
        </w:rPr>
        <w:t>the</w:t>
      </w:r>
      <w:r>
        <w:rPr>
          <w:spacing w:val="80"/>
          <w:sz w:val="24"/>
        </w:rPr>
        <w:t> </w:t>
      </w:r>
      <w:r>
        <w:rPr>
          <w:sz w:val="24"/>
        </w:rPr>
        <w:t>eight neigbourhoods</w:t>
      </w:r>
      <w:r>
        <w:rPr>
          <w:spacing w:val="-7"/>
          <w:sz w:val="24"/>
        </w:rPr>
        <w:t> </w:t>
      </w:r>
      <w:r>
        <w:rPr>
          <w:sz w:val="24"/>
        </w:rPr>
        <w:t>in</w:t>
      </w:r>
      <w:r>
        <w:rPr>
          <w:spacing w:val="-7"/>
          <w:sz w:val="24"/>
        </w:rPr>
        <w:t> </w:t>
      </w:r>
      <w:r>
        <w:rPr>
          <w:sz w:val="24"/>
        </w:rPr>
        <w:t>the</w:t>
      </w:r>
      <w:r>
        <w:rPr>
          <w:spacing w:val="-6"/>
          <w:sz w:val="24"/>
        </w:rPr>
        <w:t> </w:t>
      </w:r>
      <w:r>
        <w:rPr>
          <w:sz w:val="24"/>
        </w:rPr>
        <w:t>study</w:t>
      </w:r>
      <w:r>
        <w:rPr>
          <w:spacing w:val="-10"/>
          <w:sz w:val="24"/>
        </w:rPr>
        <w:t> </w:t>
      </w:r>
      <w:r>
        <w:rPr>
          <w:sz w:val="24"/>
        </w:rPr>
        <w:t>area.</w:t>
      </w:r>
      <w:r>
        <w:rPr>
          <w:spacing w:val="-7"/>
          <w:sz w:val="24"/>
        </w:rPr>
        <w:t> </w:t>
      </w:r>
      <w:r>
        <w:rPr>
          <w:sz w:val="24"/>
        </w:rPr>
        <w:t>The</w:t>
      </w:r>
      <w:r>
        <w:rPr>
          <w:spacing w:val="-6"/>
          <w:sz w:val="24"/>
        </w:rPr>
        <w:t> </w:t>
      </w:r>
      <w:r>
        <w:rPr>
          <w:sz w:val="24"/>
        </w:rPr>
        <w:t>results</w:t>
      </w:r>
      <w:r>
        <w:rPr>
          <w:spacing w:val="-7"/>
          <w:sz w:val="24"/>
        </w:rPr>
        <w:t> </w:t>
      </w:r>
      <w:r>
        <w:rPr>
          <w:sz w:val="24"/>
        </w:rPr>
        <w:t>of</w:t>
      </w:r>
      <w:r>
        <w:rPr>
          <w:spacing w:val="-8"/>
          <w:sz w:val="24"/>
        </w:rPr>
        <w:t> </w:t>
      </w:r>
      <w:r>
        <w:rPr>
          <w:sz w:val="24"/>
        </w:rPr>
        <w:t>the</w:t>
      </w:r>
      <w:r>
        <w:rPr>
          <w:spacing w:val="-8"/>
          <w:sz w:val="24"/>
        </w:rPr>
        <w:t> </w:t>
      </w:r>
      <w:r>
        <w:rPr>
          <w:sz w:val="24"/>
        </w:rPr>
        <w:t>pentagrams</w:t>
      </w:r>
      <w:r>
        <w:rPr>
          <w:spacing w:val="-4"/>
          <w:sz w:val="24"/>
        </w:rPr>
        <w:t> </w:t>
      </w:r>
      <w:r>
        <w:rPr>
          <w:sz w:val="24"/>
        </w:rPr>
        <w:t>for</w:t>
      </w:r>
      <w:r>
        <w:rPr>
          <w:spacing w:val="-9"/>
          <w:sz w:val="24"/>
        </w:rPr>
        <w:t> </w:t>
      </w:r>
      <w:r>
        <w:rPr>
          <w:sz w:val="24"/>
        </w:rPr>
        <w:t>the</w:t>
      </w:r>
      <w:r>
        <w:rPr>
          <w:spacing w:val="-6"/>
          <w:sz w:val="24"/>
        </w:rPr>
        <w:t> </w:t>
      </w:r>
      <w:r>
        <w:rPr>
          <w:sz w:val="24"/>
        </w:rPr>
        <w:t>neighbourhoods</w:t>
      </w:r>
      <w:r>
        <w:rPr>
          <w:spacing w:val="-7"/>
          <w:sz w:val="24"/>
        </w:rPr>
        <w:t> </w:t>
      </w:r>
      <w:r>
        <w:rPr>
          <w:sz w:val="24"/>
        </w:rPr>
        <w:t>show that in terms of water resource status, Tudun-Wada (51.08) has the best resource condition while F-Layout (32.80) has the worst condition. In addition, Maitumbi (45.68) has a better water</w:t>
      </w:r>
      <w:r>
        <w:rPr>
          <w:spacing w:val="31"/>
          <w:sz w:val="24"/>
        </w:rPr>
        <w:t> </w:t>
      </w:r>
      <w:r>
        <w:rPr>
          <w:sz w:val="24"/>
        </w:rPr>
        <w:t>resources</w:t>
      </w:r>
      <w:r>
        <w:rPr>
          <w:spacing w:val="31"/>
          <w:sz w:val="24"/>
        </w:rPr>
        <w:t> </w:t>
      </w:r>
      <w:r>
        <w:rPr>
          <w:sz w:val="24"/>
        </w:rPr>
        <w:t>than</w:t>
      </w:r>
      <w:r>
        <w:rPr>
          <w:spacing w:val="30"/>
          <w:sz w:val="24"/>
        </w:rPr>
        <w:t> </w:t>
      </w:r>
      <w:r>
        <w:rPr>
          <w:sz w:val="24"/>
        </w:rPr>
        <w:t>Dutenkura(47.43),</w:t>
      </w:r>
      <w:r>
        <w:rPr>
          <w:spacing w:val="30"/>
          <w:sz w:val="24"/>
        </w:rPr>
        <w:t> </w:t>
      </w:r>
      <w:r>
        <w:rPr>
          <w:sz w:val="24"/>
        </w:rPr>
        <w:t>Kpakungu(46.29),</w:t>
      </w:r>
      <w:r>
        <w:rPr>
          <w:spacing w:val="30"/>
          <w:sz w:val="24"/>
        </w:rPr>
        <w:t> </w:t>
      </w:r>
      <w:r>
        <w:rPr>
          <w:sz w:val="24"/>
        </w:rPr>
        <w:t>Minna-Central(45.68),</w:t>
      </w:r>
      <w:r>
        <w:rPr>
          <w:spacing w:val="30"/>
          <w:sz w:val="24"/>
        </w:rPr>
        <w:t> </w:t>
      </w:r>
      <w:r>
        <w:rPr>
          <w:sz w:val="24"/>
        </w:rPr>
        <w:t>Tudun- Fulani(38.71) and Sukakauta (36.74).</w:t>
      </w:r>
    </w:p>
    <w:p>
      <w:pPr>
        <w:pStyle w:val="BodyText"/>
        <w:spacing w:line="480" w:lineRule="auto" w:before="272"/>
        <w:ind w:left="267" w:right="106"/>
        <w:jc w:val="both"/>
      </w:pPr>
      <w:r>
        <w:rPr/>
        <w:t>The</w:t>
      </w:r>
      <w:r>
        <w:rPr>
          <w:spacing w:val="-5"/>
        </w:rPr>
        <w:t> </w:t>
      </w:r>
      <w:r>
        <w:rPr/>
        <w:t>results</w:t>
      </w:r>
      <w:r>
        <w:rPr>
          <w:spacing w:val="-3"/>
        </w:rPr>
        <w:t> </w:t>
      </w:r>
      <w:r>
        <w:rPr/>
        <w:t>of</w:t>
      </w:r>
      <w:r>
        <w:rPr>
          <w:spacing w:val="-3"/>
        </w:rPr>
        <w:t> </w:t>
      </w:r>
      <w:r>
        <w:rPr/>
        <w:t>the</w:t>
      </w:r>
      <w:r>
        <w:rPr>
          <w:spacing w:val="-4"/>
        </w:rPr>
        <w:t> </w:t>
      </w:r>
      <w:r>
        <w:rPr/>
        <w:t>pentagrams</w:t>
      </w:r>
      <w:r>
        <w:rPr>
          <w:spacing w:val="-3"/>
        </w:rPr>
        <w:t> </w:t>
      </w:r>
      <w:r>
        <w:rPr/>
        <w:t>also</w:t>
      </w:r>
      <w:r>
        <w:rPr>
          <w:spacing w:val="-3"/>
        </w:rPr>
        <w:t> </w:t>
      </w:r>
      <w:r>
        <w:rPr/>
        <w:t>identified</w:t>
      </w:r>
      <w:r>
        <w:rPr>
          <w:spacing w:val="-3"/>
        </w:rPr>
        <w:t> </w:t>
      </w:r>
      <w:r>
        <w:rPr/>
        <w:t>differences</w:t>
      </w:r>
      <w:r>
        <w:rPr>
          <w:spacing w:val="-3"/>
        </w:rPr>
        <w:t> </w:t>
      </w:r>
      <w:r>
        <w:rPr/>
        <w:t>in</w:t>
      </w:r>
      <w:r>
        <w:rPr>
          <w:spacing w:val="-3"/>
        </w:rPr>
        <w:t> </w:t>
      </w:r>
      <w:r>
        <w:rPr/>
        <w:t>the</w:t>
      </w:r>
      <w:r>
        <w:rPr>
          <w:spacing w:val="-4"/>
        </w:rPr>
        <w:t> </w:t>
      </w:r>
      <w:r>
        <w:rPr/>
        <w:t>neighbourhoods</w:t>
      </w:r>
      <w:r>
        <w:rPr>
          <w:spacing w:val="-3"/>
        </w:rPr>
        <w:t> </w:t>
      </w:r>
      <w:r>
        <w:rPr/>
        <w:t>in</w:t>
      </w:r>
      <w:r>
        <w:rPr>
          <w:spacing w:val="-3"/>
        </w:rPr>
        <w:t> </w:t>
      </w:r>
      <w:r>
        <w:rPr/>
        <w:t>respect</w:t>
      </w:r>
      <w:r>
        <w:rPr>
          <w:spacing w:val="-3"/>
        </w:rPr>
        <w:t> </w:t>
      </w:r>
      <w:r>
        <w:rPr/>
        <w:t>of access</w:t>
      </w:r>
      <w:r>
        <w:rPr>
          <w:spacing w:val="-3"/>
        </w:rPr>
        <w:t> </w:t>
      </w:r>
      <w:r>
        <w:rPr/>
        <w:t>to</w:t>
      </w:r>
      <w:r>
        <w:rPr>
          <w:spacing w:val="-3"/>
        </w:rPr>
        <w:t> </w:t>
      </w:r>
      <w:r>
        <w:rPr/>
        <w:t>water</w:t>
      </w:r>
      <w:r>
        <w:rPr>
          <w:spacing w:val="-5"/>
        </w:rPr>
        <w:t> </w:t>
      </w:r>
      <w:r>
        <w:rPr/>
        <w:t>services.</w:t>
      </w:r>
      <w:r>
        <w:rPr>
          <w:spacing w:val="-3"/>
        </w:rPr>
        <w:t> </w:t>
      </w:r>
      <w:r>
        <w:rPr/>
        <w:t>Dutsenkura</w:t>
      </w:r>
      <w:r>
        <w:rPr>
          <w:spacing w:val="-4"/>
        </w:rPr>
        <w:t> </w:t>
      </w:r>
      <w:r>
        <w:rPr/>
        <w:t>(47.58)</w:t>
      </w:r>
      <w:r>
        <w:rPr>
          <w:spacing w:val="-3"/>
        </w:rPr>
        <w:t> </w:t>
      </w:r>
      <w:r>
        <w:rPr/>
        <w:t>has</w:t>
      </w:r>
      <w:r>
        <w:rPr>
          <w:spacing w:val="-3"/>
        </w:rPr>
        <w:t> </w:t>
      </w:r>
      <w:r>
        <w:rPr/>
        <w:t>the</w:t>
      </w:r>
      <w:r>
        <w:rPr>
          <w:spacing w:val="-3"/>
        </w:rPr>
        <w:t> </w:t>
      </w:r>
      <w:r>
        <w:rPr/>
        <w:t>highest</w:t>
      </w:r>
      <w:r>
        <w:rPr>
          <w:spacing w:val="-3"/>
        </w:rPr>
        <w:t> </w:t>
      </w:r>
      <w:r>
        <w:rPr/>
        <w:t>access</w:t>
      </w:r>
      <w:r>
        <w:rPr>
          <w:spacing w:val="-3"/>
        </w:rPr>
        <w:t> </w:t>
      </w:r>
      <w:r>
        <w:rPr/>
        <w:t>to</w:t>
      </w:r>
      <w:r>
        <w:rPr>
          <w:spacing w:val="-3"/>
        </w:rPr>
        <w:t> </w:t>
      </w:r>
      <w:r>
        <w:rPr/>
        <w:t>water</w:t>
      </w:r>
      <w:r>
        <w:rPr>
          <w:spacing w:val="-3"/>
        </w:rPr>
        <w:t> </w:t>
      </w:r>
      <w:r>
        <w:rPr/>
        <w:t>relative</w:t>
      </w:r>
      <w:r>
        <w:rPr>
          <w:spacing w:val="-3"/>
        </w:rPr>
        <w:t> </w:t>
      </w:r>
      <w:r>
        <w:rPr/>
        <w:t>to</w:t>
      </w:r>
      <w:r>
        <w:rPr>
          <w:spacing w:val="-3"/>
        </w:rPr>
        <w:t> </w:t>
      </w:r>
      <w:r>
        <w:rPr/>
        <w:t>other neighbourhoods. Apart from Dutsenkura, Minna-Central (45.45) and Tudun-Wada South (41.25) are next in hierarchy, followed by Maitumbi(38.61), Tudun-Fulani(38.48) and Kpakungu</w:t>
      </w:r>
      <w:r>
        <w:rPr>
          <w:spacing w:val="-1"/>
        </w:rPr>
        <w:t> </w:t>
      </w:r>
      <w:r>
        <w:rPr/>
        <w:t>(28.52)</w:t>
      </w:r>
      <w:r>
        <w:rPr>
          <w:spacing w:val="-2"/>
        </w:rPr>
        <w:t> </w:t>
      </w:r>
      <w:r>
        <w:rPr/>
        <w:t>when cognizance</w:t>
      </w:r>
      <w:r>
        <w:rPr>
          <w:spacing w:val="-2"/>
        </w:rPr>
        <w:t> </w:t>
      </w:r>
      <w:r>
        <w:rPr/>
        <w:t>is</w:t>
      </w:r>
      <w:r>
        <w:rPr>
          <w:spacing w:val="-1"/>
        </w:rPr>
        <w:t> </w:t>
      </w:r>
      <w:r>
        <w:rPr/>
        <w:t>given</w:t>
      </w:r>
      <w:r>
        <w:rPr>
          <w:spacing w:val="-2"/>
        </w:rPr>
        <w:t> </w:t>
      </w:r>
      <w:r>
        <w:rPr/>
        <w:t>to</w:t>
      </w:r>
      <w:r>
        <w:rPr>
          <w:spacing w:val="-1"/>
        </w:rPr>
        <w:t> </w:t>
      </w:r>
      <w:r>
        <w:rPr/>
        <w:t>households’</w:t>
      </w:r>
      <w:r>
        <w:rPr>
          <w:spacing w:val="-2"/>
        </w:rPr>
        <w:t> </w:t>
      </w:r>
      <w:r>
        <w:rPr/>
        <w:t>access</w:t>
      </w:r>
      <w:r>
        <w:rPr>
          <w:spacing w:val="-1"/>
        </w:rPr>
        <w:t> </w:t>
      </w:r>
      <w:r>
        <w:rPr/>
        <w:t>to</w:t>
      </w:r>
      <w:r>
        <w:rPr>
          <w:spacing w:val="-1"/>
        </w:rPr>
        <w:t> </w:t>
      </w:r>
      <w:r>
        <w:rPr/>
        <w:t>public</w:t>
      </w:r>
      <w:r>
        <w:rPr>
          <w:spacing w:val="-2"/>
        </w:rPr>
        <w:t> </w:t>
      </w:r>
      <w:r>
        <w:rPr/>
        <w:t>pipe</w:t>
      </w:r>
      <w:r>
        <w:rPr>
          <w:spacing w:val="-2"/>
        </w:rPr>
        <w:t> </w:t>
      </w:r>
      <w:r>
        <w:rPr/>
        <w:t>water, the number of trips to water collection source, presence or other of water conflict and water treatment.</w:t>
      </w:r>
      <w:r>
        <w:rPr>
          <w:spacing w:val="-13"/>
        </w:rPr>
        <w:t> </w:t>
      </w:r>
      <w:r>
        <w:rPr/>
        <w:t>However,</w:t>
      </w:r>
      <w:r>
        <w:rPr>
          <w:spacing w:val="-11"/>
        </w:rPr>
        <w:t> </w:t>
      </w:r>
      <w:r>
        <w:rPr/>
        <w:t>F-Layout</w:t>
      </w:r>
      <w:r>
        <w:rPr>
          <w:spacing w:val="-10"/>
        </w:rPr>
        <w:t> </w:t>
      </w:r>
      <w:r>
        <w:rPr/>
        <w:t>(26.90)</w:t>
      </w:r>
      <w:r>
        <w:rPr>
          <w:spacing w:val="-11"/>
        </w:rPr>
        <w:t> </w:t>
      </w:r>
      <w:r>
        <w:rPr/>
        <w:t>has</w:t>
      </w:r>
      <w:r>
        <w:rPr>
          <w:spacing w:val="-10"/>
        </w:rPr>
        <w:t> </w:t>
      </w:r>
      <w:r>
        <w:rPr/>
        <w:t>the</w:t>
      </w:r>
      <w:r>
        <w:rPr>
          <w:spacing w:val="-11"/>
        </w:rPr>
        <w:t> </w:t>
      </w:r>
      <w:r>
        <w:rPr/>
        <w:t>least</w:t>
      </w:r>
      <w:r>
        <w:rPr>
          <w:spacing w:val="-10"/>
        </w:rPr>
        <w:t> </w:t>
      </w:r>
      <w:r>
        <w:rPr/>
        <w:t>access</w:t>
      </w:r>
      <w:r>
        <w:rPr>
          <w:spacing w:val="-10"/>
        </w:rPr>
        <w:t> </w:t>
      </w:r>
      <w:r>
        <w:rPr/>
        <w:t>to</w:t>
      </w:r>
      <w:r>
        <w:rPr>
          <w:spacing w:val="-10"/>
        </w:rPr>
        <w:t> </w:t>
      </w:r>
      <w:r>
        <w:rPr/>
        <w:t>water</w:t>
      </w:r>
      <w:r>
        <w:rPr>
          <w:spacing w:val="-12"/>
        </w:rPr>
        <w:t> </w:t>
      </w:r>
      <w:r>
        <w:rPr/>
        <w:t>services</w:t>
      </w:r>
      <w:r>
        <w:rPr>
          <w:spacing w:val="-10"/>
        </w:rPr>
        <w:t> </w:t>
      </w:r>
      <w:r>
        <w:rPr/>
        <w:t>in</w:t>
      </w:r>
      <w:r>
        <w:rPr>
          <w:spacing w:val="-10"/>
        </w:rPr>
        <w:t> </w:t>
      </w:r>
      <w:r>
        <w:rPr/>
        <w:t>the</w:t>
      </w:r>
      <w:r>
        <w:rPr>
          <w:spacing w:val="-11"/>
        </w:rPr>
        <w:t> </w:t>
      </w:r>
      <w:r>
        <w:rPr/>
        <w:t>study</w:t>
      </w:r>
      <w:r>
        <w:rPr>
          <w:spacing w:val="-15"/>
        </w:rPr>
        <w:t> </w:t>
      </w:r>
      <w:r>
        <w:rPr/>
        <w:t>area. Perhaps this can be attributed to its poor water resource status compared to other neighbourhoods as shown in Figure 4.18b.</w:t>
      </w:r>
    </w:p>
    <w:p>
      <w:pPr>
        <w:pStyle w:val="BodyText"/>
        <w:spacing w:before="1"/>
      </w:pPr>
    </w:p>
    <w:p>
      <w:pPr>
        <w:pStyle w:val="BodyText"/>
        <w:spacing w:line="480" w:lineRule="auto"/>
        <w:ind w:left="267" w:right="108"/>
        <w:jc w:val="both"/>
      </w:pPr>
      <w:r>
        <w:rPr/>
        <w:t>The results further show that the neighbourhood capacity to manage water based on the households’ level of education, employment and financial capacity range from 57.68 to 44.07, with Kpakungu having the highest capacity component value. Furthermore, Tudun- Fulani (54.06) exhibits better capacity than Saukakahuta (51.94), Minna-Central (50.37), Maitumbi</w:t>
      </w:r>
      <w:r>
        <w:rPr>
          <w:spacing w:val="-2"/>
        </w:rPr>
        <w:t> </w:t>
      </w:r>
      <w:r>
        <w:rPr/>
        <w:t>(48.73),</w:t>
      </w:r>
      <w:r>
        <w:rPr>
          <w:spacing w:val="-3"/>
        </w:rPr>
        <w:t> </w:t>
      </w:r>
      <w:r>
        <w:rPr/>
        <w:t>Tudun-Wada</w:t>
      </w:r>
      <w:r>
        <w:rPr>
          <w:spacing w:val="-3"/>
        </w:rPr>
        <w:t> </w:t>
      </w:r>
      <w:r>
        <w:rPr/>
        <w:t>South</w:t>
      </w:r>
      <w:r>
        <w:rPr>
          <w:spacing w:val="-2"/>
        </w:rPr>
        <w:t> </w:t>
      </w:r>
      <w:r>
        <w:rPr/>
        <w:t>(47.31),</w:t>
      </w:r>
      <w:r>
        <w:rPr>
          <w:spacing w:val="-3"/>
        </w:rPr>
        <w:t> </w:t>
      </w:r>
      <w:r>
        <w:rPr/>
        <w:t>F-Layout</w:t>
      </w:r>
      <w:r>
        <w:rPr>
          <w:spacing w:val="-2"/>
        </w:rPr>
        <w:t> </w:t>
      </w:r>
      <w:r>
        <w:rPr/>
        <w:t>(44.45),</w:t>
      </w:r>
      <w:r>
        <w:rPr>
          <w:spacing w:val="-3"/>
        </w:rPr>
        <w:t> </w:t>
      </w:r>
      <w:r>
        <w:rPr/>
        <w:t>while</w:t>
      </w:r>
      <w:r>
        <w:rPr>
          <w:spacing w:val="-3"/>
        </w:rPr>
        <w:t> </w:t>
      </w:r>
      <w:r>
        <w:rPr/>
        <w:t>Dutsenkura</w:t>
      </w:r>
      <w:r>
        <w:rPr>
          <w:spacing w:val="-3"/>
        </w:rPr>
        <w:t> </w:t>
      </w:r>
      <w:r>
        <w:rPr/>
        <w:t>(44.07) exhibits the lowest capacity value.</w:t>
      </w:r>
    </w:p>
    <w:p>
      <w:pPr>
        <w:spacing w:after="0" w:line="480" w:lineRule="auto"/>
        <w:jc w:val="both"/>
        <w:sectPr>
          <w:pgSz w:w="12240" w:h="15840"/>
          <w:pgMar w:header="0" w:footer="1068" w:top="1340" w:bottom="1260" w:left="1720" w:right="1300"/>
        </w:sectPr>
      </w:pPr>
    </w:p>
    <w:p>
      <w:pPr>
        <w:pStyle w:val="BodyText"/>
        <w:spacing w:line="480" w:lineRule="auto" w:before="63" w:after="23"/>
        <w:ind w:left="267" w:right="106"/>
        <w:jc w:val="both"/>
      </w:pPr>
      <w:r>
        <w:rPr/>
        <w:t>The</w:t>
      </w:r>
      <w:r>
        <w:rPr>
          <w:spacing w:val="-7"/>
        </w:rPr>
        <w:t> </w:t>
      </w:r>
      <w:r>
        <w:rPr/>
        <w:t>use</w:t>
      </w:r>
      <w:r>
        <w:rPr>
          <w:spacing w:val="-7"/>
        </w:rPr>
        <w:t> </w:t>
      </w:r>
      <w:r>
        <w:rPr/>
        <w:t>component</w:t>
      </w:r>
      <w:r>
        <w:rPr>
          <w:spacing w:val="-6"/>
        </w:rPr>
        <w:t> </w:t>
      </w:r>
      <w:r>
        <w:rPr/>
        <w:t>which</w:t>
      </w:r>
      <w:r>
        <w:rPr>
          <w:spacing w:val="-6"/>
        </w:rPr>
        <w:t> </w:t>
      </w:r>
      <w:r>
        <w:rPr/>
        <w:t>assesses</w:t>
      </w:r>
      <w:r>
        <w:rPr>
          <w:spacing w:val="-6"/>
        </w:rPr>
        <w:t> </w:t>
      </w:r>
      <w:r>
        <w:rPr/>
        <w:t>the</w:t>
      </w:r>
      <w:r>
        <w:rPr>
          <w:spacing w:val="-6"/>
        </w:rPr>
        <w:t> </w:t>
      </w:r>
      <w:r>
        <w:rPr/>
        <w:t>result</w:t>
      </w:r>
      <w:r>
        <w:rPr>
          <w:spacing w:val="-5"/>
        </w:rPr>
        <w:t> </w:t>
      </w:r>
      <w:r>
        <w:rPr/>
        <w:t>of</w:t>
      </w:r>
      <w:r>
        <w:rPr>
          <w:spacing w:val="-7"/>
        </w:rPr>
        <w:t> </w:t>
      </w:r>
      <w:r>
        <w:rPr/>
        <w:t>efficiency</w:t>
      </w:r>
      <w:r>
        <w:rPr>
          <w:spacing w:val="-11"/>
        </w:rPr>
        <w:t> </w:t>
      </w:r>
      <w:r>
        <w:rPr/>
        <w:t>in</w:t>
      </w:r>
      <w:r>
        <w:rPr>
          <w:spacing w:val="-5"/>
        </w:rPr>
        <w:t> </w:t>
      </w:r>
      <w:r>
        <w:rPr/>
        <w:t>water</w:t>
      </w:r>
      <w:r>
        <w:rPr>
          <w:spacing w:val="-7"/>
        </w:rPr>
        <w:t> </w:t>
      </w:r>
      <w:r>
        <w:rPr/>
        <w:t>use</w:t>
      </w:r>
      <w:r>
        <w:rPr>
          <w:spacing w:val="-7"/>
        </w:rPr>
        <w:t> </w:t>
      </w:r>
      <w:r>
        <w:rPr/>
        <w:t>revealed</w:t>
      </w:r>
      <w:r>
        <w:rPr>
          <w:spacing w:val="-6"/>
        </w:rPr>
        <w:t> </w:t>
      </w:r>
      <w:r>
        <w:rPr/>
        <w:t>that</w:t>
      </w:r>
      <w:r>
        <w:rPr>
          <w:spacing w:val="-6"/>
        </w:rPr>
        <w:t> </w:t>
      </w:r>
      <w:r>
        <w:rPr/>
        <w:t>relative to other neighbourhoods, Tudun-Fulani exhibits the highest use value of 24.57 in respect of water</w:t>
      </w:r>
      <w:r>
        <w:rPr>
          <w:spacing w:val="-6"/>
        </w:rPr>
        <w:t> </w:t>
      </w:r>
      <w:r>
        <w:rPr/>
        <w:t>efficiency.</w:t>
      </w:r>
      <w:r>
        <w:rPr>
          <w:spacing w:val="-5"/>
        </w:rPr>
        <w:t> </w:t>
      </w:r>
      <w:r>
        <w:rPr/>
        <w:t>This</w:t>
      </w:r>
      <w:r>
        <w:rPr>
          <w:spacing w:val="-5"/>
        </w:rPr>
        <w:t> </w:t>
      </w:r>
      <w:r>
        <w:rPr/>
        <w:t>is</w:t>
      </w:r>
      <w:r>
        <w:rPr>
          <w:spacing w:val="-5"/>
        </w:rPr>
        <w:t> </w:t>
      </w:r>
      <w:r>
        <w:rPr/>
        <w:t>aptly</w:t>
      </w:r>
      <w:r>
        <w:rPr>
          <w:spacing w:val="-10"/>
        </w:rPr>
        <w:t> </w:t>
      </w:r>
      <w:r>
        <w:rPr/>
        <w:t>followed</w:t>
      </w:r>
      <w:r>
        <w:rPr>
          <w:spacing w:val="-5"/>
        </w:rPr>
        <w:t> </w:t>
      </w:r>
      <w:r>
        <w:rPr/>
        <w:t>by</w:t>
      </w:r>
      <w:r>
        <w:rPr>
          <w:spacing w:val="-10"/>
        </w:rPr>
        <w:t> </w:t>
      </w:r>
      <w:r>
        <w:rPr/>
        <w:t>Saukakahuta</w:t>
      </w:r>
      <w:r>
        <w:rPr>
          <w:spacing w:val="-3"/>
        </w:rPr>
        <w:t> </w:t>
      </w:r>
      <w:r>
        <w:rPr/>
        <w:t>and</w:t>
      </w:r>
      <w:r>
        <w:rPr>
          <w:spacing w:val="-5"/>
        </w:rPr>
        <w:t> </w:t>
      </w:r>
      <w:r>
        <w:rPr/>
        <w:t>F-Layout</w:t>
      </w:r>
      <w:r>
        <w:rPr>
          <w:spacing w:val="-5"/>
        </w:rPr>
        <w:t> </w:t>
      </w:r>
      <w:r>
        <w:rPr/>
        <w:t>with</w:t>
      </w:r>
      <w:r>
        <w:rPr>
          <w:spacing w:val="-5"/>
        </w:rPr>
        <w:t> </w:t>
      </w:r>
      <w:r>
        <w:rPr/>
        <w:t>a</w:t>
      </w:r>
      <w:r>
        <w:rPr>
          <w:spacing w:val="-6"/>
        </w:rPr>
        <w:t> </w:t>
      </w:r>
      <w:r>
        <w:rPr/>
        <w:t>use</w:t>
      </w:r>
      <w:r>
        <w:rPr>
          <w:spacing w:val="-6"/>
        </w:rPr>
        <w:t> </w:t>
      </w:r>
      <w:r>
        <w:rPr/>
        <w:t>component value</w:t>
      </w:r>
      <w:r>
        <w:rPr>
          <w:spacing w:val="-3"/>
        </w:rPr>
        <w:t> </w:t>
      </w:r>
      <w:r>
        <w:rPr/>
        <w:t>of</w:t>
      </w:r>
      <w:r>
        <w:rPr>
          <w:spacing w:val="-5"/>
        </w:rPr>
        <w:t> </w:t>
      </w:r>
      <w:r>
        <w:rPr/>
        <w:t>19.87</w:t>
      </w:r>
      <w:r>
        <w:rPr>
          <w:spacing w:val="-3"/>
        </w:rPr>
        <w:t> </w:t>
      </w:r>
      <w:r>
        <w:rPr/>
        <w:t>and</w:t>
      </w:r>
      <w:r>
        <w:rPr>
          <w:spacing w:val="-3"/>
        </w:rPr>
        <w:t> </w:t>
      </w:r>
      <w:r>
        <w:rPr/>
        <w:t>18.99</w:t>
      </w:r>
      <w:r>
        <w:rPr>
          <w:spacing w:val="-1"/>
        </w:rPr>
        <w:t> </w:t>
      </w:r>
      <w:r>
        <w:rPr/>
        <w:t>respectively.</w:t>
      </w:r>
      <w:r>
        <w:rPr>
          <w:spacing w:val="-3"/>
        </w:rPr>
        <w:t> </w:t>
      </w:r>
      <w:r>
        <w:rPr/>
        <w:t>Next</w:t>
      </w:r>
      <w:r>
        <w:rPr>
          <w:spacing w:val="-3"/>
        </w:rPr>
        <w:t> </w:t>
      </w:r>
      <w:r>
        <w:rPr/>
        <w:t>in</w:t>
      </w:r>
      <w:r>
        <w:rPr>
          <w:spacing w:val="-3"/>
        </w:rPr>
        <w:t> </w:t>
      </w:r>
      <w:r>
        <w:rPr/>
        <w:t>descending</w:t>
      </w:r>
      <w:r>
        <w:rPr>
          <w:spacing w:val="-6"/>
        </w:rPr>
        <w:t> </w:t>
      </w:r>
      <w:r>
        <w:rPr/>
        <w:t>order</w:t>
      </w:r>
      <w:r>
        <w:rPr>
          <w:spacing w:val="-3"/>
        </w:rPr>
        <w:t> </w:t>
      </w:r>
      <w:r>
        <w:rPr/>
        <w:t>of</w:t>
      </w:r>
      <w:r>
        <w:rPr>
          <w:spacing w:val="-5"/>
        </w:rPr>
        <w:t> </w:t>
      </w:r>
      <w:r>
        <w:rPr/>
        <w:t>the</w:t>
      </w:r>
      <w:r>
        <w:rPr>
          <w:spacing w:val="-3"/>
        </w:rPr>
        <w:t> </w:t>
      </w:r>
      <w:r>
        <w:rPr/>
        <w:t>use</w:t>
      </w:r>
      <w:r>
        <w:rPr>
          <w:spacing w:val="-3"/>
        </w:rPr>
        <w:t> </w:t>
      </w:r>
      <w:r>
        <w:rPr/>
        <w:t>component</w:t>
      </w:r>
      <w:r>
        <w:rPr>
          <w:spacing w:val="-3"/>
        </w:rPr>
        <w:t> </w:t>
      </w:r>
      <w:r>
        <w:rPr/>
        <w:t>value are</w:t>
      </w:r>
      <w:r>
        <w:rPr>
          <w:spacing w:val="-15"/>
        </w:rPr>
        <w:t> </w:t>
      </w:r>
      <w:r>
        <w:rPr/>
        <w:t>Minna-Central</w:t>
      </w:r>
      <w:r>
        <w:rPr>
          <w:spacing w:val="-15"/>
        </w:rPr>
        <w:t> </w:t>
      </w:r>
      <w:r>
        <w:rPr/>
        <w:t>(18.20),</w:t>
      </w:r>
      <w:r>
        <w:rPr>
          <w:spacing w:val="-15"/>
        </w:rPr>
        <w:t> </w:t>
      </w:r>
      <w:r>
        <w:rPr/>
        <w:t>Tudun-Wada</w:t>
      </w:r>
      <w:r>
        <w:rPr>
          <w:spacing w:val="-15"/>
        </w:rPr>
        <w:t> </w:t>
      </w:r>
      <w:r>
        <w:rPr/>
        <w:t>South</w:t>
      </w:r>
      <w:r>
        <w:rPr>
          <w:spacing w:val="-15"/>
        </w:rPr>
        <w:t> </w:t>
      </w:r>
      <w:r>
        <w:rPr/>
        <w:t>(15.10),</w:t>
      </w:r>
      <w:r>
        <w:rPr>
          <w:spacing w:val="-15"/>
        </w:rPr>
        <w:t> </w:t>
      </w:r>
      <w:r>
        <w:rPr/>
        <w:t>Dutsenkura</w:t>
      </w:r>
      <w:r>
        <w:rPr>
          <w:spacing w:val="-15"/>
        </w:rPr>
        <w:t> </w:t>
      </w:r>
      <w:r>
        <w:rPr/>
        <w:t>(12.85),</w:t>
      </w:r>
      <w:r>
        <w:rPr>
          <w:spacing w:val="-13"/>
        </w:rPr>
        <w:t> </w:t>
      </w:r>
      <w:r>
        <w:rPr/>
        <w:t>Maitumbi(9.44) whereas Kpakungu has the least.</w:t>
      </w:r>
    </w:p>
    <w:tbl>
      <w:tblPr>
        <w:tblW w:w="0" w:type="auto"/>
        <w:jc w:val="left"/>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01"/>
        <w:gridCol w:w="3856"/>
      </w:tblGrid>
      <w:tr>
        <w:trPr>
          <w:trHeight w:val="4191" w:hRule="atLeast"/>
        </w:trPr>
        <w:tc>
          <w:tcPr>
            <w:tcW w:w="4001" w:type="dxa"/>
            <w:tcBorders>
              <w:bottom w:val="double" w:sz="6" w:space="0" w:color="000000"/>
            </w:tcBorders>
          </w:tcPr>
          <w:p>
            <w:pPr>
              <w:pStyle w:val="TableParagraph"/>
              <w:ind w:left="6"/>
              <w:rPr>
                <w:sz w:val="20"/>
              </w:rPr>
            </w:pPr>
            <w:r>
              <w:rPr>
                <w:sz w:val="20"/>
              </w:rPr>
              <w:drawing>
                <wp:inline distT="0" distB="0" distL="0" distR="0">
                  <wp:extent cx="2498100" cy="264566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48" cstate="print"/>
                          <a:stretch>
                            <a:fillRect/>
                          </a:stretch>
                        </pic:blipFill>
                        <pic:spPr>
                          <a:xfrm>
                            <a:off x="0" y="0"/>
                            <a:ext cx="2498100" cy="2645664"/>
                          </a:xfrm>
                          <a:prstGeom prst="rect">
                            <a:avLst/>
                          </a:prstGeom>
                        </pic:spPr>
                      </pic:pic>
                    </a:graphicData>
                  </a:graphic>
                </wp:inline>
              </w:drawing>
            </w:r>
            <w:r>
              <w:rPr>
                <w:sz w:val="20"/>
              </w:rPr>
            </w:r>
          </w:p>
        </w:tc>
        <w:tc>
          <w:tcPr>
            <w:tcW w:w="3856" w:type="dxa"/>
            <w:tcBorders>
              <w:bottom w:val="double" w:sz="6" w:space="0" w:color="000000"/>
            </w:tcBorders>
          </w:tcPr>
          <w:p>
            <w:pPr>
              <w:pStyle w:val="TableParagraph"/>
              <w:ind w:left="-3" w:right="-58"/>
              <w:rPr>
                <w:sz w:val="20"/>
              </w:rPr>
            </w:pPr>
            <w:r>
              <w:rPr>
                <w:sz w:val="20"/>
              </w:rPr>
              <w:drawing>
                <wp:inline distT="0" distB="0" distL="0" distR="0">
                  <wp:extent cx="2450768" cy="2651760"/>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49" cstate="print"/>
                          <a:stretch>
                            <a:fillRect/>
                          </a:stretch>
                        </pic:blipFill>
                        <pic:spPr>
                          <a:xfrm>
                            <a:off x="0" y="0"/>
                            <a:ext cx="2450768" cy="2651760"/>
                          </a:xfrm>
                          <a:prstGeom prst="rect">
                            <a:avLst/>
                          </a:prstGeom>
                        </pic:spPr>
                      </pic:pic>
                    </a:graphicData>
                  </a:graphic>
                </wp:inline>
              </w:drawing>
            </w:r>
            <w:r>
              <w:rPr>
                <w:sz w:val="20"/>
              </w:rPr>
            </w:r>
          </w:p>
        </w:tc>
      </w:tr>
      <w:tr>
        <w:trPr>
          <w:trHeight w:val="4395" w:hRule="atLeast"/>
        </w:trPr>
        <w:tc>
          <w:tcPr>
            <w:tcW w:w="4001" w:type="dxa"/>
            <w:tcBorders>
              <w:top w:val="double" w:sz="6" w:space="0" w:color="000000"/>
            </w:tcBorders>
          </w:tcPr>
          <w:p>
            <w:pPr>
              <w:pStyle w:val="TableParagraph"/>
              <w:ind w:left="6"/>
              <w:rPr>
                <w:sz w:val="20"/>
              </w:rPr>
            </w:pPr>
            <w:r>
              <w:rPr>
                <w:sz w:val="20"/>
              </w:rPr>
              <w:drawing>
                <wp:inline distT="0" distB="0" distL="0" distR="0">
                  <wp:extent cx="2501054" cy="2748343"/>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50" cstate="print"/>
                          <a:stretch>
                            <a:fillRect/>
                          </a:stretch>
                        </pic:blipFill>
                        <pic:spPr>
                          <a:xfrm>
                            <a:off x="0" y="0"/>
                            <a:ext cx="2501054" cy="2748343"/>
                          </a:xfrm>
                          <a:prstGeom prst="rect">
                            <a:avLst/>
                          </a:prstGeom>
                        </pic:spPr>
                      </pic:pic>
                    </a:graphicData>
                  </a:graphic>
                </wp:inline>
              </w:drawing>
            </w:r>
            <w:r>
              <w:rPr>
                <w:sz w:val="20"/>
              </w:rPr>
            </w:r>
          </w:p>
        </w:tc>
        <w:tc>
          <w:tcPr>
            <w:tcW w:w="3856" w:type="dxa"/>
            <w:tcBorders>
              <w:top w:val="double" w:sz="6" w:space="0" w:color="000000"/>
            </w:tcBorders>
          </w:tcPr>
          <w:p>
            <w:pPr>
              <w:pStyle w:val="TableParagraph"/>
              <w:ind w:left="57"/>
              <w:rPr>
                <w:sz w:val="20"/>
              </w:rPr>
            </w:pPr>
            <w:r>
              <w:rPr>
                <w:sz w:val="20"/>
              </w:rPr>
              <w:drawing>
                <wp:inline distT="0" distB="0" distL="0" distR="0">
                  <wp:extent cx="2367053" cy="2736342"/>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51" cstate="print"/>
                          <a:stretch>
                            <a:fillRect/>
                          </a:stretch>
                        </pic:blipFill>
                        <pic:spPr>
                          <a:xfrm>
                            <a:off x="0" y="0"/>
                            <a:ext cx="2367053" cy="2736342"/>
                          </a:xfrm>
                          <a:prstGeom prst="rect">
                            <a:avLst/>
                          </a:prstGeom>
                        </pic:spPr>
                      </pic:pic>
                    </a:graphicData>
                  </a:graphic>
                </wp:inline>
              </w:drawing>
            </w:r>
            <w:r>
              <w:rPr>
                <w:sz w:val="20"/>
              </w:rPr>
            </w:r>
          </w:p>
        </w:tc>
      </w:tr>
    </w:tbl>
    <w:p>
      <w:pPr>
        <w:pStyle w:val="Heading1"/>
        <w:spacing w:before="23"/>
        <w:ind w:right="110"/>
        <w:jc w:val="both"/>
      </w:pPr>
      <w:r>
        <w:rPr/>
        <w:t>Figure 4.18a: Pentagram Representations of Water Poverty Components for the </w:t>
      </w:r>
      <w:r>
        <w:rPr>
          <w:spacing w:val="-2"/>
        </w:rPr>
        <w:t>Neighbourhoods</w:t>
      </w:r>
    </w:p>
    <w:p>
      <w:pPr>
        <w:pStyle w:val="BodyText"/>
        <w:spacing w:line="271" w:lineRule="exact"/>
        <w:ind w:left="267"/>
        <w:jc w:val="both"/>
      </w:pPr>
      <w:r>
        <w:rPr/>
        <w:t>Source:</w:t>
      </w:r>
      <w:r>
        <w:rPr>
          <w:spacing w:val="-4"/>
        </w:rPr>
        <w:t> </w:t>
      </w:r>
      <w:r>
        <w:rPr/>
        <w:t>Author’s</w:t>
      </w:r>
      <w:r>
        <w:rPr>
          <w:spacing w:val="-3"/>
        </w:rPr>
        <w:t> </w:t>
      </w:r>
      <w:r>
        <w:rPr/>
        <w:t>Analysis</w:t>
      </w:r>
      <w:r>
        <w:rPr>
          <w:spacing w:val="-2"/>
        </w:rPr>
        <w:t> (2021)</w:t>
      </w:r>
    </w:p>
    <w:p>
      <w:pPr>
        <w:spacing w:after="0" w:line="271" w:lineRule="exact"/>
        <w:jc w:val="both"/>
        <w:sectPr>
          <w:pgSz w:w="12240" w:h="15840"/>
          <w:pgMar w:header="0" w:footer="1068" w:top="1340" w:bottom="1260" w:left="1720" w:right="1300"/>
        </w:sectPr>
      </w:pPr>
    </w:p>
    <w:tbl>
      <w:tblPr>
        <w:tblW w:w="0" w:type="auto"/>
        <w:jc w:val="left"/>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94"/>
        <w:gridCol w:w="4092"/>
      </w:tblGrid>
      <w:tr>
        <w:trPr>
          <w:trHeight w:val="4411" w:hRule="atLeast"/>
        </w:trPr>
        <w:tc>
          <w:tcPr>
            <w:tcW w:w="4094" w:type="dxa"/>
            <w:tcBorders>
              <w:bottom w:val="double" w:sz="6" w:space="0" w:color="000000"/>
              <w:right w:val="double" w:sz="6" w:space="0" w:color="000000"/>
            </w:tcBorders>
          </w:tcPr>
          <w:p>
            <w:pPr>
              <w:pStyle w:val="TableParagraph"/>
              <w:ind w:left="6" w:right="-15"/>
              <w:rPr>
                <w:sz w:val="20"/>
              </w:rPr>
            </w:pPr>
            <w:r>
              <w:rPr>
                <w:sz w:val="20"/>
              </w:rPr>
              <w:drawing>
                <wp:inline distT="0" distB="0" distL="0" distR="0">
                  <wp:extent cx="2555930" cy="2766345"/>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52" cstate="print"/>
                          <a:stretch>
                            <a:fillRect/>
                          </a:stretch>
                        </pic:blipFill>
                        <pic:spPr>
                          <a:xfrm>
                            <a:off x="0" y="0"/>
                            <a:ext cx="2555930" cy="2766345"/>
                          </a:xfrm>
                          <a:prstGeom prst="rect">
                            <a:avLst/>
                          </a:prstGeom>
                        </pic:spPr>
                      </pic:pic>
                    </a:graphicData>
                  </a:graphic>
                </wp:inline>
              </w:drawing>
            </w:r>
            <w:r>
              <w:rPr>
                <w:sz w:val="20"/>
              </w:rPr>
            </w:r>
          </w:p>
        </w:tc>
        <w:tc>
          <w:tcPr>
            <w:tcW w:w="4092" w:type="dxa"/>
            <w:tcBorders>
              <w:left w:val="double" w:sz="6" w:space="0" w:color="000000"/>
              <w:bottom w:val="double" w:sz="6" w:space="0" w:color="000000"/>
            </w:tcBorders>
          </w:tcPr>
          <w:p>
            <w:pPr>
              <w:pStyle w:val="TableParagraph"/>
              <w:spacing w:before="6"/>
              <w:rPr>
                <w:sz w:val="2"/>
              </w:rPr>
            </w:pPr>
          </w:p>
          <w:p>
            <w:pPr>
              <w:pStyle w:val="TableParagraph"/>
              <w:ind w:left="9" w:right="-58"/>
              <w:rPr>
                <w:sz w:val="20"/>
              </w:rPr>
            </w:pPr>
            <w:r>
              <w:rPr>
                <w:sz w:val="20"/>
              </w:rPr>
              <w:drawing>
                <wp:inline distT="0" distB="0" distL="0" distR="0">
                  <wp:extent cx="2577195" cy="2779776"/>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53" cstate="print"/>
                          <a:stretch>
                            <a:fillRect/>
                          </a:stretch>
                        </pic:blipFill>
                        <pic:spPr>
                          <a:xfrm>
                            <a:off x="0" y="0"/>
                            <a:ext cx="2577195" cy="2779776"/>
                          </a:xfrm>
                          <a:prstGeom prst="rect">
                            <a:avLst/>
                          </a:prstGeom>
                        </pic:spPr>
                      </pic:pic>
                    </a:graphicData>
                  </a:graphic>
                </wp:inline>
              </w:drawing>
            </w:r>
            <w:r>
              <w:rPr>
                <w:sz w:val="20"/>
              </w:rPr>
            </w:r>
          </w:p>
        </w:tc>
      </w:tr>
      <w:tr>
        <w:trPr>
          <w:trHeight w:val="4045" w:hRule="atLeast"/>
        </w:trPr>
        <w:tc>
          <w:tcPr>
            <w:tcW w:w="4094" w:type="dxa"/>
            <w:tcBorders>
              <w:top w:val="double" w:sz="6" w:space="0" w:color="000000"/>
              <w:right w:val="double" w:sz="6" w:space="0" w:color="000000"/>
            </w:tcBorders>
          </w:tcPr>
          <w:p>
            <w:pPr>
              <w:pStyle w:val="TableParagraph"/>
              <w:ind w:left="6"/>
              <w:rPr>
                <w:sz w:val="20"/>
              </w:rPr>
            </w:pPr>
            <w:r>
              <w:rPr>
                <w:sz w:val="20"/>
              </w:rPr>
              <w:drawing>
                <wp:inline distT="0" distB="0" distL="0" distR="0">
                  <wp:extent cx="2540006" cy="2520315"/>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54" cstate="print"/>
                          <a:stretch>
                            <a:fillRect/>
                          </a:stretch>
                        </pic:blipFill>
                        <pic:spPr>
                          <a:xfrm>
                            <a:off x="0" y="0"/>
                            <a:ext cx="2540006" cy="2520315"/>
                          </a:xfrm>
                          <a:prstGeom prst="rect">
                            <a:avLst/>
                          </a:prstGeom>
                        </pic:spPr>
                      </pic:pic>
                    </a:graphicData>
                  </a:graphic>
                </wp:inline>
              </w:drawing>
            </w:r>
            <w:r>
              <w:rPr>
                <w:sz w:val="20"/>
              </w:rPr>
            </w:r>
          </w:p>
        </w:tc>
        <w:tc>
          <w:tcPr>
            <w:tcW w:w="4092" w:type="dxa"/>
            <w:tcBorders>
              <w:top w:val="double" w:sz="6" w:space="0" w:color="000000"/>
              <w:left w:val="double" w:sz="6" w:space="0" w:color="000000"/>
            </w:tcBorders>
          </w:tcPr>
          <w:p>
            <w:pPr>
              <w:pStyle w:val="TableParagraph"/>
              <w:ind w:left="9"/>
              <w:rPr>
                <w:sz w:val="20"/>
              </w:rPr>
            </w:pPr>
            <w:r>
              <w:rPr>
                <w:sz w:val="20"/>
              </w:rPr>
              <w:drawing>
                <wp:inline distT="0" distB="0" distL="0" distR="0">
                  <wp:extent cx="2538506" cy="2520315"/>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55" cstate="print"/>
                          <a:stretch>
                            <a:fillRect/>
                          </a:stretch>
                        </pic:blipFill>
                        <pic:spPr>
                          <a:xfrm>
                            <a:off x="0" y="0"/>
                            <a:ext cx="2538506" cy="2520315"/>
                          </a:xfrm>
                          <a:prstGeom prst="rect">
                            <a:avLst/>
                          </a:prstGeom>
                        </pic:spPr>
                      </pic:pic>
                    </a:graphicData>
                  </a:graphic>
                </wp:inline>
              </w:drawing>
            </w:r>
            <w:r>
              <w:rPr>
                <w:sz w:val="20"/>
              </w:rPr>
            </w:r>
          </w:p>
        </w:tc>
      </w:tr>
    </w:tbl>
    <w:p>
      <w:pPr>
        <w:pStyle w:val="Heading1"/>
        <w:spacing w:before="18"/>
        <w:ind w:right="113"/>
        <w:jc w:val="both"/>
      </w:pPr>
      <w:r>
        <w:rPr/>
        <w:t>Figure 4.13b: Pentagram Representations of Water Poverty Components for the </w:t>
      </w:r>
      <w:r>
        <w:rPr>
          <w:spacing w:val="-2"/>
        </w:rPr>
        <w:t>Neighbourhoods</w:t>
      </w:r>
    </w:p>
    <w:p>
      <w:pPr>
        <w:pStyle w:val="BodyText"/>
        <w:spacing w:line="271" w:lineRule="exact"/>
        <w:ind w:left="267"/>
        <w:jc w:val="both"/>
      </w:pPr>
      <w:r>
        <w:rPr/>
        <w:t>Source:</w:t>
      </w:r>
      <w:r>
        <w:rPr>
          <w:spacing w:val="-2"/>
        </w:rPr>
        <w:t> </w:t>
      </w:r>
      <w:r>
        <w:rPr/>
        <w:t>Author’s</w:t>
      </w:r>
      <w:r>
        <w:rPr>
          <w:spacing w:val="-2"/>
        </w:rPr>
        <w:t> </w:t>
      </w:r>
      <w:r>
        <w:rPr/>
        <w:t>Analysis</w:t>
      </w:r>
      <w:r>
        <w:rPr>
          <w:spacing w:val="-1"/>
        </w:rPr>
        <w:t> </w:t>
      </w:r>
      <w:r>
        <w:rPr>
          <w:spacing w:val="-2"/>
        </w:rPr>
        <w:t>(2021)</w:t>
      </w:r>
    </w:p>
    <w:p>
      <w:pPr>
        <w:pStyle w:val="BodyText"/>
      </w:pPr>
    </w:p>
    <w:p>
      <w:pPr>
        <w:pStyle w:val="BodyText"/>
        <w:spacing w:line="480" w:lineRule="auto"/>
        <w:ind w:left="267" w:right="105"/>
        <w:jc w:val="both"/>
      </w:pPr>
      <w:r>
        <w:rPr/>
        <w:t>The pentagrams representation further indentified Tudun-Wada South (67.31) as exhibiting the highest environment impact from water whereas Minna-Central (40.39) has the lowest impact. In addition, Dutsenkura(56.18) is characterized by a higher environment impact compared</w:t>
      </w:r>
      <w:r>
        <w:rPr>
          <w:spacing w:val="-15"/>
        </w:rPr>
        <w:t> </w:t>
      </w:r>
      <w:r>
        <w:rPr/>
        <w:t>to</w:t>
      </w:r>
      <w:r>
        <w:rPr>
          <w:spacing w:val="-15"/>
        </w:rPr>
        <w:t> </w:t>
      </w:r>
      <w:r>
        <w:rPr/>
        <w:t>Kpakungu(46.25),</w:t>
      </w:r>
      <w:r>
        <w:rPr>
          <w:spacing w:val="-15"/>
        </w:rPr>
        <w:t> </w:t>
      </w:r>
      <w:r>
        <w:rPr/>
        <w:t>Maitumbi(45.79),</w:t>
      </w:r>
      <w:r>
        <w:rPr>
          <w:spacing w:val="-15"/>
        </w:rPr>
        <w:t> </w:t>
      </w:r>
      <w:r>
        <w:rPr/>
        <w:t>Tudun-Fulani(42.49)</w:t>
      </w:r>
      <w:r>
        <w:rPr>
          <w:spacing w:val="-15"/>
        </w:rPr>
        <w:t> </w:t>
      </w:r>
      <w:r>
        <w:rPr/>
        <w:t>and</w:t>
      </w:r>
      <w:r>
        <w:rPr>
          <w:spacing w:val="-15"/>
        </w:rPr>
        <w:t> </w:t>
      </w:r>
      <w:r>
        <w:rPr/>
        <w:t>F-Layout(40.51) </w:t>
      </w:r>
      <w:r>
        <w:rPr>
          <w:spacing w:val="-2"/>
        </w:rPr>
        <w:t>respectively.</w:t>
      </w:r>
    </w:p>
    <w:p>
      <w:pPr>
        <w:spacing w:after="0" w:line="480" w:lineRule="auto"/>
        <w:jc w:val="both"/>
        <w:sectPr>
          <w:pgSz w:w="12240" w:h="15840"/>
          <w:pgMar w:header="0" w:footer="1068" w:top="1440" w:bottom="1260" w:left="1720" w:right="1300"/>
        </w:sectPr>
      </w:pPr>
    </w:p>
    <w:p>
      <w:pPr>
        <w:pStyle w:val="BodyText"/>
        <w:spacing w:line="480" w:lineRule="auto" w:before="63"/>
        <w:ind w:left="267" w:right="115"/>
        <w:jc w:val="both"/>
      </w:pPr>
      <w:r>
        <w:rPr/>
        <w:t>The summary of these findings on water poverty components by neighbourhood rank is shown in Table 4.25.</w:t>
      </w:r>
    </w:p>
    <w:p>
      <w:pPr>
        <w:pStyle w:val="Heading1"/>
        <w:spacing w:before="5" w:after="4"/>
        <w:jc w:val="both"/>
      </w:pPr>
      <w:r>
        <w:rPr/>
        <w:t>Table</w:t>
      </w:r>
      <w:r>
        <w:rPr>
          <w:spacing w:val="-4"/>
        </w:rPr>
        <w:t> </w:t>
      </w:r>
      <w:r>
        <w:rPr/>
        <w:t>4.25:</w:t>
      </w:r>
      <w:r>
        <w:rPr>
          <w:spacing w:val="-3"/>
        </w:rPr>
        <w:t> </w:t>
      </w:r>
      <w:r>
        <w:rPr/>
        <w:t>Neighbourhood</w:t>
      </w:r>
      <w:r>
        <w:rPr>
          <w:spacing w:val="-2"/>
        </w:rPr>
        <w:t> </w:t>
      </w:r>
      <w:r>
        <w:rPr/>
        <w:t>Ranking</w:t>
      </w:r>
      <w:r>
        <w:rPr>
          <w:spacing w:val="-1"/>
        </w:rPr>
        <w:t> </w:t>
      </w:r>
      <w:r>
        <w:rPr/>
        <w:t>of</w:t>
      </w:r>
      <w:r>
        <w:rPr>
          <w:spacing w:val="-1"/>
        </w:rPr>
        <w:t> </w:t>
      </w:r>
      <w:r>
        <w:rPr/>
        <w:t>Water</w:t>
      </w:r>
      <w:r>
        <w:rPr>
          <w:spacing w:val="-3"/>
        </w:rPr>
        <w:t> </w:t>
      </w:r>
      <w:r>
        <w:rPr/>
        <w:t>Poverty</w:t>
      </w:r>
      <w:r>
        <w:rPr>
          <w:spacing w:val="-1"/>
        </w:rPr>
        <w:t> </w:t>
      </w:r>
      <w:r>
        <w:rPr>
          <w:spacing w:val="-2"/>
        </w:rPr>
        <w:t>Component</w:t>
      </w: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
        <w:gridCol w:w="2981"/>
        <w:gridCol w:w="5255"/>
      </w:tblGrid>
      <w:tr>
        <w:trPr>
          <w:trHeight w:val="230" w:hRule="atLeast"/>
        </w:trPr>
        <w:tc>
          <w:tcPr>
            <w:tcW w:w="607" w:type="dxa"/>
            <w:tcBorders>
              <w:top w:val="single" w:sz="4" w:space="0" w:color="000000"/>
              <w:bottom w:val="single" w:sz="4" w:space="0" w:color="000000"/>
            </w:tcBorders>
          </w:tcPr>
          <w:p>
            <w:pPr>
              <w:pStyle w:val="TableParagraph"/>
              <w:spacing w:line="210" w:lineRule="exact"/>
              <w:ind w:left="107"/>
              <w:rPr>
                <w:b/>
                <w:sz w:val="20"/>
              </w:rPr>
            </w:pPr>
            <w:r>
              <w:rPr>
                <w:b/>
                <w:spacing w:val="-5"/>
                <w:sz w:val="20"/>
              </w:rPr>
              <w:t>S/N</w:t>
            </w:r>
          </w:p>
        </w:tc>
        <w:tc>
          <w:tcPr>
            <w:tcW w:w="2981" w:type="dxa"/>
            <w:tcBorders>
              <w:top w:val="single" w:sz="4" w:space="0" w:color="000000"/>
              <w:bottom w:val="single" w:sz="4" w:space="0" w:color="000000"/>
            </w:tcBorders>
          </w:tcPr>
          <w:p>
            <w:pPr>
              <w:pStyle w:val="TableParagraph"/>
              <w:spacing w:line="210" w:lineRule="exact"/>
              <w:ind w:left="240"/>
              <w:rPr>
                <w:b/>
                <w:sz w:val="20"/>
              </w:rPr>
            </w:pPr>
            <w:r>
              <w:rPr>
                <w:b/>
                <w:sz w:val="20"/>
              </w:rPr>
              <w:t>Water</w:t>
            </w:r>
            <w:r>
              <w:rPr>
                <w:b/>
                <w:spacing w:val="-6"/>
                <w:sz w:val="20"/>
              </w:rPr>
              <w:t> </w:t>
            </w:r>
            <w:r>
              <w:rPr>
                <w:b/>
                <w:sz w:val="20"/>
              </w:rPr>
              <w:t>Poverty</w:t>
            </w:r>
            <w:r>
              <w:rPr>
                <w:b/>
                <w:spacing w:val="-5"/>
                <w:sz w:val="20"/>
              </w:rPr>
              <w:t> </w:t>
            </w:r>
            <w:r>
              <w:rPr>
                <w:b/>
                <w:spacing w:val="-2"/>
                <w:sz w:val="20"/>
              </w:rPr>
              <w:t>Component</w:t>
            </w:r>
          </w:p>
        </w:tc>
        <w:tc>
          <w:tcPr>
            <w:tcW w:w="5255" w:type="dxa"/>
            <w:tcBorders>
              <w:top w:val="single" w:sz="4" w:space="0" w:color="000000"/>
              <w:bottom w:val="single" w:sz="4" w:space="0" w:color="000000"/>
            </w:tcBorders>
          </w:tcPr>
          <w:p>
            <w:pPr>
              <w:pStyle w:val="TableParagraph"/>
              <w:spacing w:line="210" w:lineRule="exact"/>
              <w:ind w:left="951"/>
              <w:rPr>
                <w:b/>
                <w:sz w:val="20"/>
              </w:rPr>
            </w:pPr>
            <w:r>
              <w:rPr>
                <w:b/>
                <w:sz w:val="20"/>
              </w:rPr>
              <w:t>Neighbourhood</w:t>
            </w:r>
            <w:r>
              <w:rPr>
                <w:b/>
                <w:spacing w:val="-7"/>
                <w:sz w:val="20"/>
              </w:rPr>
              <w:t> </w:t>
            </w:r>
            <w:r>
              <w:rPr>
                <w:b/>
                <w:sz w:val="20"/>
              </w:rPr>
              <w:t>Rank</w:t>
            </w:r>
            <w:r>
              <w:rPr>
                <w:b/>
                <w:spacing w:val="-9"/>
                <w:sz w:val="20"/>
              </w:rPr>
              <w:t> </w:t>
            </w:r>
            <w:r>
              <w:rPr>
                <w:b/>
                <w:sz w:val="20"/>
              </w:rPr>
              <w:t>in</w:t>
            </w:r>
            <w:r>
              <w:rPr>
                <w:b/>
                <w:spacing w:val="-7"/>
                <w:sz w:val="20"/>
              </w:rPr>
              <w:t> </w:t>
            </w:r>
            <w:r>
              <w:rPr>
                <w:b/>
                <w:sz w:val="20"/>
              </w:rPr>
              <w:t>Descending</w:t>
            </w:r>
            <w:r>
              <w:rPr>
                <w:b/>
                <w:spacing w:val="-6"/>
                <w:sz w:val="20"/>
              </w:rPr>
              <w:t> </w:t>
            </w:r>
            <w:r>
              <w:rPr>
                <w:b/>
                <w:spacing w:val="-2"/>
                <w:sz w:val="20"/>
              </w:rPr>
              <w:t>Order</w:t>
            </w:r>
          </w:p>
        </w:tc>
      </w:tr>
      <w:tr>
        <w:trPr>
          <w:trHeight w:val="701" w:hRule="atLeast"/>
        </w:trPr>
        <w:tc>
          <w:tcPr>
            <w:tcW w:w="607" w:type="dxa"/>
            <w:tcBorders>
              <w:top w:val="single" w:sz="4" w:space="0" w:color="000000"/>
            </w:tcBorders>
          </w:tcPr>
          <w:p>
            <w:pPr>
              <w:pStyle w:val="TableParagraph"/>
              <w:spacing w:line="223" w:lineRule="exact"/>
              <w:ind w:left="107"/>
              <w:rPr>
                <w:sz w:val="20"/>
              </w:rPr>
            </w:pPr>
            <w:r>
              <w:rPr>
                <w:spacing w:val="-10"/>
                <w:sz w:val="20"/>
              </w:rPr>
              <w:t>1</w:t>
            </w:r>
          </w:p>
        </w:tc>
        <w:tc>
          <w:tcPr>
            <w:tcW w:w="2981" w:type="dxa"/>
            <w:tcBorders>
              <w:top w:val="single" w:sz="4" w:space="0" w:color="000000"/>
            </w:tcBorders>
          </w:tcPr>
          <w:p>
            <w:pPr>
              <w:pStyle w:val="TableParagraph"/>
              <w:spacing w:line="223" w:lineRule="exact"/>
              <w:ind w:left="189"/>
              <w:rPr>
                <w:sz w:val="20"/>
              </w:rPr>
            </w:pPr>
            <w:r>
              <w:rPr>
                <w:spacing w:val="-2"/>
                <w:sz w:val="20"/>
              </w:rPr>
              <w:t>Resource</w:t>
            </w:r>
          </w:p>
        </w:tc>
        <w:tc>
          <w:tcPr>
            <w:tcW w:w="5255" w:type="dxa"/>
            <w:tcBorders>
              <w:top w:val="single" w:sz="4" w:space="0" w:color="000000"/>
            </w:tcBorders>
          </w:tcPr>
          <w:p>
            <w:pPr>
              <w:pStyle w:val="TableParagraph"/>
              <w:spacing w:line="229" w:lineRule="exact"/>
              <w:ind w:left="434"/>
              <w:rPr>
                <w:rFonts w:ascii="Cambria Math"/>
                <w:sz w:val="20"/>
              </w:rPr>
            </w:pPr>
            <w:r>
              <w:rPr>
                <w:sz w:val="20"/>
              </w:rPr>
              <w:t>Tudun-Wada</w:t>
            </w:r>
            <w:r>
              <w:rPr>
                <w:spacing w:val="32"/>
                <w:sz w:val="20"/>
              </w:rPr>
              <w:t>  </w:t>
            </w:r>
            <w:r>
              <w:rPr>
                <w:sz w:val="20"/>
              </w:rPr>
              <w:t>South</w:t>
            </w:r>
            <w:r>
              <w:rPr>
                <w:spacing w:val="33"/>
                <w:sz w:val="20"/>
              </w:rPr>
              <w:t>  </w:t>
            </w:r>
            <w:r>
              <w:rPr>
                <w:rFonts w:ascii="Cambria Math"/>
                <w:sz w:val="20"/>
              </w:rPr>
              <w:t>&gt;</w:t>
            </w:r>
            <w:r>
              <w:rPr>
                <w:rFonts w:ascii="Cambria Math"/>
                <w:spacing w:val="38"/>
                <w:sz w:val="20"/>
              </w:rPr>
              <w:t>  </w:t>
            </w:r>
            <w:r>
              <w:rPr>
                <w:sz w:val="20"/>
              </w:rPr>
              <w:t>Maitumbi</w:t>
            </w:r>
            <w:r>
              <w:rPr>
                <w:spacing w:val="34"/>
                <w:sz w:val="20"/>
              </w:rPr>
              <w:t>  </w:t>
            </w:r>
            <w:r>
              <w:rPr>
                <w:rFonts w:ascii="Cambria Math"/>
                <w:sz w:val="20"/>
              </w:rPr>
              <w:t>&gt;</w:t>
            </w:r>
            <w:r>
              <w:rPr>
                <w:rFonts w:ascii="Cambria Math"/>
                <w:spacing w:val="39"/>
                <w:sz w:val="20"/>
              </w:rPr>
              <w:t>  </w:t>
            </w:r>
            <w:r>
              <w:rPr>
                <w:sz w:val="20"/>
              </w:rPr>
              <w:t>Dutsenkura</w:t>
            </w:r>
            <w:r>
              <w:rPr>
                <w:spacing w:val="34"/>
                <w:sz w:val="20"/>
              </w:rPr>
              <w:t>  </w:t>
            </w:r>
            <w:r>
              <w:rPr>
                <w:rFonts w:ascii="Cambria Math"/>
                <w:spacing w:val="-10"/>
                <w:sz w:val="20"/>
              </w:rPr>
              <w:t>&gt;</w:t>
            </w:r>
          </w:p>
          <w:p>
            <w:pPr>
              <w:pStyle w:val="TableParagraph"/>
              <w:tabs>
                <w:tab w:pos="1702" w:val="left" w:leader="none"/>
                <w:tab w:pos="3464" w:val="left" w:leader="none"/>
                <w:tab w:pos="4045" w:val="left" w:leader="none"/>
              </w:tabs>
              <w:spacing w:line="234" w:lineRule="exact"/>
              <w:ind w:left="434"/>
              <w:rPr>
                <w:sz w:val="20"/>
              </w:rPr>
            </w:pPr>
            <w:r>
              <w:rPr>
                <w:spacing w:val="-2"/>
                <w:sz w:val="20"/>
              </w:rPr>
              <w:t>Kpakungu</w:t>
            </w:r>
            <w:r>
              <w:rPr>
                <w:sz w:val="20"/>
              </w:rPr>
              <w:tab/>
            </w:r>
            <w:r>
              <w:rPr>
                <w:rFonts w:ascii="Cambria Math"/>
                <w:spacing w:val="-2"/>
                <w:sz w:val="20"/>
              </w:rPr>
              <w:t>&gt;</w:t>
            </w:r>
            <w:r>
              <w:rPr>
                <w:spacing w:val="-2"/>
                <w:sz w:val="20"/>
              </w:rPr>
              <w:t>Minna-Central</w:t>
            </w:r>
            <w:r>
              <w:rPr>
                <w:sz w:val="20"/>
              </w:rPr>
              <w:tab/>
            </w:r>
            <w:r>
              <w:rPr>
                <w:rFonts w:ascii="Cambria Math"/>
                <w:spacing w:val="-10"/>
                <w:sz w:val="20"/>
              </w:rPr>
              <w:t>&gt;</w:t>
            </w:r>
            <w:r>
              <w:rPr>
                <w:rFonts w:ascii="Cambria Math"/>
                <w:sz w:val="20"/>
              </w:rPr>
              <w:tab/>
            </w:r>
            <w:r>
              <w:rPr>
                <w:spacing w:val="-2"/>
                <w:sz w:val="20"/>
              </w:rPr>
              <w:t>Tudun-Fulani</w:t>
            </w:r>
          </w:p>
          <w:p>
            <w:pPr>
              <w:pStyle w:val="TableParagraph"/>
              <w:spacing w:line="218" w:lineRule="exact"/>
              <w:ind w:left="434"/>
              <w:rPr>
                <w:sz w:val="20"/>
              </w:rPr>
            </w:pPr>
            <w:r>
              <w:rPr>
                <w:rFonts w:ascii="Cambria Math"/>
                <w:sz w:val="20"/>
              </w:rPr>
              <w:t>&gt;</w:t>
            </w:r>
            <w:r>
              <w:rPr>
                <w:sz w:val="20"/>
              </w:rPr>
              <w:t>Saukakahuta</w:t>
            </w:r>
            <w:r>
              <w:rPr>
                <w:spacing w:val="-7"/>
                <w:sz w:val="20"/>
              </w:rPr>
              <w:t> </w:t>
            </w:r>
            <w:r>
              <w:rPr>
                <w:rFonts w:ascii="Cambria Math"/>
                <w:sz w:val="20"/>
              </w:rPr>
              <w:t>&gt;</w:t>
            </w:r>
            <w:r>
              <w:rPr>
                <w:rFonts w:ascii="Cambria Math"/>
                <w:spacing w:val="-4"/>
                <w:sz w:val="20"/>
              </w:rPr>
              <w:t> </w:t>
            </w:r>
            <w:r>
              <w:rPr>
                <w:sz w:val="20"/>
              </w:rPr>
              <w:t>F-</w:t>
            </w:r>
            <w:r>
              <w:rPr>
                <w:spacing w:val="-2"/>
                <w:sz w:val="20"/>
              </w:rPr>
              <w:t>Layout</w:t>
            </w:r>
          </w:p>
        </w:tc>
      </w:tr>
      <w:tr>
        <w:trPr>
          <w:trHeight w:val="699" w:hRule="atLeast"/>
        </w:trPr>
        <w:tc>
          <w:tcPr>
            <w:tcW w:w="607" w:type="dxa"/>
          </w:tcPr>
          <w:p>
            <w:pPr>
              <w:pStyle w:val="TableParagraph"/>
              <w:spacing w:line="225" w:lineRule="exact"/>
              <w:ind w:left="107"/>
              <w:rPr>
                <w:sz w:val="20"/>
              </w:rPr>
            </w:pPr>
            <w:r>
              <w:rPr>
                <w:spacing w:val="-10"/>
                <w:sz w:val="20"/>
              </w:rPr>
              <w:t>2</w:t>
            </w:r>
          </w:p>
        </w:tc>
        <w:tc>
          <w:tcPr>
            <w:tcW w:w="2981" w:type="dxa"/>
          </w:tcPr>
          <w:p>
            <w:pPr>
              <w:pStyle w:val="TableParagraph"/>
              <w:spacing w:line="225" w:lineRule="exact"/>
              <w:ind w:left="189"/>
              <w:rPr>
                <w:sz w:val="20"/>
              </w:rPr>
            </w:pPr>
            <w:r>
              <w:rPr>
                <w:spacing w:val="-2"/>
                <w:sz w:val="20"/>
              </w:rPr>
              <w:t>Access</w:t>
            </w:r>
          </w:p>
        </w:tc>
        <w:tc>
          <w:tcPr>
            <w:tcW w:w="5255" w:type="dxa"/>
          </w:tcPr>
          <w:p>
            <w:pPr>
              <w:pStyle w:val="TableParagraph"/>
              <w:spacing w:line="231" w:lineRule="exact"/>
              <w:ind w:left="434"/>
              <w:rPr>
                <w:rFonts w:ascii="Cambria Math"/>
                <w:sz w:val="20"/>
              </w:rPr>
            </w:pPr>
            <w:r>
              <w:rPr>
                <w:sz w:val="20"/>
              </w:rPr>
              <w:t>Dutsenkura</w:t>
            </w:r>
            <w:r>
              <w:rPr>
                <w:spacing w:val="52"/>
                <w:sz w:val="20"/>
              </w:rPr>
              <w:t> </w:t>
            </w:r>
            <w:r>
              <w:rPr>
                <w:rFonts w:ascii="Cambria Math"/>
                <w:sz w:val="20"/>
              </w:rPr>
              <w:t>&gt;</w:t>
            </w:r>
            <w:r>
              <w:rPr>
                <w:rFonts w:ascii="Cambria Math"/>
                <w:spacing w:val="56"/>
                <w:sz w:val="20"/>
              </w:rPr>
              <w:t> </w:t>
            </w:r>
            <w:r>
              <w:rPr>
                <w:sz w:val="20"/>
              </w:rPr>
              <w:t>Minna-Central</w:t>
            </w:r>
            <w:r>
              <w:rPr>
                <w:spacing w:val="50"/>
                <w:sz w:val="20"/>
              </w:rPr>
              <w:t> </w:t>
            </w:r>
            <w:r>
              <w:rPr>
                <w:rFonts w:ascii="Cambria Math"/>
                <w:sz w:val="20"/>
              </w:rPr>
              <w:t>&gt;</w:t>
            </w:r>
            <w:r>
              <w:rPr>
                <w:rFonts w:ascii="Cambria Math"/>
                <w:spacing w:val="53"/>
                <w:sz w:val="20"/>
              </w:rPr>
              <w:t> </w:t>
            </w:r>
            <w:r>
              <w:rPr>
                <w:sz w:val="20"/>
              </w:rPr>
              <w:t>Tudun-Wada</w:t>
            </w:r>
            <w:r>
              <w:rPr>
                <w:spacing w:val="50"/>
                <w:sz w:val="20"/>
              </w:rPr>
              <w:t> </w:t>
            </w:r>
            <w:r>
              <w:rPr>
                <w:sz w:val="20"/>
              </w:rPr>
              <w:t>South</w:t>
            </w:r>
            <w:r>
              <w:rPr>
                <w:spacing w:val="54"/>
                <w:sz w:val="20"/>
              </w:rPr>
              <w:t> </w:t>
            </w:r>
            <w:r>
              <w:rPr>
                <w:rFonts w:ascii="Cambria Math"/>
                <w:spacing w:val="-10"/>
                <w:sz w:val="20"/>
              </w:rPr>
              <w:t>&gt;</w:t>
            </w:r>
          </w:p>
          <w:p>
            <w:pPr>
              <w:pStyle w:val="TableParagraph"/>
              <w:spacing w:line="234" w:lineRule="exact"/>
              <w:ind w:left="434"/>
              <w:rPr>
                <w:rFonts w:ascii="Cambria Math"/>
                <w:sz w:val="20"/>
              </w:rPr>
            </w:pPr>
            <w:r>
              <w:rPr>
                <w:sz w:val="20"/>
              </w:rPr>
              <w:t>Maitumbi</w:t>
            </w:r>
            <w:r>
              <w:rPr>
                <w:spacing w:val="-1"/>
                <w:sz w:val="20"/>
              </w:rPr>
              <w:t> </w:t>
            </w:r>
            <w:r>
              <w:rPr>
                <w:rFonts w:ascii="Cambria Math"/>
                <w:sz w:val="20"/>
              </w:rPr>
              <w:t>&gt;</w:t>
            </w:r>
            <w:r>
              <w:rPr>
                <w:rFonts w:ascii="Cambria Math"/>
                <w:spacing w:val="-2"/>
                <w:sz w:val="20"/>
              </w:rPr>
              <w:t> </w:t>
            </w:r>
            <w:r>
              <w:rPr>
                <w:sz w:val="20"/>
              </w:rPr>
              <w:t>Tudun-Fulani</w:t>
            </w:r>
            <w:r>
              <w:rPr>
                <w:spacing w:val="-1"/>
                <w:sz w:val="20"/>
              </w:rPr>
              <w:t> </w:t>
            </w:r>
            <w:r>
              <w:rPr>
                <w:rFonts w:ascii="Cambria Math"/>
                <w:sz w:val="20"/>
              </w:rPr>
              <w:t>&gt;</w:t>
            </w:r>
            <w:r>
              <w:rPr>
                <w:rFonts w:ascii="Cambria Math"/>
                <w:spacing w:val="1"/>
                <w:sz w:val="20"/>
              </w:rPr>
              <w:t> </w:t>
            </w:r>
            <w:r>
              <w:rPr>
                <w:sz w:val="20"/>
              </w:rPr>
              <w:t>Kpakungu</w:t>
            </w:r>
            <w:r>
              <w:rPr>
                <w:spacing w:val="-2"/>
                <w:sz w:val="20"/>
              </w:rPr>
              <w:t> </w:t>
            </w:r>
            <w:r>
              <w:rPr>
                <w:rFonts w:ascii="Cambria Math"/>
                <w:sz w:val="20"/>
              </w:rPr>
              <w:t>&gt;</w:t>
            </w:r>
            <w:r>
              <w:rPr>
                <w:rFonts w:ascii="Cambria Math"/>
                <w:spacing w:val="2"/>
                <w:sz w:val="20"/>
              </w:rPr>
              <w:t> </w:t>
            </w:r>
            <w:r>
              <w:rPr>
                <w:sz w:val="20"/>
              </w:rPr>
              <w:t>Saukakahuta</w:t>
            </w:r>
            <w:r>
              <w:rPr>
                <w:spacing w:val="1"/>
                <w:sz w:val="20"/>
              </w:rPr>
              <w:t> </w:t>
            </w:r>
            <w:r>
              <w:rPr>
                <w:rFonts w:ascii="Cambria Math"/>
                <w:spacing w:val="-10"/>
                <w:sz w:val="20"/>
              </w:rPr>
              <w:t>&gt;</w:t>
            </w:r>
          </w:p>
          <w:p>
            <w:pPr>
              <w:pStyle w:val="TableParagraph"/>
              <w:spacing w:line="213" w:lineRule="exact"/>
              <w:ind w:left="434"/>
              <w:rPr>
                <w:sz w:val="20"/>
              </w:rPr>
            </w:pPr>
            <w:r>
              <w:rPr>
                <w:spacing w:val="-2"/>
                <w:sz w:val="20"/>
              </w:rPr>
              <w:t>F-Layout</w:t>
            </w:r>
          </w:p>
        </w:tc>
      </w:tr>
      <w:tr>
        <w:trPr>
          <w:trHeight w:val="704" w:hRule="atLeast"/>
        </w:trPr>
        <w:tc>
          <w:tcPr>
            <w:tcW w:w="607" w:type="dxa"/>
          </w:tcPr>
          <w:p>
            <w:pPr>
              <w:pStyle w:val="TableParagraph"/>
              <w:spacing w:line="224" w:lineRule="exact"/>
              <w:ind w:left="107"/>
              <w:rPr>
                <w:sz w:val="20"/>
              </w:rPr>
            </w:pPr>
            <w:r>
              <w:rPr>
                <w:spacing w:val="-10"/>
                <w:sz w:val="20"/>
              </w:rPr>
              <w:t>3</w:t>
            </w:r>
          </w:p>
        </w:tc>
        <w:tc>
          <w:tcPr>
            <w:tcW w:w="2981" w:type="dxa"/>
          </w:tcPr>
          <w:p>
            <w:pPr>
              <w:pStyle w:val="TableParagraph"/>
              <w:spacing w:line="224" w:lineRule="exact"/>
              <w:ind w:left="189"/>
              <w:rPr>
                <w:sz w:val="20"/>
              </w:rPr>
            </w:pPr>
            <w:r>
              <w:rPr>
                <w:spacing w:val="-2"/>
                <w:sz w:val="20"/>
              </w:rPr>
              <w:t>Capacity</w:t>
            </w:r>
          </w:p>
        </w:tc>
        <w:tc>
          <w:tcPr>
            <w:tcW w:w="5255" w:type="dxa"/>
          </w:tcPr>
          <w:p>
            <w:pPr>
              <w:pStyle w:val="TableParagraph"/>
              <w:ind w:left="434"/>
              <w:rPr>
                <w:sz w:val="20"/>
              </w:rPr>
            </w:pPr>
            <w:r>
              <w:rPr>
                <w:sz w:val="20"/>
              </w:rPr>
              <w:t>Kpakungu</w:t>
            </w:r>
            <w:r>
              <w:rPr>
                <w:spacing w:val="40"/>
                <w:sz w:val="20"/>
              </w:rPr>
              <w:t> </w:t>
            </w:r>
            <w:r>
              <w:rPr>
                <w:rFonts w:ascii="Cambria Math"/>
                <w:sz w:val="20"/>
              </w:rPr>
              <w:t>&gt;</w:t>
            </w:r>
            <w:r>
              <w:rPr>
                <w:rFonts w:ascii="Cambria Math"/>
                <w:spacing w:val="40"/>
                <w:sz w:val="20"/>
              </w:rPr>
              <w:t> </w:t>
            </w:r>
            <w:r>
              <w:rPr>
                <w:sz w:val="20"/>
              </w:rPr>
              <w:t>Tudun-Fulani</w:t>
            </w:r>
            <w:r>
              <w:rPr>
                <w:spacing w:val="40"/>
                <w:sz w:val="20"/>
              </w:rPr>
              <w:t> </w:t>
            </w:r>
            <w:r>
              <w:rPr>
                <w:rFonts w:ascii="Cambria Math"/>
                <w:sz w:val="20"/>
              </w:rPr>
              <w:t>&gt;</w:t>
            </w:r>
            <w:r>
              <w:rPr>
                <w:rFonts w:ascii="Cambria Math"/>
                <w:spacing w:val="40"/>
                <w:sz w:val="20"/>
              </w:rPr>
              <w:t> </w:t>
            </w:r>
            <w:r>
              <w:rPr>
                <w:sz w:val="20"/>
              </w:rPr>
              <w:t>Saukakahuta</w:t>
            </w:r>
            <w:r>
              <w:rPr>
                <w:spacing w:val="40"/>
                <w:sz w:val="20"/>
              </w:rPr>
              <w:t> </w:t>
            </w:r>
            <w:r>
              <w:rPr>
                <w:rFonts w:ascii="Cambria Math"/>
                <w:sz w:val="20"/>
              </w:rPr>
              <w:t>&gt;</w:t>
            </w:r>
            <w:r>
              <w:rPr>
                <w:rFonts w:ascii="Cambria Math"/>
                <w:spacing w:val="40"/>
                <w:sz w:val="20"/>
              </w:rPr>
              <w:t> </w:t>
            </w:r>
            <w:r>
              <w:rPr>
                <w:sz w:val="20"/>
              </w:rPr>
              <w:t>Minna- Central</w:t>
            </w:r>
            <w:r>
              <w:rPr>
                <w:spacing w:val="48"/>
                <w:sz w:val="20"/>
              </w:rPr>
              <w:t> </w:t>
            </w:r>
            <w:r>
              <w:rPr>
                <w:rFonts w:ascii="Cambria Math"/>
                <w:sz w:val="20"/>
              </w:rPr>
              <w:t>&gt;</w:t>
            </w:r>
            <w:r>
              <w:rPr>
                <w:rFonts w:ascii="Cambria Math"/>
                <w:spacing w:val="51"/>
                <w:sz w:val="20"/>
              </w:rPr>
              <w:t> </w:t>
            </w:r>
            <w:r>
              <w:rPr>
                <w:sz w:val="20"/>
              </w:rPr>
              <w:t>Maitumbi</w:t>
            </w:r>
            <w:r>
              <w:rPr>
                <w:spacing w:val="49"/>
                <w:sz w:val="20"/>
              </w:rPr>
              <w:t> </w:t>
            </w:r>
            <w:r>
              <w:rPr>
                <w:rFonts w:ascii="Cambria Math"/>
                <w:sz w:val="20"/>
              </w:rPr>
              <w:t>&gt;</w:t>
            </w:r>
            <w:r>
              <w:rPr>
                <w:sz w:val="20"/>
              </w:rPr>
              <w:t>Tudun-Wada</w:t>
            </w:r>
            <w:r>
              <w:rPr>
                <w:spacing w:val="46"/>
                <w:sz w:val="20"/>
              </w:rPr>
              <w:t> </w:t>
            </w:r>
            <w:r>
              <w:rPr>
                <w:sz w:val="20"/>
              </w:rPr>
              <w:t>South</w:t>
            </w:r>
            <w:r>
              <w:rPr>
                <w:spacing w:val="48"/>
                <w:sz w:val="20"/>
              </w:rPr>
              <w:t> </w:t>
            </w:r>
            <w:r>
              <w:rPr>
                <w:rFonts w:ascii="Cambria Math"/>
                <w:sz w:val="20"/>
              </w:rPr>
              <w:t>&gt;</w:t>
            </w:r>
            <w:r>
              <w:rPr>
                <w:rFonts w:ascii="Cambria Math"/>
                <w:spacing w:val="51"/>
                <w:sz w:val="20"/>
              </w:rPr>
              <w:t> </w:t>
            </w:r>
            <w:r>
              <w:rPr>
                <w:sz w:val="20"/>
              </w:rPr>
              <w:t>F-</w:t>
            </w:r>
            <w:r>
              <w:rPr>
                <w:spacing w:val="-2"/>
                <w:sz w:val="20"/>
              </w:rPr>
              <w:t>Layout</w:t>
            </w:r>
          </w:p>
          <w:p>
            <w:pPr>
              <w:pStyle w:val="TableParagraph"/>
              <w:spacing w:line="217" w:lineRule="exact"/>
              <w:ind w:left="434"/>
              <w:rPr>
                <w:sz w:val="20"/>
              </w:rPr>
            </w:pPr>
            <w:r>
              <w:rPr>
                <w:rFonts w:ascii="Cambria Math"/>
                <w:spacing w:val="-2"/>
                <w:sz w:val="20"/>
              </w:rPr>
              <w:t>&gt;</w:t>
            </w:r>
            <w:r>
              <w:rPr>
                <w:spacing w:val="-2"/>
                <w:sz w:val="20"/>
              </w:rPr>
              <w:t>Dutsenkura</w:t>
            </w:r>
          </w:p>
        </w:tc>
      </w:tr>
      <w:tr>
        <w:trPr>
          <w:trHeight w:val="704" w:hRule="atLeast"/>
        </w:trPr>
        <w:tc>
          <w:tcPr>
            <w:tcW w:w="607" w:type="dxa"/>
          </w:tcPr>
          <w:p>
            <w:pPr>
              <w:pStyle w:val="TableParagraph"/>
              <w:spacing w:line="224" w:lineRule="exact"/>
              <w:ind w:left="107"/>
              <w:rPr>
                <w:sz w:val="20"/>
              </w:rPr>
            </w:pPr>
            <w:r>
              <w:rPr>
                <w:spacing w:val="-10"/>
                <w:sz w:val="20"/>
              </w:rPr>
              <w:t>4</w:t>
            </w:r>
          </w:p>
        </w:tc>
        <w:tc>
          <w:tcPr>
            <w:tcW w:w="2981" w:type="dxa"/>
          </w:tcPr>
          <w:p>
            <w:pPr>
              <w:pStyle w:val="TableParagraph"/>
              <w:spacing w:line="224" w:lineRule="exact"/>
              <w:ind w:left="189"/>
              <w:rPr>
                <w:sz w:val="20"/>
              </w:rPr>
            </w:pPr>
            <w:r>
              <w:rPr>
                <w:spacing w:val="-5"/>
                <w:sz w:val="20"/>
              </w:rPr>
              <w:t>Use</w:t>
            </w:r>
          </w:p>
        </w:tc>
        <w:tc>
          <w:tcPr>
            <w:tcW w:w="5255" w:type="dxa"/>
          </w:tcPr>
          <w:p>
            <w:pPr>
              <w:pStyle w:val="TableParagraph"/>
              <w:ind w:left="434"/>
              <w:rPr>
                <w:sz w:val="20"/>
              </w:rPr>
            </w:pPr>
            <w:r>
              <w:rPr>
                <w:sz w:val="20"/>
              </w:rPr>
              <w:t>Tudun-Fulani</w:t>
            </w:r>
            <w:r>
              <w:rPr>
                <w:spacing w:val="40"/>
                <w:sz w:val="20"/>
              </w:rPr>
              <w:t> </w:t>
            </w:r>
            <w:r>
              <w:rPr>
                <w:rFonts w:ascii="Cambria Math"/>
                <w:sz w:val="20"/>
              </w:rPr>
              <w:t>&gt;</w:t>
            </w:r>
            <w:r>
              <w:rPr>
                <w:rFonts w:ascii="Cambria Math"/>
                <w:spacing w:val="80"/>
                <w:sz w:val="20"/>
              </w:rPr>
              <w:t> </w:t>
            </w:r>
            <w:r>
              <w:rPr>
                <w:sz w:val="20"/>
              </w:rPr>
              <w:t>Saukakahuta</w:t>
            </w:r>
            <w:r>
              <w:rPr>
                <w:spacing w:val="40"/>
                <w:sz w:val="20"/>
              </w:rPr>
              <w:t> </w:t>
            </w:r>
            <w:r>
              <w:rPr>
                <w:rFonts w:ascii="Cambria Math"/>
                <w:sz w:val="20"/>
              </w:rPr>
              <w:t>&gt;</w:t>
            </w:r>
            <w:r>
              <w:rPr>
                <w:rFonts w:ascii="Cambria Math"/>
                <w:spacing w:val="80"/>
                <w:sz w:val="20"/>
              </w:rPr>
              <w:t> </w:t>
            </w:r>
            <w:r>
              <w:rPr>
                <w:sz w:val="20"/>
              </w:rPr>
              <w:t>F-Layout</w:t>
            </w:r>
            <w:r>
              <w:rPr>
                <w:spacing w:val="40"/>
                <w:sz w:val="20"/>
              </w:rPr>
              <w:t> </w:t>
            </w:r>
            <w:r>
              <w:rPr>
                <w:rFonts w:ascii="Cambria Math"/>
                <w:sz w:val="20"/>
              </w:rPr>
              <w:t>&gt;</w:t>
            </w:r>
            <w:r>
              <w:rPr>
                <w:rFonts w:ascii="Cambria Math"/>
                <w:spacing w:val="80"/>
                <w:sz w:val="20"/>
              </w:rPr>
              <w:t> </w:t>
            </w:r>
            <w:r>
              <w:rPr>
                <w:sz w:val="20"/>
              </w:rPr>
              <w:t>Minna- Central</w:t>
            </w:r>
            <w:r>
              <w:rPr>
                <w:spacing w:val="11"/>
                <w:sz w:val="20"/>
              </w:rPr>
              <w:t> </w:t>
            </w:r>
            <w:r>
              <w:rPr>
                <w:rFonts w:ascii="Cambria Math"/>
                <w:sz w:val="20"/>
              </w:rPr>
              <w:t>&gt;</w:t>
            </w:r>
            <w:r>
              <w:rPr>
                <w:rFonts w:ascii="Cambria Math"/>
                <w:spacing w:val="12"/>
                <w:sz w:val="20"/>
              </w:rPr>
              <w:t> </w:t>
            </w:r>
            <w:r>
              <w:rPr>
                <w:sz w:val="20"/>
              </w:rPr>
              <w:t>Dutsenkura</w:t>
            </w:r>
            <w:r>
              <w:rPr>
                <w:spacing w:val="9"/>
                <w:sz w:val="20"/>
              </w:rPr>
              <w:t> </w:t>
            </w:r>
            <w:r>
              <w:rPr>
                <w:rFonts w:ascii="Cambria Math"/>
                <w:sz w:val="20"/>
              </w:rPr>
              <w:t>&gt;</w:t>
            </w:r>
            <w:r>
              <w:rPr>
                <w:rFonts w:ascii="Cambria Math"/>
                <w:spacing w:val="12"/>
                <w:sz w:val="20"/>
              </w:rPr>
              <w:t> </w:t>
            </w:r>
            <w:r>
              <w:rPr>
                <w:sz w:val="20"/>
              </w:rPr>
              <w:t>Tudun-Wada</w:t>
            </w:r>
            <w:r>
              <w:rPr>
                <w:spacing w:val="6"/>
                <w:sz w:val="20"/>
              </w:rPr>
              <w:t> </w:t>
            </w:r>
            <w:r>
              <w:rPr>
                <w:sz w:val="20"/>
              </w:rPr>
              <w:t>South</w:t>
            </w:r>
            <w:r>
              <w:rPr>
                <w:spacing w:val="8"/>
                <w:sz w:val="20"/>
              </w:rPr>
              <w:t> </w:t>
            </w:r>
            <w:r>
              <w:rPr>
                <w:rFonts w:ascii="Cambria Math"/>
                <w:sz w:val="20"/>
              </w:rPr>
              <w:t>&gt;</w:t>
            </w:r>
            <w:r>
              <w:rPr>
                <w:rFonts w:ascii="Cambria Math"/>
                <w:spacing w:val="12"/>
                <w:sz w:val="20"/>
              </w:rPr>
              <w:t> </w:t>
            </w:r>
            <w:r>
              <w:rPr>
                <w:spacing w:val="-2"/>
                <w:sz w:val="20"/>
              </w:rPr>
              <w:t>Maitumbi</w:t>
            </w:r>
          </w:p>
          <w:p>
            <w:pPr>
              <w:pStyle w:val="TableParagraph"/>
              <w:spacing w:line="219" w:lineRule="exact"/>
              <w:ind w:left="434"/>
              <w:rPr>
                <w:sz w:val="20"/>
              </w:rPr>
            </w:pPr>
            <w:r>
              <w:rPr>
                <w:rFonts w:ascii="Cambria Math"/>
                <w:sz w:val="20"/>
              </w:rPr>
              <w:t>&gt;</w:t>
            </w:r>
            <w:r>
              <w:rPr>
                <w:rFonts w:ascii="Cambria Math"/>
                <w:spacing w:val="3"/>
                <w:sz w:val="20"/>
              </w:rPr>
              <w:t> </w:t>
            </w:r>
            <w:r>
              <w:rPr>
                <w:spacing w:val="-2"/>
                <w:sz w:val="20"/>
              </w:rPr>
              <w:t>Kpakungu</w:t>
            </w:r>
          </w:p>
        </w:tc>
      </w:tr>
      <w:tr>
        <w:trPr>
          <w:trHeight w:val="692" w:hRule="atLeast"/>
        </w:trPr>
        <w:tc>
          <w:tcPr>
            <w:tcW w:w="607" w:type="dxa"/>
          </w:tcPr>
          <w:p>
            <w:pPr>
              <w:pStyle w:val="TableParagraph"/>
              <w:spacing w:line="225" w:lineRule="exact"/>
              <w:ind w:left="107"/>
              <w:rPr>
                <w:sz w:val="20"/>
              </w:rPr>
            </w:pPr>
            <w:r>
              <w:rPr>
                <w:spacing w:val="-10"/>
                <w:sz w:val="20"/>
              </w:rPr>
              <w:t>5</w:t>
            </w:r>
          </w:p>
        </w:tc>
        <w:tc>
          <w:tcPr>
            <w:tcW w:w="2981" w:type="dxa"/>
          </w:tcPr>
          <w:p>
            <w:pPr>
              <w:pStyle w:val="TableParagraph"/>
              <w:spacing w:line="225" w:lineRule="exact"/>
              <w:ind w:left="189"/>
              <w:rPr>
                <w:sz w:val="20"/>
              </w:rPr>
            </w:pPr>
            <w:r>
              <w:rPr>
                <w:spacing w:val="-2"/>
                <w:sz w:val="20"/>
              </w:rPr>
              <w:t>Environment</w:t>
            </w:r>
          </w:p>
        </w:tc>
        <w:tc>
          <w:tcPr>
            <w:tcW w:w="5255" w:type="dxa"/>
          </w:tcPr>
          <w:p>
            <w:pPr>
              <w:pStyle w:val="TableParagraph"/>
              <w:spacing w:line="230" w:lineRule="exact"/>
              <w:ind w:left="434"/>
              <w:rPr>
                <w:rFonts w:ascii="Cambria Math"/>
                <w:sz w:val="20"/>
              </w:rPr>
            </w:pPr>
            <w:r>
              <w:rPr>
                <w:sz w:val="20"/>
              </w:rPr>
              <w:t>Tudun-Wada</w:t>
            </w:r>
            <w:r>
              <w:rPr>
                <w:spacing w:val="74"/>
                <w:sz w:val="20"/>
              </w:rPr>
              <w:t> </w:t>
            </w:r>
            <w:r>
              <w:rPr>
                <w:sz w:val="20"/>
              </w:rPr>
              <w:t>South</w:t>
            </w:r>
            <w:r>
              <w:rPr>
                <w:spacing w:val="79"/>
                <w:sz w:val="20"/>
              </w:rPr>
              <w:t> </w:t>
            </w:r>
            <w:r>
              <w:rPr>
                <w:rFonts w:ascii="Cambria Math"/>
                <w:sz w:val="20"/>
              </w:rPr>
              <w:t>&gt;</w:t>
            </w:r>
            <w:r>
              <w:rPr>
                <w:rFonts w:ascii="Cambria Math"/>
                <w:spacing w:val="79"/>
                <w:sz w:val="20"/>
              </w:rPr>
              <w:t> </w:t>
            </w:r>
            <w:r>
              <w:rPr>
                <w:sz w:val="20"/>
              </w:rPr>
              <w:t>Dutsenkura</w:t>
            </w:r>
            <w:r>
              <w:rPr>
                <w:spacing w:val="78"/>
                <w:sz w:val="20"/>
              </w:rPr>
              <w:t> </w:t>
            </w:r>
            <w:r>
              <w:rPr>
                <w:rFonts w:ascii="Cambria Math"/>
                <w:sz w:val="20"/>
              </w:rPr>
              <w:t>&gt;</w:t>
            </w:r>
            <w:r>
              <w:rPr>
                <w:rFonts w:ascii="Cambria Math"/>
                <w:spacing w:val="58"/>
                <w:w w:val="150"/>
                <w:sz w:val="20"/>
              </w:rPr>
              <w:t> </w:t>
            </w:r>
            <w:r>
              <w:rPr>
                <w:sz w:val="20"/>
              </w:rPr>
              <w:t>Saukakahuta</w:t>
            </w:r>
            <w:r>
              <w:rPr>
                <w:spacing w:val="57"/>
                <w:w w:val="150"/>
                <w:sz w:val="20"/>
              </w:rPr>
              <w:t> </w:t>
            </w:r>
            <w:r>
              <w:rPr>
                <w:rFonts w:ascii="Cambria Math"/>
                <w:spacing w:val="-10"/>
                <w:sz w:val="20"/>
              </w:rPr>
              <w:t>&gt;</w:t>
            </w:r>
          </w:p>
          <w:p>
            <w:pPr>
              <w:pStyle w:val="TableParagraph"/>
              <w:spacing w:line="233" w:lineRule="exact"/>
              <w:ind w:left="434"/>
              <w:rPr>
                <w:rFonts w:ascii="Cambria Math"/>
                <w:sz w:val="20"/>
              </w:rPr>
            </w:pPr>
            <w:r>
              <w:rPr>
                <w:sz w:val="20"/>
              </w:rPr>
              <w:t>Kpakungu</w:t>
            </w:r>
            <w:r>
              <w:rPr>
                <w:spacing w:val="37"/>
                <w:sz w:val="20"/>
              </w:rPr>
              <w:t> </w:t>
            </w:r>
            <w:r>
              <w:rPr>
                <w:rFonts w:ascii="Cambria Math"/>
                <w:sz w:val="20"/>
              </w:rPr>
              <w:t>&gt;</w:t>
            </w:r>
            <w:r>
              <w:rPr>
                <w:rFonts w:ascii="Cambria Math"/>
                <w:spacing w:val="42"/>
                <w:sz w:val="20"/>
              </w:rPr>
              <w:t> </w:t>
            </w:r>
            <w:r>
              <w:rPr>
                <w:sz w:val="20"/>
              </w:rPr>
              <w:t>Maitumbi</w:t>
            </w:r>
            <w:r>
              <w:rPr>
                <w:spacing w:val="37"/>
                <w:sz w:val="20"/>
              </w:rPr>
              <w:t> </w:t>
            </w:r>
            <w:r>
              <w:rPr>
                <w:rFonts w:ascii="Cambria Math"/>
                <w:sz w:val="20"/>
              </w:rPr>
              <w:t>&gt;</w:t>
            </w:r>
            <w:r>
              <w:rPr>
                <w:rFonts w:ascii="Cambria Math"/>
                <w:spacing w:val="42"/>
                <w:sz w:val="20"/>
              </w:rPr>
              <w:t> </w:t>
            </w:r>
            <w:r>
              <w:rPr>
                <w:sz w:val="20"/>
              </w:rPr>
              <w:t>Tudun-Fulani</w:t>
            </w:r>
            <w:r>
              <w:rPr>
                <w:spacing w:val="38"/>
                <w:sz w:val="20"/>
              </w:rPr>
              <w:t> </w:t>
            </w:r>
            <w:r>
              <w:rPr>
                <w:rFonts w:ascii="Cambria Math"/>
                <w:sz w:val="20"/>
              </w:rPr>
              <w:t>&gt;</w:t>
            </w:r>
            <w:r>
              <w:rPr>
                <w:rFonts w:ascii="Cambria Math"/>
                <w:spacing w:val="42"/>
                <w:sz w:val="20"/>
              </w:rPr>
              <w:t> </w:t>
            </w:r>
            <w:r>
              <w:rPr>
                <w:sz w:val="20"/>
              </w:rPr>
              <w:t>F-Layout</w:t>
            </w:r>
            <w:r>
              <w:rPr>
                <w:spacing w:val="40"/>
                <w:sz w:val="20"/>
              </w:rPr>
              <w:t> </w:t>
            </w:r>
            <w:r>
              <w:rPr>
                <w:rFonts w:ascii="Cambria Math"/>
                <w:spacing w:val="-10"/>
                <w:sz w:val="20"/>
              </w:rPr>
              <w:t>&gt;</w:t>
            </w:r>
          </w:p>
          <w:p>
            <w:pPr>
              <w:pStyle w:val="TableParagraph"/>
              <w:tabs>
                <w:tab w:pos="5255" w:val="left" w:leader="none"/>
              </w:tabs>
              <w:spacing w:line="209" w:lineRule="exact"/>
              <w:ind w:left="-3603" w:right="-15"/>
              <w:rPr>
                <w:sz w:val="20"/>
              </w:rPr>
            </w:pPr>
            <w:r>
              <w:rPr>
                <w:spacing w:val="74"/>
                <w:w w:val="150"/>
                <w:sz w:val="20"/>
                <w:u w:val="single"/>
              </w:rPr>
              <w:t>                           </w:t>
            </w:r>
            <w:r>
              <w:rPr>
                <w:spacing w:val="-2"/>
                <w:sz w:val="20"/>
                <w:u w:val="single"/>
              </w:rPr>
              <w:t>Minna-Central</w:t>
            </w:r>
            <w:r>
              <w:rPr>
                <w:sz w:val="20"/>
                <w:u w:val="single"/>
              </w:rPr>
              <w:tab/>
            </w:r>
          </w:p>
        </w:tc>
      </w:tr>
    </w:tbl>
    <w:p>
      <w:pPr>
        <w:pStyle w:val="BodyText"/>
        <w:rPr>
          <w:b/>
        </w:rPr>
      </w:pPr>
    </w:p>
    <w:p>
      <w:pPr>
        <w:pStyle w:val="BodyText"/>
        <w:spacing w:before="17"/>
        <w:rPr>
          <w:b/>
        </w:rPr>
      </w:pPr>
    </w:p>
    <w:p>
      <w:pPr>
        <w:pStyle w:val="ListParagraph"/>
        <w:numPr>
          <w:ilvl w:val="3"/>
          <w:numId w:val="10"/>
        </w:numPr>
        <w:tabs>
          <w:tab w:pos="986" w:val="left" w:leader="none"/>
        </w:tabs>
        <w:spacing w:line="240" w:lineRule="auto" w:before="0" w:after="0"/>
        <w:ind w:left="986" w:right="0" w:hanging="719"/>
        <w:jc w:val="left"/>
        <w:rPr>
          <w:b/>
          <w:sz w:val="24"/>
        </w:rPr>
      </w:pPr>
      <w:r>
        <w:rPr>
          <w:b/>
          <w:sz w:val="24"/>
        </w:rPr>
        <w:t>Ranking</w:t>
      </w:r>
      <w:r>
        <w:rPr>
          <w:b/>
          <w:spacing w:val="-6"/>
          <w:sz w:val="24"/>
        </w:rPr>
        <w:t> </w:t>
      </w:r>
      <w:r>
        <w:rPr>
          <w:b/>
          <w:sz w:val="24"/>
        </w:rPr>
        <w:t>water</w:t>
      </w:r>
      <w:r>
        <w:rPr>
          <w:b/>
          <w:spacing w:val="-3"/>
          <w:sz w:val="24"/>
        </w:rPr>
        <w:t> </w:t>
      </w:r>
      <w:r>
        <w:rPr>
          <w:b/>
          <w:sz w:val="24"/>
        </w:rPr>
        <w:t>poverty components</w:t>
      </w:r>
      <w:r>
        <w:rPr>
          <w:b/>
          <w:spacing w:val="-2"/>
          <w:sz w:val="24"/>
        </w:rPr>
        <w:t> </w:t>
      </w:r>
      <w:r>
        <w:rPr>
          <w:b/>
          <w:sz w:val="24"/>
        </w:rPr>
        <w:t>for</w:t>
      </w:r>
      <w:r>
        <w:rPr>
          <w:b/>
          <w:spacing w:val="-3"/>
          <w:sz w:val="24"/>
        </w:rPr>
        <w:t> </w:t>
      </w:r>
      <w:r>
        <w:rPr>
          <w:b/>
          <w:sz w:val="24"/>
        </w:rPr>
        <w:t>neighbourhoods</w:t>
      </w:r>
      <w:r>
        <w:rPr>
          <w:b/>
          <w:spacing w:val="-1"/>
          <w:sz w:val="24"/>
        </w:rPr>
        <w:t> </w:t>
      </w:r>
      <w:r>
        <w:rPr>
          <w:b/>
          <w:spacing w:val="-2"/>
          <w:sz w:val="24"/>
        </w:rPr>
        <w:t>improvement</w:t>
      </w:r>
    </w:p>
    <w:p>
      <w:pPr>
        <w:pStyle w:val="BodyText"/>
        <w:spacing w:before="15"/>
        <w:rPr>
          <w:b/>
        </w:rPr>
      </w:pPr>
    </w:p>
    <w:p>
      <w:pPr>
        <w:pStyle w:val="BodyText"/>
        <w:spacing w:line="480" w:lineRule="auto"/>
        <w:ind w:left="267" w:right="103"/>
        <w:jc w:val="both"/>
      </w:pPr>
      <w:r>
        <w:rPr/>
        <w:t>The</w:t>
      </w:r>
      <w:r>
        <w:rPr>
          <w:spacing w:val="-11"/>
        </w:rPr>
        <w:t> </w:t>
      </w:r>
      <w:r>
        <w:rPr/>
        <w:t>result</w:t>
      </w:r>
      <w:r>
        <w:rPr>
          <w:spacing w:val="-9"/>
        </w:rPr>
        <w:t> </w:t>
      </w:r>
      <w:r>
        <w:rPr/>
        <w:t>of</w:t>
      </w:r>
      <w:r>
        <w:rPr>
          <w:spacing w:val="-10"/>
        </w:rPr>
        <w:t> </w:t>
      </w:r>
      <w:r>
        <w:rPr/>
        <w:t>the</w:t>
      </w:r>
      <w:r>
        <w:rPr>
          <w:spacing w:val="-10"/>
        </w:rPr>
        <w:t> </w:t>
      </w:r>
      <w:r>
        <w:rPr/>
        <w:t>pentagram</w:t>
      </w:r>
      <w:r>
        <w:rPr>
          <w:spacing w:val="-9"/>
        </w:rPr>
        <w:t> </w:t>
      </w:r>
      <w:r>
        <w:rPr/>
        <w:t>maps</w:t>
      </w:r>
      <w:r>
        <w:rPr>
          <w:spacing w:val="-10"/>
        </w:rPr>
        <w:t> </w:t>
      </w:r>
      <w:r>
        <w:rPr/>
        <w:t>shown</w:t>
      </w:r>
      <w:r>
        <w:rPr>
          <w:spacing w:val="-10"/>
        </w:rPr>
        <w:t> </w:t>
      </w:r>
      <w:r>
        <w:rPr/>
        <w:t>in</w:t>
      </w:r>
      <w:r>
        <w:rPr>
          <w:spacing w:val="-9"/>
        </w:rPr>
        <w:t> </w:t>
      </w:r>
      <w:r>
        <w:rPr/>
        <w:t>figure</w:t>
      </w:r>
      <w:r>
        <w:rPr>
          <w:spacing w:val="-8"/>
        </w:rPr>
        <w:t> </w:t>
      </w:r>
      <w:r>
        <w:rPr/>
        <w:t>4.18a</w:t>
      </w:r>
      <w:r>
        <w:rPr>
          <w:spacing w:val="-11"/>
        </w:rPr>
        <w:t> </w:t>
      </w:r>
      <w:r>
        <w:rPr/>
        <w:t>and</w:t>
      </w:r>
      <w:r>
        <w:rPr>
          <w:spacing w:val="-10"/>
        </w:rPr>
        <w:t> </w:t>
      </w:r>
      <w:r>
        <w:rPr/>
        <w:t>figure</w:t>
      </w:r>
      <w:r>
        <w:rPr>
          <w:spacing w:val="-10"/>
        </w:rPr>
        <w:t> </w:t>
      </w:r>
      <w:r>
        <w:rPr/>
        <w:t>4.18b</w:t>
      </w:r>
      <w:r>
        <w:rPr>
          <w:spacing w:val="-10"/>
        </w:rPr>
        <w:t> </w:t>
      </w:r>
      <w:r>
        <w:rPr/>
        <w:t>further</w:t>
      </w:r>
      <w:r>
        <w:rPr>
          <w:spacing w:val="-10"/>
        </w:rPr>
        <w:t> </w:t>
      </w:r>
      <w:r>
        <w:rPr/>
        <w:t>revealed</w:t>
      </w:r>
      <w:r>
        <w:rPr>
          <w:spacing w:val="-10"/>
        </w:rPr>
        <w:t> </w:t>
      </w:r>
      <w:r>
        <w:rPr/>
        <w:t>the strengths and weakness of the neighbourhoods in terms of the water poverty components ranking. The ranking of the five (5) water poverty component values in the pentagrams in decreasing order for the eight (8) neighbourhoods is shown in Table 4.26. A cursory examination of this ranking of water component values on neighbourhood basis indicates some</w:t>
      </w:r>
      <w:r>
        <w:rPr>
          <w:spacing w:val="-17"/>
        </w:rPr>
        <w:t> </w:t>
      </w:r>
      <w:r>
        <w:rPr/>
        <w:t>interesting</w:t>
      </w:r>
      <w:r>
        <w:rPr>
          <w:spacing w:val="-15"/>
        </w:rPr>
        <w:t> </w:t>
      </w:r>
      <w:r>
        <w:rPr/>
        <w:t>findings</w:t>
      </w:r>
      <w:r>
        <w:rPr>
          <w:spacing w:val="-15"/>
        </w:rPr>
        <w:t> </w:t>
      </w:r>
      <w:r>
        <w:rPr/>
        <w:t>in</w:t>
      </w:r>
      <w:r>
        <w:rPr>
          <w:spacing w:val="-15"/>
        </w:rPr>
        <w:t> </w:t>
      </w:r>
      <w:r>
        <w:rPr/>
        <w:t>respect</w:t>
      </w:r>
      <w:r>
        <w:rPr>
          <w:spacing w:val="-15"/>
        </w:rPr>
        <w:t> </w:t>
      </w:r>
      <w:r>
        <w:rPr/>
        <w:t>of</w:t>
      </w:r>
      <w:r>
        <w:rPr>
          <w:spacing w:val="-16"/>
        </w:rPr>
        <w:t> </w:t>
      </w:r>
      <w:r>
        <w:rPr/>
        <w:t>the</w:t>
      </w:r>
      <w:r>
        <w:rPr>
          <w:spacing w:val="-15"/>
        </w:rPr>
        <w:t> </w:t>
      </w:r>
      <w:r>
        <w:rPr/>
        <w:t>diverse</w:t>
      </w:r>
      <w:r>
        <w:rPr>
          <w:spacing w:val="-16"/>
        </w:rPr>
        <w:t> </w:t>
      </w:r>
      <w:r>
        <w:rPr/>
        <w:t>and</w:t>
      </w:r>
      <w:r>
        <w:rPr>
          <w:spacing w:val="-15"/>
        </w:rPr>
        <w:t> </w:t>
      </w:r>
      <w:r>
        <w:rPr/>
        <w:t>related</w:t>
      </w:r>
      <w:r>
        <w:rPr>
          <w:spacing w:val="-13"/>
        </w:rPr>
        <w:t> </w:t>
      </w:r>
      <w:r>
        <w:rPr/>
        <w:t>water</w:t>
      </w:r>
      <w:r>
        <w:rPr>
          <w:spacing w:val="-15"/>
        </w:rPr>
        <w:t> </w:t>
      </w:r>
      <w:r>
        <w:rPr/>
        <w:t>needs</w:t>
      </w:r>
      <w:r>
        <w:rPr>
          <w:spacing w:val="-13"/>
        </w:rPr>
        <w:t> </w:t>
      </w:r>
      <w:r>
        <w:rPr/>
        <w:t>of</w:t>
      </w:r>
      <w:r>
        <w:rPr>
          <w:spacing w:val="-13"/>
        </w:rPr>
        <w:t> </w:t>
      </w:r>
      <w:r>
        <w:rPr>
          <w:spacing w:val="-2"/>
        </w:rPr>
        <w:t>neighbourhoods.</w:t>
      </w:r>
    </w:p>
    <w:p>
      <w:pPr>
        <w:spacing w:after="0" w:line="480" w:lineRule="auto"/>
        <w:jc w:val="both"/>
        <w:sectPr>
          <w:pgSz w:w="12240" w:h="15840"/>
          <w:pgMar w:header="0" w:footer="1068" w:top="1340" w:bottom="1260" w:left="1720" w:right="1300"/>
        </w:sectPr>
      </w:pPr>
    </w:p>
    <w:p>
      <w:pPr>
        <w:tabs>
          <w:tab w:pos="12437" w:val="left" w:leader="none"/>
        </w:tabs>
        <w:spacing w:before="68"/>
        <w:ind w:left="107" w:right="0" w:firstLine="0"/>
        <w:jc w:val="left"/>
        <w:rPr>
          <w:b/>
          <w:sz w:val="24"/>
        </w:rPr>
      </w:pPr>
      <w:r>
        <w:rPr>
          <w:b/>
          <w:sz w:val="24"/>
          <w:u w:val="single"/>
        </w:rPr>
        <w:t>Table</w:t>
      </w:r>
      <w:r>
        <w:rPr>
          <w:b/>
          <w:spacing w:val="-2"/>
          <w:sz w:val="24"/>
          <w:u w:val="single"/>
        </w:rPr>
        <w:t> </w:t>
      </w:r>
      <w:r>
        <w:rPr>
          <w:b/>
          <w:sz w:val="24"/>
          <w:u w:val="single"/>
        </w:rPr>
        <w:t>4.26:</w:t>
      </w:r>
      <w:r>
        <w:rPr>
          <w:b/>
          <w:spacing w:val="-1"/>
          <w:sz w:val="24"/>
          <w:u w:val="single"/>
        </w:rPr>
        <w:t> </w:t>
      </w:r>
      <w:r>
        <w:rPr>
          <w:b/>
          <w:sz w:val="24"/>
          <w:u w:val="single"/>
        </w:rPr>
        <w:t>Water</w:t>
      </w:r>
      <w:r>
        <w:rPr>
          <w:b/>
          <w:spacing w:val="-1"/>
          <w:sz w:val="24"/>
          <w:u w:val="single"/>
        </w:rPr>
        <w:t> </w:t>
      </w:r>
      <w:r>
        <w:rPr>
          <w:b/>
          <w:sz w:val="24"/>
          <w:u w:val="single"/>
        </w:rPr>
        <w:t>Poverty</w:t>
      </w:r>
      <w:r>
        <w:rPr>
          <w:b/>
          <w:spacing w:val="-1"/>
          <w:sz w:val="24"/>
          <w:u w:val="single"/>
        </w:rPr>
        <w:t> </w:t>
      </w:r>
      <w:r>
        <w:rPr>
          <w:b/>
          <w:sz w:val="24"/>
          <w:u w:val="single"/>
        </w:rPr>
        <w:t>Component</w:t>
      </w:r>
      <w:r>
        <w:rPr>
          <w:b/>
          <w:spacing w:val="-1"/>
          <w:sz w:val="24"/>
          <w:u w:val="single"/>
        </w:rPr>
        <w:t> </w:t>
      </w:r>
      <w:r>
        <w:rPr>
          <w:b/>
          <w:sz w:val="24"/>
          <w:u w:val="single"/>
        </w:rPr>
        <w:t>Ranking</w:t>
      </w:r>
      <w:r>
        <w:rPr>
          <w:b/>
          <w:spacing w:val="-1"/>
          <w:sz w:val="24"/>
          <w:u w:val="single"/>
        </w:rPr>
        <w:t> </w:t>
      </w:r>
      <w:r>
        <w:rPr>
          <w:b/>
          <w:sz w:val="24"/>
          <w:u w:val="single"/>
        </w:rPr>
        <w:t>by</w:t>
      </w:r>
      <w:r>
        <w:rPr>
          <w:b/>
          <w:spacing w:val="-1"/>
          <w:sz w:val="24"/>
          <w:u w:val="single"/>
        </w:rPr>
        <w:t> </w:t>
      </w:r>
      <w:r>
        <w:rPr>
          <w:b/>
          <w:spacing w:val="-2"/>
          <w:sz w:val="24"/>
          <w:u w:val="single"/>
        </w:rPr>
        <w:t>Neighbourhood</w:t>
      </w:r>
      <w:r>
        <w:rPr>
          <w:b/>
          <w:sz w:val="24"/>
          <w:u w:val="single"/>
        </w:rPr>
        <w:tab/>
      </w:r>
    </w:p>
    <w:p>
      <w:pPr>
        <w:pStyle w:val="BodyText"/>
        <w:spacing w:before="30"/>
        <w:rPr>
          <w:b/>
          <w:sz w:val="20"/>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2444"/>
        <w:gridCol w:w="3763"/>
        <w:gridCol w:w="5532"/>
      </w:tblGrid>
      <w:tr>
        <w:trPr>
          <w:trHeight w:val="544" w:hRule="atLeast"/>
        </w:trPr>
        <w:tc>
          <w:tcPr>
            <w:tcW w:w="597" w:type="dxa"/>
            <w:tcBorders>
              <w:bottom w:val="single" w:sz="8" w:space="0" w:color="000000"/>
            </w:tcBorders>
          </w:tcPr>
          <w:p>
            <w:pPr>
              <w:pStyle w:val="TableParagraph"/>
              <w:spacing w:line="266" w:lineRule="exact"/>
              <w:ind w:left="115"/>
              <w:rPr>
                <w:b/>
                <w:sz w:val="24"/>
              </w:rPr>
            </w:pPr>
            <w:r>
              <w:rPr>
                <w:b/>
                <w:spacing w:val="-5"/>
                <w:sz w:val="24"/>
              </w:rPr>
              <w:t>S/N</w:t>
            </w:r>
          </w:p>
        </w:tc>
        <w:tc>
          <w:tcPr>
            <w:tcW w:w="2444" w:type="dxa"/>
            <w:tcBorders>
              <w:bottom w:val="single" w:sz="8" w:space="0" w:color="000000"/>
            </w:tcBorders>
          </w:tcPr>
          <w:p>
            <w:pPr>
              <w:pStyle w:val="TableParagraph"/>
              <w:spacing w:line="266" w:lineRule="exact"/>
              <w:ind w:left="108"/>
              <w:rPr>
                <w:b/>
                <w:sz w:val="24"/>
              </w:rPr>
            </w:pPr>
            <w:r>
              <w:rPr>
                <w:b/>
                <w:spacing w:val="-2"/>
                <w:sz w:val="24"/>
              </w:rPr>
              <w:t>Neighbourhoods</w:t>
            </w:r>
          </w:p>
        </w:tc>
        <w:tc>
          <w:tcPr>
            <w:tcW w:w="3763" w:type="dxa"/>
            <w:tcBorders>
              <w:bottom w:val="single" w:sz="8" w:space="0" w:color="000000"/>
            </w:tcBorders>
          </w:tcPr>
          <w:p>
            <w:pPr>
              <w:pStyle w:val="TableParagraph"/>
              <w:spacing w:line="266" w:lineRule="exact"/>
              <w:ind w:left="470"/>
              <w:rPr>
                <w:b/>
                <w:sz w:val="24"/>
              </w:rPr>
            </w:pPr>
            <w:r>
              <w:rPr>
                <w:b/>
                <w:sz w:val="24"/>
              </w:rPr>
              <w:t>Water</w:t>
            </w:r>
            <w:r>
              <w:rPr>
                <w:b/>
                <w:spacing w:val="-3"/>
                <w:sz w:val="24"/>
              </w:rPr>
              <w:t> </w:t>
            </w:r>
            <w:r>
              <w:rPr>
                <w:b/>
                <w:spacing w:val="-2"/>
                <w:sz w:val="24"/>
              </w:rPr>
              <w:t>Coverage</w:t>
            </w:r>
          </w:p>
        </w:tc>
        <w:tc>
          <w:tcPr>
            <w:tcW w:w="5532" w:type="dxa"/>
            <w:tcBorders>
              <w:bottom w:val="single" w:sz="8" w:space="0" w:color="000000"/>
            </w:tcBorders>
          </w:tcPr>
          <w:p>
            <w:pPr>
              <w:pStyle w:val="TableParagraph"/>
              <w:spacing w:line="266" w:lineRule="exact"/>
              <w:ind w:left="111"/>
              <w:rPr>
                <w:b/>
                <w:sz w:val="24"/>
              </w:rPr>
            </w:pPr>
            <w:r>
              <w:rPr>
                <w:b/>
                <w:sz w:val="24"/>
              </w:rPr>
              <w:t>Water</w:t>
            </w:r>
            <w:r>
              <w:rPr>
                <w:b/>
                <w:spacing w:val="-4"/>
                <w:sz w:val="24"/>
              </w:rPr>
              <w:t> </w:t>
            </w:r>
            <w:r>
              <w:rPr>
                <w:b/>
                <w:sz w:val="24"/>
              </w:rPr>
              <w:t>Poverty</w:t>
            </w:r>
            <w:r>
              <w:rPr>
                <w:b/>
                <w:spacing w:val="-3"/>
                <w:sz w:val="24"/>
              </w:rPr>
              <w:t> </w:t>
            </w:r>
            <w:r>
              <w:rPr>
                <w:b/>
                <w:sz w:val="24"/>
              </w:rPr>
              <w:t>Component</w:t>
            </w:r>
            <w:r>
              <w:rPr>
                <w:b/>
                <w:spacing w:val="-2"/>
                <w:sz w:val="24"/>
              </w:rPr>
              <w:t> Ranks</w:t>
            </w:r>
          </w:p>
        </w:tc>
      </w:tr>
      <w:tr>
        <w:trPr>
          <w:trHeight w:val="782" w:hRule="atLeast"/>
        </w:trPr>
        <w:tc>
          <w:tcPr>
            <w:tcW w:w="597" w:type="dxa"/>
            <w:tcBorders>
              <w:top w:val="single" w:sz="8" w:space="0" w:color="000000"/>
            </w:tcBorders>
          </w:tcPr>
          <w:p>
            <w:pPr>
              <w:pStyle w:val="TableParagraph"/>
              <w:spacing w:before="238"/>
              <w:ind w:left="115"/>
              <w:rPr>
                <w:b/>
                <w:sz w:val="24"/>
              </w:rPr>
            </w:pPr>
            <w:r>
              <w:rPr>
                <w:b/>
                <w:spacing w:val="-10"/>
                <w:sz w:val="24"/>
              </w:rPr>
              <w:t>1</w:t>
            </w:r>
          </w:p>
        </w:tc>
        <w:tc>
          <w:tcPr>
            <w:tcW w:w="2444" w:type="dxa"/>
            <w:tcBorders>
              <w:top w:val="single" w:sz="8" w:space="0" w:color="000000"/>
            </w:tcBorders>
          </w:tcPr>
          <w:p>
            <w:pPr>
              <w:pStyle w:val="TableParagraph"/>
              <w:spacing w:before="234"/>
              <w:ind w:left="108"/>
              <w:rPr>
                <w:sz w:val="24"/>
              </w:rPr>
            </w:pPr>
            <w:r>
              <w:rPr>
                <w:sz w:val="24"/>
              </w:rPr>
              <w:t>Tudun</w:t>
            </w:r>
            <w:r>
              <w:rPr>
                <w:spacing w:val="-1"/>
                <w:sz w:val="24"/>
              </w:rPr>
              <w:t> </w:t>
            </w:r>
            <w:r>
              <w:rPr>
                <w:sz w:val="24"/>
              </w:rPr>
              <w:t>Wada</w:t>
            </w:r>
            <w:r>
              <w:rPr>
                <w:spacing w:val="-1"/>
                <w:sz w:val="24"/>
              </w:rPr>
              <w:t> </w:t>
            </w:r>
            <w:r>
              <w:rPr>
                <w:spacing w:val="-2"/>
                <w:sz w:val="24"/>
              </w:rPr>
              <w:t>South</w:t>
            </w:r>
          </w:p>
        </w:tc>
        <w:tc>
          <w:tcPr>
            <w:tcW w:w="3763" w:type="dxa"/>
            <w:tcBorders>
              <w:top w:val="single" w:sz="8" w:space="0" w:color="000000"/>
            </w:tcBorders>
          </w:tcPr>
          <w:p>
            <w:pPr>
              <w:pStyle w:val="TableParagraph"/>
              <w:spacing w:before="234"/>
              <w:ind w:left="470"/>
              <w:rPr>
                <w:sz w:val="24"/>
              </w:rPr>
            </w:pPr>
            <w:r>
              <w:rPr>
                <w:sz w:val="24"/>
              </w:rPr>
              <w:t>Within</w:t>
            </w:r>
            <w:r>
              <w:rPr>
                <w:spacing w:val="-4"/>
                <w:sz w:val="24"/>
              </w:rPr>
              <w:t> </w:t>
            </w:r>
            <w:r>
              <w:rPr>
                <w:sz w:val="24"/>
              </w:rPr>
              <w:t>public</w:t>
            </w:r>
            <w:r>
              <w:rPr>
                <w:spacing w:val="-1"/>
                <w:sz w:val="24"/>
              </w:rPr>
              <w:t> </w:t>
            </w:r>
            <w:r>
              <w:rPr>
                <w:sz w:val="24"/>
              </w:rPr>
              <w:t>water</w:t>
            </w:r>
            <w:r>
              <w:rPr>
                <w:spacing w:val="-2"/>
                <w:sz w:val="24"/>
              </w:rPr>
              <w:t> mains</w:t>
            </w:r>
          </w:p>
        </w:tc>
        <w:tc>
          <w:tcPr>
            <w:tcW w:w="5532" w:type="dxa"/>
            <w:tcBorders>
              <w:top w:val="single" w:sz="8" w:space="0" w:color="000000"/>
            </w:tcBorders>
          </w:tcPr>
          <w:p>
            <w:pPr>
              <w:pStyle w:val="TableParagraph"/>
              <w:spacing w:before="237"/>
              <w:ind w:left="111"/>
              <w:rPr>
                <w:sz w:val="24"/>
              </w:rPr>
            </w:pPr>
            <w:r>
              <w:rPr>
                <w:sz w:val="24"/>
              </w:rPr>
              <w:t>Environment</w:t>
            </w:r>
            <w:r>
              <w:rPr>
                <w:spacing w:val="-1"/>
                <w:sz w:val="24"/>
              </w:rPr>
              <w:t> </w:t>
            </w:r>
            <w:r>
              <w:rPr>
                <w:rFonts w:ascii="Cambria Math"/>
                <w:sz w:val="24"/>
              </w:rPr>
              <w:t>&gt;</w:t>
            </w:r>
            <w:r>
              <w:rPr>
                <w:rFonts w:ascii="Cambria Math"/>
                <w:spacing w:val="6"/>
                <w:sz w:val="24"/>
              </w:rPr>
              <w:t> </w:t>
            </w:r>
            <w:r>
              <w:rPr>
                <w:sz w:val="24"/>
              </w:rPr>
              <w:t>Resource </w:t>
            </w:r>
            <w:r>
              <w:rPr>
                <w:rFonts w:ascii="Cambria Math"/>
                <w:sz w:val="24"/>
              </w:rPr>
              <w:t>&gt;</w:t>
            </w:r>
            <w:r>
              <w:rPr>
                <w:rFonts w:ascii="Cambria Math"/>
                <w:spacing w:val="7"/>
                <w:sz w:val="24"/>
              </w:rPr>
              <w:t> </w:t>
            </w:r>
            <w:r>
              <w:rPr>
                <w:sz w:val="24"/>
              </w:rPr>
              <w:t>Capacity</w:t>
            </w:r>
            <w:r>
              <w:rPr>
                <w:spacing w:val="-3"/>
                <w:sz w:val="24"/>
              </w:rPr>
              <w:t> </w:t>
            </w:r>
            <w:r>
              <w:rPr>
                <w:rFonts w:ascii="Cambria Math"/>
                <w:sz w:val="24"/>
              </w:rPr>
              <w:t>&gt;</w:t>
            </w:r>
            <w:r>
              <w:rPr>
                <w:rFonts w:ascii="Cambria Math"/>
                <w:spacing w:val="6"/>
                <w:sz w:val="24"/>
              </w:rPr>
              <w:t> </w:t>
            </w:r>
            <w:r>
              <w:rPr>
                <w:sz w:val="24"/>
              </w:rPr>
              <w:t>Access</w:t>
            </w:r>
            <w:r>
              <w:rPr>
                <w:spacing w:val="2"/>
                <w:sz w:val="24"/>
              </w:rPr>
              <w:t> </w:t>
            </w:r>
            <w:r>
              <w:rPr>
                <w:rFonts w:ascii="Cambria Math"/>
                <w:sz w:val="24"/>
              </w:rPr>
              <w:t>&gt;</w:t>
            </w:r>
            <w:r>
              <w:rPr>
                <w:rFonts w:ascii="Cambria Math"/>
                <w:spacing w:val="7"/>
                <w:sz w:val="24"/>
              </w:rPr>
              <w:t> </w:t>
            </w:r>
            <w:r>
              <w:rPr>
                <w:spacing w:val="-5"/>
                <w:sz w:val="24"/>
              </w:rPr>
              <w:t>Use</w:t>
            </w:r>
          </w:p>
        </w:tc>
      </w:tr>
      <w:tr>
        <w:trPr>
          <w:trHeight w:val="801" w:hRule="atLeast"/>
        </w:trPr>
        <w:tc>
          <w:tcPr>
            <w:tcW w:w="597" w:type="dxa"/>
          </w:tcPr>
          <w:p>
            <w:pPr>
              <w:pStyle w:val="TableParagraph"/>
              <w:spacing w:before="258"/>
              <w:ind w:left="115"/>
              <w:rPr>
                <w:b/>
                <w:sz w:val="24"/>
              </w:rPr>
            </w:pPr>
            <w:r>
              <w:rPr>
                <w:b/>
                <w:spacing w:val="-10"/>
                <w:sz w:val="24"/>
              </w:rPr>
              <w:t>2</w:t>
            </w:r>
          </w:p>
        </w:tc>
        <w:tc>
          <w:tcPr>
            <w:tcW w:w="2444" w:type="dxa"/>
          </w:tcPr>
          <w:p>
            <w:pPr>
              <w:pStyle w:val="TableParagraph"/>
              <w:spacing w:before="253"/>
              <w:ind w:left="108"/>
              <w:rPr>
                <w:sz w:val="24"/>
              </w:rPr>
            </w:pPr>
            <w:r>
              <w:rPr>
                <w:spacing w:val="-2"/>
                <w:sz w:val="24"/>
              </w:rPr>
              <w:t>Dutsenkura</w:t>
            </w:r>
          </w:p>
        </w:tc>
        <w:tc>
          <w:tcPr>
            <w:tcW w:w="3763" w:type="dxa"/>
          </w:tcPr>
          <w:p>
            <w:pPr>
              <w:pStyle w:val="TableParagraph"/>
              <w:spacing w:before="253"/>
              <w:ind w:left="470"/>
              <w:rPr>
                <w:sz w:val="24"/>
              </w:rPr>
            </w:pPr>
            <w:r>
              <w:rPr>
                <w:sz w:val="24"/>
              </w:rPr>
              <w:t>Within</w:t>
            </w:r>
            <w:r>
              <w:rPr>
                <w:spacing w:val="-4"/>
                <w:sz w:val="24"/>
              </w:rPr>
              <w:t> </w:t>
            </w:r>
            <w:r>
              <w:rPr>
                <w:sz w:val="24"/>
              </w:rPr>
              <w:t>public</w:t>
            </w:r>
            <w:r>
              <w:rPr>
                <w:spacing w:val="-1"/>
                <w:sz w:val="24"/>
              </w:rPr>
              <w:t> </w:t>
            </w:r>
            <w:r>
              <w:rPr>
                <w:sz w:val="24"/>
              </w:rPr>
              <w:t>water</w:t>
            </w:r>
            <w:r>
              <w:rPr>
                <w:spacing w:val="-2"/>
                <w:sz w:val="24"/>
              </w:rPr>
              <w:t> mains</w:t>
            </w:r>
          </w:p>
        </w:tc>
        <w:tc>
          <w:tcPr>
            <w:tcW w:w="5532" w:type="dxa"/>
          </w:tcPr>
          <w:p>
            <w:pPr>
              <w:pStyle w:val="TableParagraph"/>
              <w:spacing w:before="256"/>
              <w:ind w:left="111"/>
              <w:rPr>
                <w:sz w:val="24"/>
              </w:rPr>
            </w:pPr>
            <w:r>
              <w:rPr>
                <w:sz w:val="24"/>
              </w:rPr>
              <w:t>Environment</w:t>
            </w:r>
            <w:r>
              <w:rPr>
                <w:spacing w:val="-1"/>
                <w:sz w:val="24"/>
              </w:rPr>
              <w:t> </w:t>
            </w:r>
            <w:r>
              <w:rPr>
                <w:rFonts w:ascii="Cambria Math"/>
                <w:sz w:val="24"/>
              </w:rPr>
              <w:t>&gt;</w:t>
            </w:r>
            <w:r>
              <w:rPr>
                <w:rFonts w:ascii="Cambria Math"/>
                <w:spacing w:val="6"/>
                <w:sz w:val="24"/>
              </w:rPr>
              <w:t> </w:t>
            </w:r>
            <w:r>
              <w:rPr>
                <w:sz w:val="24"/>
              </w:rPr>
              <w:t>Access</w:t>
            </w:r>
            <w:r>
              <w:rPr>
                <w:spacing w:val="-1"/>
                <w:sz w:val="24"/>
              </w:rPr>
              <w:t> </w:t>
            </w:r>
            <w:r>
              <w:rPr>
                <w:rFonts w:ascii="Cambria Math"/>
                <w:sz w:val="24"/>
              </w:rPr>
              <w:t>&gt;</w:t>
            </w:r>
            <w:r>
              <w:rPr>
                <w:rFonts w:ascii="Cambria Math"/>
                <w:spacing w:val="7"/>
                <w:sz w:val="24"/>
              </w:rPr>
              <w:t> </w:t>
            </w:r>
            <w:r>
              <w:rPr>
                <w:sz w:val="24"/>
              </w:rPr>
              <w:t>Resource</w:t>
            </w:r>
            <w:r>
              <w:rPr>
                <w:spacing w:val="1"/>
                <w:sz w:val="24"/>
              </w:rPr>
              <w:t> </w:t>
            </w:r>
            <w:r>
              <w:rPr>
                <w:rFonts w:ascii="Cambria Math"/>
                <w:sz w:val="24"/>
              </w:rPr>
              <w:t>&gt;</w:t>
            </w:r>
            <w:r>
              <w:rPr>
                <w:rFonts w:ascii="Cambria Math"/>
                <w:spacing w:val="6"/>
                <w:sz w:val="24"/>
              </w:rPr>
              <w:t> </w:t>
            </w:r>
            <w:r>
              <w:rPr>
                <w:sz w:val="24"/>
              </w:rPr>
              <w:t>Capacity</w:t>
            </w:r>
            <w:r>
              <w:rPr>
                <w:spacing w:val="-3"/>
                <w:sz w:val="24"/>
              </w:rPr>
              <w:t> </w:t>
            </w:r>
            <w:r>
              <w:rPr>
                <w:rFonts w:ascii="Cambria Math"/>
                <w:sz w:val="24"/>
              </w:rPr>
              <w:t>&gt;</w:t>
            </w:r>
            <w:r>
              <w:rPr>
                <w:rFonts w:ascii="Cambria Math"/>
                <w:spacing w:val="7"/>
                <w:sz w:val="24"/>
              </w:rPr>
              <w:t> </w:t>
            </w:r>
            <w:r>
              <w:rPr>
                <w:spacing w:val="-5"/>
                <w:sz w:val="24"/>
              </w:rPr>
              <w:t>Use</w:t>
            </w:r>
          </w:p>
        </w:tc>
      </w:tr>
      <w:tr>
        <w:trPr>
          <w:trHeight w:val="803" w:hRule="atLeast"/>
        </w:trPr>
        <w:tc>
          <w:tcPr>
            <w:tcW w:w="597" w:type="dxa"/>
          </w:tcPr>
          <w:p>
            <w:pPr>
              <w:pStyle w:val="TableParagraph"/>
              <w:spacing w:before="258"/>
              <w:ind w:left="115"/>
              <w:rPr>
                <w:b/>
                <w:sz w:val="24"/>
              </w:rPr>
            </w:pPr>
            <w:r>
              <w:rPr>
                <w:b/>
                <w:spacing w:val="-10"/>
                <w:sz w:val="24"/>
              </w:rPr>
              <w:t>3</w:t>
            </w:r>
          </w:p>
        </w:tc>
        <w:tc>
          <w:tcPr>
            <w:tcW w:w="2444" w:type="dxa"/>
          </w:tcPr>
          <w:p>
            <w:pPr>
              <w:pStyle w:val="TableParagraph"/>
              <w:spacing w:before="253"/>
              <w:ind w:left="108"/>
              <w:rPr>
                <w:sz w:val="24"/>
              </w:rPr>
            </w:pPr>
            <w:r>
              <w:rPr>
                <w:spacing w:val="-2"/>
                <w:sz w:val="24"/>
              </w:rPr>
              <w:t>Minna-Central</w:t>
            </w:r>
          </w:p>
        </w:tc>
        <w:tc>
          <w:tcPr>
            <w:tcW w:w="3763" w:type="dxa"/>
          </w:tcPr>
          <w:p>
            <w:pPr>
              <w:pStyle w:val="TableParagraph"/>
              <w:spacing w:before="253"/>
              <w:ind w:left="470"/>
              <w:rPr>
                <w:sz w:val="24"/>
              </w:rPr>
            </w:pPr>
            <w:r>
              <w:rPr>
                <w:sz w:val="24"/>
              </w:rPr>
              <w:t>Within</w:t>
            </w:r>
            <w:r>
              <w:rPr>
                <w:spacing w:val="-4"/>
                <w:sz w:val="24"/>
              </w:rPr>
              <w:t> </w:t>
            </w:r>
            <w:r>
              <w:rPr>
                <w:sz w:val="24"/>
              </w:rPr>
              <w:t>public</w:t>
            </w:r>
            <w:r>
              <w:rPr>
                <w:spacing w:val="-1"/>
                <w:sz w:val="24"/>
              </w:rPr>
              <w:t> </w:t>
            </w:r>
            <w:r>
              <w:rPr>
                <w:sz w:val="24"/>
              </w:rPr>
              <w:t>water</w:t>
            </w:r>
            <w:r>
              <w:rPr>
                <w:spacing w:val="-2"/>
                <w:sz w:val="24"/>
              </w:rPr>
              <w:t> mains</w:t>
            </w:r>
          </w:p>
        </w:tc>
        <w:tc>
          <w:tcPr>
            <w:tcW w:w="5532" w:type="dxa"/>
          </w:tcPr>
          <w:p>
            <w:pPr>
              <w:pStyle w:val="TableParagraph"/>
              <w:spacing w:before="257"/>
              <w:ind w:left="111"/>
              <w:rPr>
                <w:sz w:val="24"/>
              </w:rPr>
            </w:pPr>
            <w:r>
              <w:rPr>
                <w:sz w:val="24"/>
              </w:rPr>
              <w:t>Capacity</w:t>
            </w:r>
            <w:r>
              <w:rPr>
                <w:spacing w:val="-3"/>
                <w:sz w:val="24"/>
              </w:rPr>
              <w:t> </w:t>
            </w:r>
            <w:r>
              <w:rPr>
                <w:rFonts w:ascii="Cambria Math"/>
                <w:sz w:val="24"/>
              </w:rPr>
              <w:t>&gt;</w:t>
            </w:r>
            <w:r>
              <w:rPr>
                <w:rFonts w:ascii="Cambria Math"/>
                <w:spacing w:val="7"/>
                <w:sz w:val="24"/>
              </w:rPr>
              <w:t> </w:t>
            </w:r>
            <w:r>
              <w:rPr>
                <w:sz w:val="24"/>
              </w:rPr>
              <w:t>Resource</w:t>
            </w:r>
            <w:r>
              <w:rPr>
                <w:spacing w:val="1"/>
                <w:sz w:val="24"/>
              </w:rPr>
              <w:t> </w:t>
            </w:r>
            <w:r>
              <w:rPr>
                <w:rFonts w:ascii="Cambria Math"/>
                <w:sz w:val="24"/>
              </w:rPr>
              <w:t>&gt;</w:t>
            </w:r>
            <w:r>
              <w:rPr>
                <w:rFonts w:ascii="Cambria Math"/>
                <w:spacing w:val="7"/>
                <w:sz w:val="24"/>
              </w:rPr>
              <w:t> </w:t>
            </w:r>
            <w:r>
              <w:rPr>
                <w:sz w:val="24"/>
              </w:rPr>
              <w:t>Access </w:t>
            </w:r>
            <w:r>
              <w:rPr>
                <w:rFonts w:ascii="Cambria Math"/>
                <w:sz w:val="24"/>
              </w:rPr>
              <w:t>&gt;</w:t>
            </w:r>
            <w:r>
              <w:rPr>
                <w:rFonts w:ascii="Cambria Math"/>
                <w:spacing w:val="7"/>
                <w:sz w:val="24"/>
              </w:rPr>
              <w:t> </w:t>
            </w:r>
            <w:r>
              <w:rPr>
                <w:sz w:val="24"/>
              </w:rPr>
              <w:t>Environment</w:t>
            </w:r>
            <w:r>
              <w:rPr>
                <w:spacing w:val="-1"/>
                <w:sz w:val="24"/>
              </w:rPr>
              <w:t> </w:t>
            </w:r>
            <w:r>
              <w:rPr>
                <w:rFonts w:ascii="Cambria Math"/>
                <w:sz w:val="24"/>
              </w:rPr>
              <w:t>&gt;</w:t>
            </w:r>
            <w:r>
              <w:rPr>
                <w:rFonts w:ascii="Cambria Math"/>
                <w:spacing w:val="7"/>
                <w:sz w:val="24"/>
              </w:rPr>
              <w:t> </w:t>
            </w:r>
            <w:r>
              <w:rPr>
                <w:spacing w:val="-5"/>
                <w:sz w:val="24"/>
              </w:rPr>
              <w:t>Use</w:t>
            </w:r>
          </w:p>
        </w:tc>
      </w:tr>
      <w:tr>
        <w:trPr>
          <w:trHeight w:val="802" w:hRule="atLeast"/>
        </w:trPr>
        <w:tc>
          <w:tcPr>
            <w:tcW w:w="597" w:type="dxa"/>
          </w:tcPr>
          <w:p>
            <w:pPr>
              <w:pStyle w:val="TableParagraph"/>
              <w:spacing w:before="259"/>
              <w:ind w:left="115"/>
              <w:rPr>
                <w:b/>
                <w:sz w:val="24"/>
              </w:rPr>
            </w:pPr>
            <w:r>
              <w:rPr>
                <w:b/>
                <w:spacing w:val="-10"/>
                <w:sz w:val="24"/>
              </w:rPr>
              <w:t>4</w:t>
            </w:r>
          </w:p>
        </w:tc>
        <w:tc>
          <w:tcPr>
            <w:tcW w:w="2444" w:type="dxa"/>
          </w:tcPr>
          <w:p>
            <w:pPr>
              <w:pStyle w:val="TableParagraph"/>
              <w:spacing w:before="254"/>
              <w:ind w:left="108"/>
              <w:rPr>
                <w:sz w:val="24"/>
              </w:rPr>
            </w:pPr>
            <w:r>
              <w:rPr>
                <w:spacing w:val="-2"/>
                <w:sz w:val="24"/>
              </w:rPr>
              <w:t>Tudun-Fulani</w:t>
            </w:r>
          </w:p>
        </w:tc>
        <w:tc>
          <w:tcPr>
            <w:tcW w:w="3763" w:type="dxa"/>
          </w:tcPr>
          <w:p>
            <w:pPr>
              <w:pStyle w:val="TableParagraph"/>
              <w:spacing w:before="254"/>
              <w:ind w:left="470"/>
              <w:rPr>
                <w:sz w:val="24"/>
              </w:rPr>
            </w:pPr>
            <w:r>
              <w:rPr>
                <w:sz w:val="24"/>
              </w:rPr>
              <w:t>Partly</w:t>
            </w:r>
            <w:r>
              <w:rPr>
                <w:spacing w:val="-12"/>
                <w:sz w:val="24"/>
              </w:rPr>
              <w:t> </w:t>
            </w:r>
            <w:r>
              <w:rPr>
                <w:sz w:val="24"/>
              </w:rPr>
              <w:t>outside</w:t>
            </w:r>
            <w:r>
              <w:rPr>
                <w:spacing w:val="-9"/>
                <w:sz w:val="24"/>
              </w:rPr>
              <w:t> </w:t>
            </w:r>
            <w:r>
              <w:rPr>
                <w:sz w:val="24"/>
              </w:rPr>
              <w:t>public</w:t>
            </w:r>
            <w:r>
              <w:rPr>
                <w:spacing w:val="-6"/>
                <w:sz w:val="24"/>
              </w:rPr>
              <w:t> </w:t>
            </w:r>
            <w:r>
              <w:rPr>
                <w:sz w:val="24"/>
              </w:rPr>
              <w:t>water</w:t>
            </w:r>
            <w:r>
              <w:rPr>
                <w:spacing w:val="-8"/>
                <w:sz w:val="24"/>
              </w:rPr>
              <w:t> </w:t>
            </w:r>
            <w:r>
              <w:rPr>
                <w:spacing w:val="-2"/>
                <w:sz w:val="24"/>
              </w:rPr>
              <w:t>mains</w:t>
            </w:r>
          </w:p>
        </w:tc>
        <w:tc>
          <w:tcPr>
            <w:tcW w:w="5532" w:type="dxa"/>
          </w:tcPr>
          <w:p>
            <w:pPr>
              <w:pStyle w:val="TableParagraph"/>
              <w:spacing w:before="258"/>
              <w:ind w:left="111"/>
              <w:rPr>
                <w:sz w:val="24"/>
              </w:rPr>
            </w:pPr>
            <w:r>
              <w:rPr>
                <w:sz w:val="24"/>
              </w:rPr>
              <w:t>Capacity</w:t>
            </w:r>
            <w:r>
              <w:rPr>
                <w:spacing w:val="-3"/>
                <w:sz w:val="24"/>
              </w:rPr>
              <w:t> </w:t>
            </w:r>
            <w:r>
              <w:rPr>
                <w:rFonts w:ascii="Cambria Math"/>
                <w:sz w:val="24"/>
              </w:rPr>
              <w:t>&gt;</w:t>
            </w:r>
            <w:r>
              <w:rPr>
                <w:rFonts w:ascii="Cambria Math"/>
                <w:spacing w:val="6"/>
                <w:sz w:val="24"/>
              </w:rPr>
              <w:t> </w:t>
            </w:r>
            <w:r>
              <w:rPr>
                <w:sz w:val="24"/>
              </w:rPr>
              <w:t>Environment</w:t>
            </w:r>
            <w:r>
              <w:rPr>
                <w:spacing w:val="2"/>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Access </w:t>
            </w:r>
            <w:r>
              <w:rPr>
                <w:rFonts w:ascii="Cambria Math"/>
                <w:sz w:val="24"/>
              </w:rPr>
              <w:t>&gt;</w:t>
            </w:r>
            <w:r>
              <w:rPr>
                <w:rFonts w:ascii="Cambria Math"/>
                <w:spacing w:val="7"/>
                <w:sz w:val="24"/>
              </w:rPr>
              <w:t> </w:t>
            </w:r>
            <w:r>
              <w:rPr>
                <w:spacing w:val="-5"/>
                <w:sz w:val="24"/>
              </w:rPr>
              <w:t>Use</w:t>
            </w:r>
          </w:p>
        </w:tc>
      </w:tr>
      <w:tr>
        <w:trPr>
          <w:trHeight w:val="802" w:hRule="atLeast"/>
        </w:trPr>
        <w:tc>
          <w:tcPr>
            <w:tcW w:w="597" w:type="dxa"/>
          </w:tcPr>
          <w:p>
            <w:pPr>
              <w:pStyle w:val="TableParagraph"/>
              <w:spacing w:before="258"/>
              <w:ind w:left="115"/>
              <w:rPr>
                <w:b/>
                <w:sz w:val="24"/>
              </w:rPr>
            </w:pPr>
            <w:r>
              <w:rPr>
                <w:b/>
                <w:spacing w:val="-10"/>
                <w:sz w:val="24"/>
              </w:rPr>
              <w:t>5</w:t>
            </w:r>
          </w:p>
        </w:tc>
        <w:tc>
          <w:tcPr>
            <w:tcW w:w="2444" w:type="dxa"/>
          </w:tcPr>
          <w:p>
            <w:pPr>
              <w:pStyle w:val="TableParagraph"/>
              <w:spacing w:before="253"/>
              <w:ind w:left="108"/>
              <w:rPr>
                <w:sz w:val="24"/>
              </w:rPr>
            </w:pPr>
            <w:r>
              <w:rPr>
                <w:spacing w:val="-2"/>
                <w:sz w:val="24"/>
              </w:rPr>
              <w:t>Saukakauta</w:t>
            </w:r>
          </w:p>
        </w:tc>
        <w:tc>
          <w:tcPr>
            <w:tcW w:w="3763" w:type="dxa"/>
          </w:tcPr>
          <w:p>
            <w:pPr>
              <w:pStyle w:val="TableParagraph"/>
              <w:spacing w:before="253"/>
              <w:ind w:left="470"/>
              <w:rPr>
                <w:sz w:val="24"/>
              </w:rPr>
            </w:pPr>
            <w:r>
              <w:rPr>
                <w:sz w:val="24"/>
              </w:rPr>
              <w:t>Partly</w:t>
            </w:r>
            <w:r>
              <w:rPr>
                <w:spacing w:val="-12"/>
                <w:sz w:val="24"/>
              </w:rPr>
              <w:t> </w:t>
            </w:r>
            <w:r>
              <w:rPr>
                <w:sz w:val="24"/>
              </w:rPr>
              <w:t>outside</w:t>
            </w:r>
            <w:r>
              <w:rPr>
                <w:spacing w:val="-9"/>
                <w:sz w:val="24"/>
              </w:rPr>
              <w:t> </w:t>
            </w:r>
            <w:r>
              <w:rPr>
                <w:sz w:val="24"/>
              </w:rPr>
              <w:t>public</w:t>
            </w:r>
            <w:r>
              <w:rPr>
                <w:spacing w:val="-6"/>
                <w:sz w:val="24"/>
              </w:rPr>
              <w:t> </w:t>
            </w:r>
            <w:r>
              <w:rPr>
                <w:sz w:val="24"/>
              </w:rPr>
              <w:t>water</w:t>
            </w:r>
            <w:r>
              <w:rPr>
                <w:spacing w:val="-8"/>
                <w:sz w:val="24"/>
              </w:rPr>
              <w:t> </w:t>
            </w:r>
            <w:r>
              <w:rPr>
                <w:spacing w:val="-2"/>
                <w:sz w:val="24"/>
              </w:rPr>
              <w:t>mains</w:t>
            </w:r>
          </w:p>
        </w:tc>
        <w:tc>
          <w:tcPr>
            <w:tcW w:w="5532" w:type="dxa"/>
          </w:tcPr>
          <w:p>
            <w:pPr>
              <w:pStyle w:val="TableParagraph"/>
              <w:spacing w:before="256"/>
              <w:ind w:left="111"/>
              <w:rPr>
                <w:sz w:val="24"/>
              </w:rPr>
            </w:pPr>
            <w:r>
              <w:rPr>
                <w:sz w:val="24"/>
              </w:rPr>
              <w:t>Capacity</w:t>
            </w:r>
            <w:r>
              <w:rPr>
                <w:spacing w:val="-3"/>
                <w:sz w:val="24"/>
              </w:rPr>
              <w:t> </w:t>
            </w:r>
            <w:r>
              <w:rPr>
                <w:rFonts w:ascii="Cambria Math"/>
                <w:sz w:val="24"/>
              </w:rPr>
              <w:t>&gt;</w:t>
            </w:r>
            <w:r>
              <w:rPr>
                <w:rFonts w:ascii="Cambria Math"/>
                <w:spacing w:val="6"/>
                <w:sz w:val="24"/>
              </w:rPr>
              <w:t> </w:t>
            </w:r>
            <w:r>
              <w:rPr>
                <w:sz w:val="24"/>
              </w:rPr>
              <w:t>Environment</w:t>
            </w:r>
            <w:r>
              <w:rPr>
                <w:spacing w:val="2"/>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Access </w:t>
            </w:r>
            <w:r>
              <w:rPr>
                <w:rFonts w:ascii="Cambria Math"/>
                <w:sz w:val="24"/>
              </w:rPr>
              <w:t>&gt;</w:t>
            </w:r>
            <w:r>
              <w:rPr>
                <w:rFonts w:ascii="Cambria Math"/>
                <w:spacing w:val="7"/>
                <w:sz w:val="24"/>
              </w:rPr>
              <w:t> </w:t>
            </w:r>
            <w:r>
              <w:rPr>
                <w:spacing w:val="-5"/>
                <w:sz w:val="24"/>
              </w:rPr>
              <w:t>Use</w:t>
            </w:r>
          </w:p>
        </w:tc>
      </w:tr>
      <w:tr>
        <w:trPr>
          <w:trHeight w:val="803" w:hRule="atLeast"/>
        </w:trPr>
        <w:tc>
          <w:tcPr>
            <w:tcW w:w="597" w:type="dxa"/>
          </w:tcPr>
          <w:p>
            <w:pPr>
              <w:pStyle w:val="TableParagraph"/>
              <w:spacing w:before="259"/>
              <w:ind w:left="115"/>
              <w:rPr>
                <w:b/>
                <w:sz w:val="24"/>
              </w:rPr>
            </w:pPr>
            <w:r>
              <w:rPr>
                <w:b/>
                <w:spacing w:val="-10"/>
                <w:sz w:val="24"/>
              </w:rPr>
              <w:t>6</w:t>
            </w:r>
          </w:p>
        </w:tc>
        <w:tc>
          <w:tcPr>
            <w:tcW w:w="2444" w:type="dxa"/>
          </w:tcPr>
          <w:p>
            <w:pPr>
              <w:pStyle w:val="TableParagraph"/>
              <w:spacing w:before="255"/>
              <w:ind w:left="108"/>
              <w:rPr>
                <w:sz w:val="24"/>
              </w:rPr>
            </w:pPr>
            <w:r>
              <w:rPr>
                <w:spacing w:val="-2"/>
                <w:sz w:val="24"/>
              </w:rPr>
              <w:t>Maitumbi</w:t>
            </w:r>
          </w:p>
        </w:tc>
        <w:tc>
          <w:tcPr>
            <w:tcW w:w="3763" w:type="dxa"/>
          </w:tcPr>
          <w:p>
            <w:pPr>
              <w:pStyle w:val="TableParagraph"/>
              <w:spacing w:before="255"/>
              <w:ind w:left="470"/>
              <w:rPr>
                <w:sz w:val="24"/>
              </w:rPr>
            </w:pPr>
            <w:r>
              <w:rPr>
                <w:sz w:val="24"/>
              </w:rPr>
              <w:t>Partly</w:t>
            </w:r>
            <w:r>
              <w:rPr>
                <w:spacing w:val="-12"/>
                <w:sz w:val="24"/>
              </w:rPr>
              <w:t> </w:t>
            </w:r>
            <w:r>
              <w:rPr>
                <w:sz w:val="24"/>
              </w:rPr>
              <w:t>outside</w:t>
            </w:r>
            <w:r>
              <w:rPr>
                <w:spacing w:val="-9"/>
                <w:sz w:val="24"/>
              </w:rPr>
              <w:t> </w:t>
            </w:r>
            <w:r>
              <w:rPr>
                <w:sz w:val="24"/>
              </w:rPr>
              <w:t>public</w:t>
            </w:r>
            <w:r>
              <w:rPr>
                <w:spacing w:val="-6"/>
                <w:sz w:val="24"/>
              </w:rPr>
              <w:t> </w:t>
            </w:r>
            <w:r>
              <w:rPr>
                <w:sz w:val="24"/>
              </w:rPr>
              <w:t>water</w:t>
            </w:r>
            <w:r>
              <w:rPr>
                <w:spacing w:val="-8"/>
                <w:sz w:val="24"/>
              </w:rPr>
              <w:t> </w:t>
            </w:r>
            <w:r>
              <w:rPr>
                <w:spacing w:val="-2"/>
                <w:sz w:val="24"/>
              </w:rPr>
              <w:t>mains</w:t>
            </w:r>
          </w:p>
        </w:tc>
        <w:tc>
          <w:tcPr>
            <w:tcW w:w="5532" w:type="dxa"/>
          </w:tcPr>
          <w:p>
            <w:pPr>
              <w:pStyle w:val="TableParagraph"/>
              <w:spacing w:before="258"/>
              <w:ind w:left="111"/>
              <w:rPr>
                <w:sz w:val="24"/>
              </w:rPr>
            </w:pPr>
            <w:r>
              <w:rPr>
                <w:sz w:val="24"/>
              </w:rPr>
              <w:t>Capacity</w:t>
            </w:r>
            <w:r>
              <w:rPr>
                <w:spacing w:val="-5"/>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Environment </w:t>
            </w:r>
            <w:r>
              <w:rPr>
                <w:rFonts w:ascii="Cambria Math"/>
                <w:sz w:val="24"/>
              </w:rPr>
              <w:t>&gt;</w:t>
            </w:r>
            <w:r>
              <w:rPr>
                <w:rFonts w:ascii="Cambria Math"/>
                <w:spacing w:val="6"/>
                <w:sz w:val="24"/>
              </w:rPr>
              <w:t> </w:t>
            </w:r>
            <w:r>
              <w:rPr>
                <w:sz w:val="24"/>
              </w:rPr>
              <w:t>Access</w:t>
            </w:r>
            <w:r>
              <w:rPr>
                <w:spacing w:val="2"/>
                <w:sz w:val="24"/>
              </w:rPr>
              <w:t> </w:t>
            </w:r>
            <w:r>
              <w:rPr>
                <w:rFonts w:ascii="Cambria Math"/>
                <w:sz w:val="24"/>
              </w:rPr>
              <w:t>&gt;</w:t>
            </w:r>
            <w:r>
              <w:rPr>
                <w:rFonts w:ascii="Cambria Math"/>
                <w:spacing w:val="6"/>
                <w:sz w:val="24"/>
              </w:rPr>
              <w:t> </w:t>
            </w:r>
            <w:r>
              <w:rPr>
                <w:spacing w:val="-5"/>
                <w:sz w:val="24"/>
              </w:rPr>
              <w:t>Use</w:t>
            </w:r>
          </w:p>
        </w:tc>
      </w:tr>
      <w:tr>
        <w:trPr>
          <w:trHeight w:val="802" w:hRule="atLeast"/>
        </w:trPr>
        <w:tc>
          <w:tcPr>
            <w:tcW w:w="597" w:type="dxa"/>
          </w:tcPr>
          <w:p>
            <w:pPr>
              <w:pStyle w:val="TableParagraph"/>
              <w:spacing w:before="258"/>
              <w:ind w:left="115"/>
              <w:rPr>
                <w:b/>
                <w:sz w:val="24"/>
              </w:rPr>
            </w:pPr>
            <w:r>
              <w:rPr>
                <w:b/>
                <w:spacing w:val="-10"/>
                <w:sz w:val="24"/>
              </w:rPr>
              <w:t>7</w:t>
            </w:r>
          </w:p>
        </w:tc>
        <w:tc>
          <w:tcPr>
            <w:tcW w:w="2444" w:type="dxa"/>
          </w:tcPr>
          <w:p>
            <w:pPr>
              <w:pStyle w:val="TableParagraph"/>
              <w:spacing w:before="253"/>
              <w:ind w:left="108"/>
              <w:rPr>
                <w:sz w:val="24"/>
              </w:rPr>
            </w:pPr>
            <w:r>
              <w:rPr>
                <w:spacing w:val="-2"/>
                <w:sz w:val="24"/>
              </w:rPr>
              <w:t>Kpakungu</w:t>
            </w:r>
          </w:p>
        </w:tc>
        <w:tc>
          <w:tcPr>
            <w:tcW w:w="3763" w:type="dxa"/>
          </w:tcPr>
          <w:p>
            <w:pPr>
              <w:pStyle w:val="TableParagraph"/>
              <w:spacing w:before="253"/>
              <w:ind w:left="470"/>
              <w:rPr>
                <w:sz w:val="24"/>
              </w:rPr>
            </w:pPr>
            <w:r>
              <w:rPr>
                <w:sz w:val="24"/>
              </w:rPr>
              <w:t>Partly</w:t>
            </w:r>
            <w:r>
              <w:rPr>
                <w:spacing w:val="-12"/>
                <w:sz w:val="24"/>
              </w:rPr>
              <w:t> </w:t>
            </w:r>
            <w:r>
              <w:rPr>
                <w:sz w:val="24"/>
              </w:rPr>
              <w:t>outside</w:t>
            </w:r>
            <w:r>
              <w:rPr>
                <w:spacing w:val="-9"/>
                <w:sz w:val="24"/>
              </w:rPr>
              <w:t> </w:t>
            </w:r>
            <w:r>
              <w:rPr>
                <w:sz w:val="24"/>
              </w:rPr>
              <w:t>public</w:t>
            </w:r>
            <w:r>
              <w:rPr>
                <w:spacing w:val="-6"/>
                <w:sz w:val="24"/>
              </w:rPr>
              <w:t> </w:t>
            </w:r>
            <w:r>
              <w:rPr>
                <w:sz w:val="24"/>
              </w:rPr>
              <w:t>water</w:t>
            </w:r>
            <w:r>
              <w:rPr>
                <w:spacing w:val="-8"/>
                <w:sz w:val="24"/>
              </w:rPr>
              <w:t> </w:t>
            </w:r>
            <w:r>
              <w:rPr>
                <w:spacing w:val="-2"/>
                <w:sz w:val="24"/>
              </w:rPr>
              <w:t>mains</w:t>
            </w:r>
          </w:p>
        </w:tc>
        <w:tc>
          <w:tcPr>
            <w:tcW w:w="5532" w:type="dxa"/>
          </w:tcPr>
          <w:p>
            <w:pPr>
              <w:pStyle w:val="TableParagraph"/>
              <w:spacing w:before="256"/>
              <w:ind w:left="111"/>
              <w:rPr>
                <w:sz w:val="24"/>
              </w:rPr>
            </w:pPr>
            <w:r>
              <w:rPr>
                <w:sz w:val="24"/>
              </w:rPr>
              <w:t>Capacity</w:t>
            </w:r>
            <w:r>
              <w:rPr>
                <w:spacing w:val="-5"/>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Environment </w:t>
            </w:r>
            <w:r>
              <w:rPr>
                <w:rFonts w:ascii="Cambria Math"/>
                <w:sz w:val="24"/>
              </w:rPr>
              <w:t>&gt;</w:t>
            </w:r>
            <w:r>
              <w:rPr>
                <w:rFonts w:ascii="Cambria Math"/>
                <w:spacing w:val="6"/>
                <w:sz w:val="24"/>
              </w:rPr>
              <w:t> </w:t>
            </w:r>
            <w:r>
              <w:rPr>
                <w:sz w:val="24"/>
              </w:rPr>
              <w:t>Access</w:t>
            </w:r>
            <w:r>
              <w:rPr>
                <w:spacing w:val="2"/>
                <w:sz w:val="24"/>
              </w:rPr>
              <w:t> </w:t>
            </w:r>
            <w:r>
              <w:rPr>
                <w:rFonts w:ascii="Cambria Math"/>
                <w:sz w:val="24"/>
              </w:rPr>
              <w:t>&gt;</w:t>
            </w:r>
            <w:r>
              <w:rPr>
                <w:rFonts w:ascii="Cambria Math"/>
                <w:spacing w:val="6"/>
                <w:sz w:val="24"/>
              </w:rPr>
              <w:t> </w:t>
            </w:r>
            <w:r>
              <w:rPr>
                <w:spacing w:val="-5"/>
                <w:sz w:val="24"/>
              </w:rPr>
              <w:t>Use</w:t>
            </w:r>
          </w:p>
        </w:tc>
      </w:tr>
      <w:tr>
        <w:trPr>
          <w:trHeight w:val="826" w:hRule="atLeast"/>
        </w:trPr>
        <w:tc>
          <w:tcPr>
            <w:tcW w:w="597" w:type="dxa"/>
            <w:tcBorders>
              <w:bottom w:val="single" w:sz="8" w:space="0" w:color="000000"/>
            </w:tcBorders>
          </w:tcPr>
          <w:p>
            <w:pPr>
              <w:pStyle w:val="TableParagraph"/>
              <w:spacing w:before="259"/>
              <w:ind w:left="115"/>
              <w:rPr>
                <w:b/>
                <w:sz w:val="24"/>
              </w:rPr>
            </w:pPr>
            <w:r>
              <w:rPr>
                <w:b/>
                <w:spacing w:val="-10"/>
                <w:sz w:val="24"/>
              </w:rPr>
              <w:t>8</w:t>
            </w:r>
          </w:p>
        </w:tc>
        <w:tc>
          <w:tcPr>
            <w:tcW w:w="2444" w:type="dxa"/>
            <w:tcBorders>
              <w:bottom w:val="single" w:sz="8" w:space="0" w:color="000000"/>
            </w:tcBorders>
          </w:tcPr>
          <w:p>
            <w:pPr>
              <w:pStyle w:val="TableParagraph"/>
              <w:spacing w:before="254"/>
              <w:ind w:left="108"/>
              <w:rPr>
                <w:sz w:val="24"/>
              </w:rPr>
            </w:pPr>
            <w:r>
              <w:rPr>
                <w:spacing w:val="-2"/>
                <w:sz w:val="24"/>
              </w:rPr>
              <w:t>F-Layout</w:t>
            </w:r>
          </w:p>
        </w:tc>
        <w:tc>
          <w:tcPr>
            <w:tcW w:w="3763" w:type="dxa"/>
            <w:tcBorders>
              <w:bottom w:val="single" w:sz="8" w:space="0" w:color="000000"/>
            </w:tcBorders>
          </w:tcPr>
          <w:p>
            <w:pPr>
              <w:pStyle w:val="TableParagraph"/>
              <w:spacing w:before="254"/>
              <w:ind w:left="470"/>
              <w:rPr>
                <w:sz w:val="24"/>
              </w:rPr>
            </w:pPr>
            <w:r>
              <w:rPr>
                <w:sz w:val="24"/>
              </w:rPr>
              <w:t>Within</w:t>
            </w:r>
            <w:r>
              <w:rPr>
                <w:spacing w:val="-4"/>
                <w:sz w:val="24"/>
              </w:rPr>
              <w:t> </w:t>
            </w:r>
            <w:r>
              <w:rPr>
                <w:sz w:val="24"/>
              </w:rPr>
              <w:t>public</w:t>
            </w:r>
            <w:r>
              <w:rPr>
                <w:spacing w:val="-1"/>
                <w:sz w:val="24"/>
              </w:rPr>
              <w:t> </w:t>
            </w:r>
            <w:r>
              <w:rPr>
                <w:sz w:val="24"/>
              </w:rPr>
              <w:t>water</w:t>
            </w:r>
            <w:r>
              <w:rPr>
                <w:spacing w:val="-2"/>
                <w:sz w:val="24"/>
              </w:rPr>
              <w:t> mains</w:t>
            </w:r>
          </w:p>
        </w:tc>
        <w:tc>
          <w:tcPr>
            <w:tcW w:w="5532" w:type="dxa"/>
            <w:tcBorders>
              <w:bottom w:val="single" w:sz="8" w:space="0" w:color="000000"/>
            </w:tcBorders>
          </w:tcPr>
          <w:p>
            <w:pPr>
              <w:pStyle w:val="TableParagraph"/>
              <w:spacing w:before="258"/>
              <w:ind w:left="111"/>
              <w:rPr>
                <w:sz w:val="24"/>
              </w:rPr>
            </w:pPr>
            <w:r>
              <w:rPr>
                <w:sz w:val="24"/>
              </w:rPr>
              <w:t>Capacity</w:t>
            </w:r>
            <w:r>
              <w:rPr>
                <w:spacing w:val="-3"/>
                <w:sz w:val="24"/>
              </w:rPr>
              <w:t> </w:t>
            </w:r>
            <w:r>
              <w:rPr>
                <w:rFonts w:ascii="Cambria Math"/>
                <w:sz w:val="24"/>
              </w:rPr>
              <w:t>&gt;</w:t>
            </w:r>
            <w:r>
              <w:rPr>
                <w:rFonts w:ascii="Cambria Math"/>
                <w:spacing w:val="6"/>
                <w:sz w:val="24"/>
              </w:rPr>
              <w:t> </w:t>
            </w:r>
            <w:r>
              <w:rPr>
                <w:sz w:val="24"/>
              </w:rPr>
              <w:t>Environment</w:t>
            </w:r>
            <w:r>
              <w:rPr>
                <w:spacing w:val="2"/>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Access </w:t>
            </w:r>
            <w:r>
              <w:rPr>
                <w:rFonts w:ascii="Cambria Math"/>
                <w:sz w:val="24"/>
              </w:rPr>
              <w:t>&gt;</w:t>
            </w:r>
            <w:r>
              <w:rPr>
                <w:rFonts w:ascii="Cambria Math"/>
                <w:spacing w:val="7"/>
                <w:sz w:val="24"/>
              </w:rPr>
              <w:t> </w:t>
            </w:r>
            <w:r>
              <w:rPr>
                <w:spacing w:val="-5"/>
                <w:sz w:val="24"/>
              </w:rPr>
              <w:t>Use</w:t>
            </w:r>
          </w:p>
        </w:tc>
      </w:tr>
    </w:tbl>
    <w:p>
      <w:pPr>
        <w:spacing w:after="0"/>
        <w:rPr>
          <w:sz w:val="24"/>
        </w:rPr>
        <w:sectPr>
          <w:footerReference w:type="default" r:id="rId56"/>
          <w:pgSz w:w="15840" w:h="12240" w:orient="landscape"/>
          <w:pgMar w:header="0" w:footer="1068" w:top="1340" w:bottom="1260" w:left="1880" w:right="1420"/>
        </w:sectPr>
      </w:pPr>
    </w:p>
    <w:p>
      <w:pPr>
        <w:pStyle w:val="BodyText"/>
        <w:spacing w:line="480" w:lineRule="auto" w:before="63"/>
        <w:ind w:left="267" w:right="106"/>
        <w:jc w:val="both"/>
      </w:pPr>
      <w:r>
        <w:rPr/>
        <w:t>First, the result identified that each of Dutsenkura, Minna-Central and Tudun-Wada South (which are all located within the public water mains) have different water needs. Secondly, similarities and differences also exist in water needs/requirements of neigbourhoods partly outside the public water mains. For instance, Kpakungu and Maitumbi neighbourhoods exhibit similar water needs in sharp contrast to the two (2) neighbourhoods of Saukakahuta and Tudun-Fulani which are equally similar in their water needs and requirements. Noticeably,</w:t>
      </w:r>
      <w:r>
        <w:rPr>
          <w:spacing w:val="-12"/>
        </w:rPr>
        <w:t> </w:t>
      </w:r>
      <w:r>
        <w:rPr/>
        <w:t>F-Layout</w:t>
      </w:r>
      <w:r>
        <w:rPr>
          <w:spacing w:val="-12"/>
        </w:rPr>
        <w:t> </w:t>
      </w:r>
      <w:r>
        <w:rPr/>
        <w:t>which</w:t>
      </w:r>
      <w:r>
        <w:rPr>
          <w:spacing w:val="-13"/>
        </w:rPr>
        <w:t> </w:t>
      </w:r>
      <w:r>
        <w:rPr/>
        <w:t>is</w:t>
      </w:r>
      <w:r>
        <w:rPr>
          <w:spacing w:val="-11"/>
        </w:rPr>
        <w:t> </w:t>
      </w:r>
      <w:r>
        <w:rPr/>
        <w:t>situated</w:t>
      </w:r>
      <w:r>
        <w:rPr>
          <w:spacing w:val="-13"/>
        </w:rPr>
        <w:t> </w:t>
      </w:r>
      <w:r>
        <w:rPr/>
        <w:t>within</w:t>
      </w:r>
      <w:r>
        <w:rPr>
          <w:spacing w:val="-12"/>
        </w:rPr>
        <w:t> </w:t>
      </w:r>
      <w:r>
        <w:rPr/>
        <w:t>the</w:t>
      </w:r>
      <w:r>
        <w:rPr>
          <w:spacing w:val="-13"/>
        </w:rPr>
        <w:t> </w:t>
      </w:r>
      <w:r>
        <w:rPr/>
        <w:t>public</w:t>
      </w:r>
      <w:r>
        <w:rPr>
          <w:spacing w:val="-13"/>
        </w:rPr>
        <w:t> </w:t>
      </w:r>
      <w:r>
        <w:rPr/>
        <w:t>water</w:t>
      </w:r>
      <w:r>
        <w:rPr>
          <w:spacing w:val="-13"/>
        </w:rPr>
        <w:t> </w:t>
      </w:r>
      <w:r>
        <w:rPr/>
        <w:t>mains</w:t>
      </w:r>
      <w:r>
        <w:rPr>
          <w:spacing w:val="-12"/>
        </w:rPr>
        <w:t> </w:t>
      </w:r>
      <w:r>
        <w:rPr/>
        <w:t>also</w:t>
      </w:r>
      <w:r>
        <w:rPr>
          <w:spacing w:val="-11"/>
        </w:rPr>
        <w:t> </w:t>
      </w:r>
      <w:r>
        <w:rPr/>
        <w:t>has</w:t>
      </w:r>
      <w:r>
        <w:rPr>
          <w:spacing w:val="-12"/>
        </w:rPr>
        <w:t> </w:t>
      </w:r>
      <w:r>
        <w:rPr/>
        <w:t>the</w:t>
      </w:r>
      <w:r>
        <w:rPr>
          <w:spacing w:val="-13"/>
        </w:rPr>
        <w:t> </w:t>
      </w:r>
      <w:r>
        <w:rPr/>
        <w:t>same</w:t>
      </w:r>
      <w:r>
        <w:rPr>
          <w:spacing w:val="-13"/>
        </w:rPr>
        <w:t> </w:t>
      </w:r>
      <w:r>
        <w:rPr/>
        <w:t>water needs with Saukakahuta and Tudun-Fulani, located partly outside the public water mains.</w:t>
      </w:r>
    </w:p>
    <w:p>
      <w:pPr>
        <w:pStyle w:val="BodyText"/>
        <w:spacing w:before="8"/>
      </w:pPr>
    </w:p>
    <w:p>
      <w:pPr>
        <w:pStyle w:val="ListParagraph"/>
        <w:numPr>
          <w:ilvl w:val="3"/>
          <w:numId w:val="10"/>
        </w:numPr>
        <w:tabs>
          <w:tab w:pos="986" w:val="left" w:leader="none"/>
        </w:tabs>
        <w:spacing w:line="482" w:lineRule="auto" w:before="0" w:after="0"/>
        <w:ind w:left="267" w:right="107" w:firstLine="0"/>
        <w:jc w:val="left"/>
        <w:rPr>
          <w:sz w:val="24"/>
        </w:rPr>
      </w:pPr>
      <w:r>
        <w:rPr>
          <w:b/>
          <w:sz w:val="24"/>
        </w:rPr>
        <w:t>Prioritizing water poverty components for neighbourhoods improvement </w:t>
      </w:r>
      <w:r>
        <w:rPr>
          <w:sz w:val="24"/>
        </w:rPr>
        <w:t>Furthermore,</w:t>
      </w:r>
      <w:r>
        <w:rPr>
          <w:spacing w:val="36"/>
          <w:sz w:val="24"/>
        </w:rPr>
        <w:t> </w:t>
      </w:r>
      <w:r>
        <w:rPr>
          <w:sz w:val="24"/>
        </w:rPr>
        <w:t>when</w:t>
      </w:r>
      <w:r>
        <w:rPr>
          <w:spacing w:val="36"/>
          <w:sz w:val="24"/>
        </w:rPr>
        <w:t> </w:t>
      </w:r>
      <w:r>
        <w:rPr>
          <w:sz w:val="24"/>
        </w:rPr>
        <w:t>the</w:t>
      </w:r>
      <w:r>
        <w:rPr>
          <w:spacing w:val="37"/>
          <w:sz w:val="24"/>
        </w:rPr>
        <w:t> </w:t>
      </w:r>
      <w:r>
        <w:rPr>
          <w:sz w:val="24"/>
        </w:rPr>
        <w:t>ranking</w:t>
      </w:r>
      <w:r>
        <w:rPr>
          <w:spacing w:val="36"/>
          <w:sz w:val="24"/>
        </w:rPr>
        <w:t> </w:t>
      </w:r>
      <w:r>
        <w:rPr>
          <w:sz w:val="24"/>
        </w:rPr>
        <w:t>of</w:t>
      </w:r>
      <w:r>
        <w:rPr>
          <w:spacing w:val="35"/>
          <w:sz w:val="24"/>
        </w:rPr>
        <w:t> </w:t>
      </w:r>
      <w:r>
        <w:rPr>
          <w:sz w:val="24"/>
        </w:rPr>
        <w:t>the</w:t>
      </w:r>
      <w:r>
        <w:rPr>
          <w:spacing w:val="37"/>
          <w:sz w:val="24"/>
        </w:rPr>
        <w:t> </w:t>
      </w:r>
      <w:r>
        <w:rPr>
          <w:sz w:val="24"/>
        </w:rPr>
        <w:t>neighbourhood</w:t>
      </w:r>
      <w:r>
        <w:rPr>
          <w:spacing w:val="36"/>
          <w:sz w:val="24"/>
        </w:rPr>
        <w:t> </w:t>
      </w:r>
      <w:r>
        <w:rPr>
          <w:sz w:val="24"/>
        </w:rPr>
        <w:t>by</w:t>
      </w:r>
      <w:r>
        <w:rPr>
          <w:spacing w:val="31"/>
          <w:sz w:val="24"/>
        </w:rPr>
        <w:t> </w:t>
      </w:r>
      <w:r>
        <w:rPr>
          <w:sz w:val="24"/>
        </w:rPr>
        <w:t>individual</w:t>
      </w:r>
      <w:r>
        <w:rPr>
          <w:spacing w:val="38"/>
          <w:sz w:val="24"/>
        </w:rPr>
        <w:t> </w:t>
      </w:r>
      <w:r>
        <w:rPr>
          <w:sz w:val="24"/>
        </w:rPr>
        <w:t>water</w:t>
      </w:r>
      <w:r>
        <w:rPr>
          <w:spacing w:val="35"/>
          <w:sz w:val="24"/>
        </w:rPr>
        <w:t> </w:t>
      </w:r>
      <w:r>
        <w:rPr>
          <w:sz w:val="24"/>
        </w:rPr>
        <w:t>component</w:t>
      </w:r>
      <w:r>
        <w:rPr>
          <w:spacing w:val="36"/>
          <w:sz w:val="24"/>
        </w:rPr>
        <w:t> </w:t>
      </w:r>
      <w:r>
        <w:rPr>
          <w:sz w:val="24"/>
        </w:rPr>
        <w:t>in descending</w:t>
      </w:r>
      <w:r>
        <w:rPr>
          <w:spacing w:val="26"/>
          <w:sz w:val="24"/>
        </w:rPr>
        <w:t> </w:t>
      </w:r>
      <w:r>
        <w:rPr>
          <w:sz w:val="24"/>
        </w:rPr>
        <w:t>order</w:t>
      </w:r>
      <w:r>
        <w:rPr>
          <w:spacing w:val="30"/>
          <w:sz w:val="24"/>
        </w:rPr>
        <w:t> </w:t>
      </w:r>
      <w:r>
        <w:rPr>
          <w:sz w:val="24"/>
        </w:rPr>
        <w:t>(1-highest</w:t>
      </w:r>
      <w:r>
        <w:rPr>
          <w:spacing w:val="29"/>
          <w:sz w:val="24"/>
        </w:rPr>
        <w:t> </w:t>
      </w:r>
      <w:r>
        <w:rPr>
          <w:sz w:val="24"/>
        </w:rPr>
        <w:t>to</w:t>
      </w:r>
      <w:r>
        <w:rPr>
          <w:spacing w:val="29"/>
          <w:sz w:val="24"/>
        </w:rPr>
        <w:t> </w:t>
      </w:r>
      <w:r>
        <w:rPr>
          <w:sz w:val="24"/>
        </w:rPr>
        <w:t>8-</w:t>
      </w:r>
      <w:r>
        <w:rPr>
          <w:spacing w:val="28"/>
          <w:sz w:val="24"/>
        </w:rPr>
        <w:t> </w:t>
      </w:r>
      <w:r>
        <w:rPr>
          <w:sz w:val="24"/>
        </w:rPr>
        <w:t>lowest)</w:t>
      </w:r>
      <w:r>
        <w:rPr>
          <w:spacing w:val="31"/>
          <w:sz w:val="24"/>
        </w:rPr>
        <w:t> </w:t>
      </w:r>
      <w:r>
        <w:rPr>
          <w:sz w:val="24"/>
        </w:rPr>
        <w:t>as</w:t>
      </w:r>
      <w:r>
        <w:rPr>
          <w:spacing w:val="29"/>
          <w:sz w:val="24"/>
        </w:rPr>
        <w:t> </w:t>
      </w:r>
      <w:r>
        <w:rPr>
          <w:sz w:val="24"/>
        </w:rPr>
        <w:t>shown</w:t>
      </w:r>
      <w:r>
        <w:rPr>
          <w:spacing w:val="28"/>
          <w:sz w:val="24"/>
        </w:rPr>
        <w:t> </w:t>
      </w:r>
      <w:r>
        <w:rPr>
          <w:sz w:val="24"/>
        </w:rPr>
        <w:t>in</w:t>
      </w:r>
      <w:r>
        <w:rPr>
          <w:spacing w:val="29"/>
          <w:sz w:val="24"/>
        </w:rPr>
        <w:t> </w:t>
      </w:r>
      <w:r>
        <w:rPr>
          <w:sz w:val="24"/>
        </w:rPr>
        <w:t>Table</w:t>
      </w:r>
      <w:r>
        <w:rPr>
          <w:spacing w:val="30"/>
          <w:sz w:val="24"/>
        </w:rPr>
        <w:t> </w:t>
      </w:r>
      <w:r>
        <w:rPr>
          <w:sz w:val="24"/>
        </w:rPr>
        <w:t>4.24</w:t>
      </w:r>
      <w:r>
        <w:rPr>
          <w:spacing w:val="29"/>
          <w:sz w:val="24"/>
        </w:rPr>
        <w:t> </w:t>
      </w:r>
      <w:r>
        <w:rPr>
          <w:sz w:val="24"/>
        </w:rPr>
        <w:t>is</w:t>
      </w:r>
      <w:r>
        <w:rPr>
          <w:spacing w:val="29"/>
          <w:sz w:val="24"/>
        </w:rPr>
        <w:t> </w:t>
      </w:r>
      <w:r>
        <w:rPr>
          <w:sz w:val="24"/>
        </w:rPr>
        <w:t>juxtaposed</w:t>
      </w:r>
      <w:r>
        <w:rPr>
          <w:spacing w:val="28"/>
          <w:sz w:val="24"/>
        </w:rPr>
        <w:t> </w:t>
      </w:r>
      <w:r>
        <w:rPr>
          <w:sz w:val="24"/>
        </w:rPr>
        <w:t>with</w:t>
      </w:r>
      <w:r>
        <w:rPr>
          <w:spacing w:val="29"/>
          <w:sz w:val="24"/>
        </w:rPr>
        <w:t> </w:t>
      </w:r>
      <w:r>
        <w:rPr>
          <w:sz w:val="24"/>
        </w:rPr>
        <w:t>the interpretation of the Water Poverty Index classification provided in Table 4.19, the specific areas (water poverty components) where improvements or interventions are required in the neighbourhoods becomes clearer/discernible as shown in Table 4.27.</w:t>
      </w:r>
    </w:p>
    <w:p>
      <w:pPr>
        <w:pStyle w:val="BodyText"/>
        <w:spacing w:line="480" w:lineRule="auto"/>
        <w:ind w:left="267" w:right="106"/>
        <w:jc w:val="both"/>
      </w:pPr>
      <w:r>
        <w:rPr/>
        <w:t>Table 4.27 provides the water situation matrix which summarizes the differences in water poverty components between the neighbourhoods and asterisk areas for improvement.</w:t>
      </w:r>
      <w:r>
        <w:rPr>
          <w:spacing w:val="40"/>
        </w:rPr>
        <w:t> </w:t>
      </w:r>
      <w:r>
        <w:rPr/>
        <w:t>The situation matrix provides several possible outcomes of the current situation of the water poverty components in the study area. For visualization of the results, water poverty components</w:t>
      </w:r>
      <w:r>
        <w:rPr>
          <w:spacing w:val="-10"/>
        </w:rPr>
        <w:t> </w:t>
      </w:r>
      <w:r>
        <w:rPr/>
        <w:t>which</w:t>
      </w:r>
      <w:r>
        <w:rPr>
          <w:spacing w:val="-11"/>
        </w:rPr>
        <w:t> </w:t>
      </w:r>
      <w:r>
        <w:rPr/>
        <w:t>have</w:t>
      </w:r>
      <w:r>
        <w:rPr>
          <w:spacing w:val="-12"/>
        </w:rPr>
        <w:t> </w:t>
      </w:r>
      <w:r>
        <w:rPr/>
        <w:t>been</w:t>
      </w:r>
      <w:r>
        <w:rPr>
          <w:spacing w:val="-11"/>
        </w:rPr>
        <w:t> </w:t>
      </w:r>
      <w:r>
        <w:rPr/>
        <w:t>flagged</w:t>
      </w:r>
      <w:r>
        <w:rPr>
          <w:spacing w:val="-11"/>
        </w:rPr>
        <w:t> </w:t>
      </w:r>
      <w:r>
        <w:rPr/>
        <w:t>in</w:t>
      </w:r>
      <w:r>
        <w:rPr>
          <w:spacing w:val="-10"/>
        </w:rPr>
        <w:t> </w:t>
      </w:r>
      <w:r>
        <w:rPr/>
        <w:t>green</w:t>
      </w:r>
      <w:r>
        <w:rPr>
          <w:spacing w:val="-11"/>
        </w:rPr>
        <w:t> </w:t>
      </w:r>
      <w:r>
        <w:rPr/>
        <w:t>colour</w:t>
      </w:r>
      <w:r>
        <w:rPr>
          <w:spacing w:val="-11"/>
        </w:rPr>
        <w:t> </w:t>
      </w:r>
      <w:r>
        <w:rPr/>
        <w:t>are</w:t>
      </w:r>
      <w:r>
        <w:rPr>
          <w:spacing w:val="-12"/>
        </w:rPr>
        <w:t> </w:t>
      </w:r>
      <w:r>
        <w:rPr/>
        <w:t>areas</w:t>
      </w:r>
      <w:r>
        <w:rPr>
          <w:spacing w:val="-10"/>
        </w:rPr>
        <w:t> </w:t>
      </w:r>
      <w:r>
        <w:rPr/>
        <w:t>of</w:t>
      </w:r>
      <w:r>
        <w:rPr>
          <w:spacing w:val="-11"/>
        </w:rPr>
        <w:t> </w:t>
      </w:r>
      <w:r>
        <w:rPr/>
        <w:t>weakness</w:t>
      </w:r>
      <w:r>
        <w:rPr>
          <w:spacing w:val="-8"/>
        </w:rPr>
        <w:t> </w:t>
      </w:r>
      <w:r>
        <w:rPr/>
        <w:t>and</w:t>
      </w:r>
      <w:r>
        <w:rPr>
          <w:spacing w:val="-11"/>
        </w:rPr>
        <w:t> </w:t>
      </w:r>
      <w:r>
        <w:rPr/>
        <w:t>by</w:t>
      </w:r>
      <w:r>
        <w:rPr>
          <w:spacing w:val="-15"/>
        </w:rPr>
        <w:t> </w:t>
      </w:r>
      <w:r>
        <w:rPr/>
        <w:t>extension represent areas of improvement for the neighbourhoods. For instance, results from the outcomes of situation matrix confirmed our earlier findings that Tudun Wada South is the most ranked water poverty neighbourhood whereas F-Layout is the most water stressed neighbourhood,</w:t>
      </w:r>
      <w:r>
        <w:rPr>
          <w:spacing w:val="3"/>
        </w:rPr>
        <w:t> </w:t>
      </w:r>
      <w:r>
        <w:rPr/>
        <w:t>and</w:t>
      </w:r>
      <w:r>
        <w:rPr>
          <w:spacing w:val="6"/>
        </w:rPr>
        <w:t> </w:t>
      </w:r>
      <w:r>
        <w:rPr/>
        <w:t>therefore</w:t>
      </w:r>
      <w:r>
        <w:rPr>
          <w:spacing w:val="7"/>
        </w:rPr>
        <w:t> </w:t>
      </w:r>
      <w:r>
        <w:rPr/>
        <w:t>the</w:t>
      </w:r>
      <w:r>
        <w:rPr>
          <w:spacing w:val="6"/>
        </w:rPr>
        <w:t> </w:t>
      </w:r>
      <w:r>
        <w:rPr/>
        <w:t>neediest.</w:t>
      </w:r>
      <w:r>
        <w:rPr>
          <w:spacing w:val="6"/>
        </w:rPr>
        <w:t> </w:t>
      </w:r>
      <w:r>
        <w:rPr/>
        <w:t>Based</w:t>
      </w:r>
      <w:r>
        <w:rPr>
          <w:spacing w:val="8"/>
        </w:rPr>
        <w:t> </w:t>
      </w:r>
      <w:r>
        <w:rPr/>
        <w:t>on</w:t>
      </w:r>
      <w:r>
        <w:rPr>
          <w:spacing w:val="6"/>
        </w:rPr>
        <w:t> </w:t>
      </w:r>
      <w:r>
        <w:rPr/>
        <w:t>the</w:t>
      </w:r>
      <w:r>
        <w:rPr>
          <w:spacing w:val="5"/>
        </w:rPr>
        <w:t> </w:t>
      </w:r>
      <w:r>
        <w:rPr/>
        <w:t>situation</w:t>
      </w:r>
      <w:r>
        <w:rPr>
          <w:spacing w:val="6"/>
        </w:rPr>
        <w:t> </w:t>
      </w:r>
      <w:r>
        <w:rPr/>
        <w:t>matrix,</w:t>
      </w:r>
      <w:r>
        <w:rPr>
          <w:spacing w:val="6"/>
        </w:rPr>
        <w:t> </w:t>
      </w:r>
      <w:r>
        <w:rPr/>
        <w:t>Dutsenkura</w:t>
      </w:r>
      <w:r>
        <w:rPr>
          <w:spacing w:val="4"/>
        </w:rPr>
        <w:t> </w:t>
      </w:r>
      <w:r>
        <w:rPr/>
        <w:t>has</w:t>
      </w:r>
      <w:r>
        <w:rPr>
          <w:spacing w:val="7"/>
        </w:rPr>
        <w:t> </w:t>
      </w:r>
      <w:r>
        <w:rPr>
          <w:spacing w:val="-10"/>
        </w:rPr>
        <w:t>a</w:t>
      </w:r>
    </w:p>
    <w:p>
      <w:pPr>
        <w:spacing w:after="0" w:line="480" w:lineRule="auto"/>
        <w:jc w:val="both"/>
        <w:sectPr>
          <w:footerReference w:type="default" r:id="rId57"/>
          <w:pgSz w:w="12240" w:h="15840"/>
          <w:pgMar w:header="0" w:footer="1068" w:top="1340" w:bottom="1260" w:left="1720" w:right="1300"/>
          <w:pgNumType w:start="154"/>
        </w:sectPr>
      </w:pPr>
    </w:p>
    <w:p>
      <w:pPr>
        <w:pStyle w:val="BodyText"/>
        <w:spacing w:line="480" w:lineRule="auto" w:before="63"/>
        <w:ind w:left="267" w:right="105"/>
        <w:jc w:val="both"/>
      </w:pPr>
      <w:r>
        <w:rPr/>
        <w:t>fair water resource status, fair water accessibility and fair environment impact than Minna- central, Kpakungu, Saukakauta and Tudun-Fulani. These neighbourhoods however exhibit ‘fairer’ capacity compared to Dutsenkura.</w:t>
      </w:r>
      <w:r>
        <w:rPr>
          <w:spacing w:val="40"/>
        </w:rPr>
        <w:t> </w:t>
      </w:r>
      <w:r>
        <w:rPr/>
        <w:t>Furthermore, Minna-Central has fair water resource, fair access and low environment impact than Saukakahuta and Tudun-Fulani. Comparatively, Kpakungu, Maitumbi, Saukakahuta and TDF have poor access to water supply</w:t>
      </w:r>
      <w:r>
        <w:rPr>
          <w:spacing w:val="-15"/>
        </w:rPr>
        <w:t> </w:t>
      </w:r>
      <w:r>
        <w:rPr/>
        <w:t>services</w:t>
      </w:r>
      <w:r>
        <w:rPr>
          <w:spacing w:val="-14"/>
        </w:rPr>
        <w:t> </w:t>
      </w:r>
      <w:r>
        <w:rPr/>
        <w:t>relative</w:t>
      </w:r>
      <w:r>
        <w:rPr>
          <w:spacing w:val="-13"/>
        </w:rPr>
        <w:t> </w:t>
      </w:r>
      <w:r>
        <w:rPr/>
        <w:t>to</w:t>
      </w:r>
      <w:r>
        <w:rPr>
          <w:spacing w:val="-12"/>
        </w:rPr>
        <w:t> </w:t>
      </w:r>
      <w:r>
        <w:rPr/>
        <w:t>Dutsenkura,</w:t>
      </w:r>
      <w:r>
        <w:rPr>
          <w:spacing w:val="-12"/>
        </w:rPr>
        <w:t> </w:t>
      </w:r>
      <w:r>
        <w:rPr/>
        <w:t>Minna</w:t>
      </w:r>
      <w:r>
        <w:rPr>
          <w:spacing w:val="-13"/>
        </w:rPr>
        <w:t> </w:t>
      </w:r>
      <w:r>
        <w:rPr/>
        <w:t>Central</w:t>
      </w:r>
      <w:r>
        <w:rPr>
          <w:spacing w:val="-12"/>
        </w:rPr>
        <w:t> </w:t>
      </w:r>
      <w:r>
        <w:rPr/>
        <w:t>and</w:t>
      </w:r>
      <w:r>
        <w:rPr>
          <w:spacing w:val="-12"/>
        </w:rPr>
        <w:t> </w:t>
      </w:r>
      <w:r>
        <w:rPr/>
        <w:t>Tudun-Wada</w:t>
      </w:r>
      <w:r>
        <w:rPr>
          <w:spacing w:val="-13"/>
        </w:rPr>
        <w:t> </w:t>
      </w:r>
      <w:r>
        <w:rPr/>
        <w:t>with</w:t>
      </w:r>
      <w:r>
        <w:rPr>
          <w:spacing w:val="-12"/>
        </w:rPr>
        <w:t> </w:t>
      </w:r>
      <w:r>
        <w:rPr/>
        <w:t>fair</w:t>
      </w:r>
      <w:r>
        <w:rPr>
          <w:spacing w:val="-12"/>
        </w:rPr>
        <w:t> </w:t>
      </w:r>
      <w:r>
        <w:rPr/>
        <w:t>access.</w:t>
      </w:r>
      <w:r>
        <w:rPr>
          <w:spacing w:val="-12"/>
        </w:rPr>
        <w:t> </w:t>
      </w:r>
      <w:r>
        <w:rPr/>
        <w:t>The former nonetheless fair </w:t>
      </w:r>
      <w:r>
        <w:rPr>
          <w:i/>
        </w:rPr>
        <w:t>better </w:t>
      </w:r>
      <w:r>
        <w:rPr/>
        <w:t>than the later in terms of capacity.</w:t>
      </w:r>
    </w:p>
    <w:p>
      <w:pPr>
        <w:spacing w:after="0" w:line="480" w:lineRule="auto"/>
        <w:jc w:val="both"/>
        <w:sectPr>
          <w:pgSz w:w="12240" w:h="15840"/>
          <w:pgMar w:header="0" w:footer="1068" w:top="1340" w:bottom="1260" w:left="1720" w:right="1300"/>
        </w:sectPr>
      </w:pPr>
    </w:p>
    <w:p>
      <w:pPr>
        <w:tabs>
          <w:tab w:pos="12767" w:val="left" w:leader="none"/>
        </w:tabs>
        <w:spacing w:before="68"/>
        <w:ind w:left="127" w:right="0" w:firstLine="0"/>
        <w:jc w:val="left"/>
        <w:rPr>
          <w:b/>
          <w:sz w:val="24"/>
        </w:rPr>
      </w:pPr>
      <w:r>
        <w:rPr>
          <w:b/>
          <w:sz w:val="24"/>
          <w:u w:val="single"/>
        </w:rPr>
        <w:t>Table</w:t>
      </w:r>
      <w:r>
        <w:rPr>
          <w:b/>
          <w:spacing w:val="-2"/>
          <w:sz w:val="24"/>
          <w:u w:val="single"/>
        </w:rPr>
        <w:t> </w:t>
      </w:r>
      <w:r>
        <w:rPr>
          <w:b/>
          <w:sz w:val="24"/>
          <w:u w:val="single"/>
        </w:rPr>
        <w:t>4.27:</w:t>
      </w:r>
      <w:r>
        <w:rPr>
          <w:b/>
          <w:spacing w:val="-3"/>
          <w:sz w:val="24"/>
          <w:u w:val="single"/>
        </w:rPr>
        <w:t> </w:t>
      </w:r>
      <w:r>
        <w:rPr>
          <w:b/>
          <w:sz w:val="24"/>
          <w:u w:val="single"/>
        </w:rPr>
        <w:t>Situation</w:t>
      </w:r>
      <w:r>
        <w:rPr>
          <w:b/>
          <w:spacing w:val="-2"/>
          <w:sz w:val="24"/>
          <w:u w:val="single"/>
        </w:rPr>
        <w:t> </w:t>
      </w:r>
      <w:r>
        <w:rPr>
          <w:b/>
          <w:sz w:val="24"/>
          <w:u w:val="single"/>
        </w:rPr>
        <w:t>Matrix</w:t>
      </w:r>
      <w:r>
        <w:rPr>
          <w:b/>
          <w:spacing w:val="-2"/>
          <w:sz w:val="24"/>
          <w:u w:val="single"/>
        </w:rPr>
        <w:t> </w:t>
      </w:r>
      <w:r>
        <w:rPr>
          <w:b/>
          <w:sz w:val="24"/>
          <w:u w:val="single"/>
        </w:rPr>
        <w:t>of</w:t>
      </w:r>
      <w:r>
        <w:rPr>
          <w:b/>
          <w:spacing w:val="-1"/>
          <w:sz w:val="24"/>
          <w:u w:val="single"/>
        </w:rPr>
        <w:t> </w:t>
      </w:r>
      <w:r>
        <w:rPr>
          <w:b/>
          <w:sz w:val="24"/>
          <w:u w:val="single"/>
        </w:rPr>
        <w:t>Water</w:t>
      </w:r>
      <w:r>
        <w:rPr>
          <w:b/>
          <w:spacing w:val="-1"/>
          <w:sz w:val="24"/>
          <w:u w:val="single"/>
        </w:rPr>
        <w:t> </w:t>
      </w:r>
      <w:r>
        <w:rPr>
          <w:b/>
          <w:sz w:val="24"/>
          <w:u w:val="single"/>
        </w:rPr>
        <w:t>Poverty</w:t>
      </w:r>
      <w:r>
        <w:rPr>
          <w:b/>
          <w:spacing w:val="-1"/>
          <w:sz w:val="24"/>
          <w:u w:val="single"/>
        </w:rPr>
        <w:t> </w:t>
      </w:r>
      <w:r>
        <w:rPr>
          <w:b/>
          <w:sz w:val="24"/>
          <w:u w:val="single"/>
        </w:rPr>
        <w:t>Component</w:t>
      </w:r>
      <w:r>
        <w:rPr>
          <w:b/>
          <w:spacing w:val="-2"/>
          <w:sz w:val="24"/>
          <w:u w:val="single"/>
        </w:rPr>
        <w:t> </w:t>
      </w:r>
      <w:r>
        <w:rPr>
          <w:b/>
          <w:sz w:val="24"/>
          <w:u w:val="single"/>
        </w:rPr>
        <w:t>and</w:t>
      </w:r>
      <w:r>
        <w:rPr>
          <w:b/>
          <w:spacing w:val="-2"/>
          <w:sz w:val="24"/>
          <w:u w:val="single"/>
        </w:rPr>
        <w:t> </w:t>
      </w:r>
      <w:r>
        <w:rPr>
          <w:b/>
          <w:sz w:val="24"/>
          <w:u w:val="single"/>
        </w:rPr>
        <w:t>Improvement</w:t>
      </w:r>
      <w:r>
        <w:rPr>
          <w:b/>
          <w:spacing w:val="-2"/>
          <w:sz w:val="24"/>
          <w:u w:val="single"/>
        </w:rPr>
        <w:t> </w:t>
      </w:r>
      <w:r>
        <w:rPr>
          <w:b/>
          <w:sz w:val="24"/>
          <w:u w:val="single"/>
        </w:rPr>
        <w:t>Areas</w:t>
      </w:r>
      <w:r>
        <w:rPr>
          <w:b/>
          <w:spacing w:val="-2"/>
          <w:sz w:val="24"/>
          <w:u w:val="single"/>
        </w:rPr>
        <w:t> </w:t>
      </w:r>
      <w:r>
        <w:rPr>
          <w:b/>
          <w:sz w:val="24"/>
          <w:u w:val="single"/>
        </w:rPr>
        <w:t>for</w:t>
      </w:r>
      <w:r>
        <w:rPr>
          <w:b/>
          <w:spacing w:val="-2"/>
          <w:sz w:val="24"/>
          <w:u w:val="single"/>
        </w:rPr>
        <w:t> Neighbourhoods</w:t>
      </w:r>
      <w:r>
        <w:rPr>
          <w:b/>
          <w:sz w:val="24"/>
          <w:u w:val="single"/>
        </w:rPr>
        <w:tab/>
      </w:r>
    </w:p>
    <w:p>
      <w:pPr>
        <w:pStyle w:val="BodyText"/>
        <w:spacing w:before="39"/>
        <w:rPr>
          <w:b/>
          <w:sz w:val="20"/>
        </w:rPr>
      </w:pPr>
    </w:p>
    <w:tbl>
      <w:tblPr>
        <w:tblW w:w="0" w:type="auto"/>
        <w:jc w:val="left"/>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1178"/>
        <w:gridCol w:w="1036"/>
        <w:gridCol w:w="1387"/>
        <w:gridCol w:w="601"/>
        <w:gridCol w:w="1782"/>
        <w:gridCol w:w="4379"/>
      </w:tblGrid>
      <w:tr>
        <w:trPr>
          <w:trHeight w:val="544" w:hRule="atLeast"/>
        </w:trPr>
        <w:tc>
          <w:tcPr>
            <w:tcW w:w="2280" w:type="dxa"/>
            <w:tcBorders>
              <w:bottom w:val="single" w:sz="8" w:space="0" w:color="000000"/>
            </w:tcBorders>
          </w:tcPr>
          <w:p>
            <w:pPr>
              <w:pStyle w:val="TableParagraph"/>
              <w:spacing w:line="266" w:lineRule="exact"/>
              <w:ind w:left="107"/>
              <w:rPr>
                <w:b/>
                <w:sz w:val="24"/>
              </w:rPr>
            </w:pPr>
            <w:r>
              <w:rPr>
                <w:b/>
                <w:spacing w:val="-2"/>
                <w:sz w:val="24"/>
              </w:rPr>
              <w:t>Neighbourhoods</w:t>
            </w:r>
          </w:p>
        </w:tc>
        <w:tc>
          <w:tcPr>
            <w:tcW w:w="1178" w:type="dxa"/>
            <w:tcBorders>
              <w:bottom w:val="single" w:sz="8" w:space="0" w:color="000000"/>
            </w:tcBorders>
          </w:tcPr>
          <w:p>
            <w:pPr>
              <w:pStyle w:val="TableParagraph"/>
              <w:spacing w:line="266" w:lineRule="exact"/>
              <w:ind w:left="122"/>
              <w:rPr>
                <w:b/>
                <w:sz w:val="24"/>
              </w:rPr>
            </w:pPr>
            <w:r>
              <w:rPr>
                <w:b/>
                <w:spacing w:val="-2"/>
                <w:sz w:val="24"/>
              </w:rPr>
              <w:t>Resource</w:t>
            </w:r>
          </w:p>
        </w:tc>
        <w:tc>
          <w:tcPr>
            <w:tcW w:w="1036" w:type="dxa"/>
            <w:tcBorders>
              <w:bottom w:val="single" w:sz="8" w:space="0" w:color="000000"/>
            </w:tcBorders>
          </w:tcPr>
          <w:p>
            <w:pPr>
              <w:pStyle w:val="TableParagraph"/>
              <w:spacing w:line="266" w:lineRule="exact"/>
              <w:ind w:left="108"/>
              <w:rPr>
                <w:b/>
                <w:sz w:val="24"/>
              </w:rPr>
            </w:pPr>
            <w:r>
              <w:rPr>
                <w:b/>
                <w:spacing w:val="-2"/>
                <w:sz w:val="24"/>
              </w:rPr>
              <w:t>Access</w:t>
            </w:r>
          </w:p>
        </w:tc>
        <w:tc>
          <w:tcPr>
            <w:tcW w:w="1387" w:type="dxa"/>
            <w:tcBorders>
              <w:bottom w:val="single" w:sz="8" w:space="0" w:color="000000"/>
            </w:tcBorders>
          </w:tcPr>
          <w:p>
            <w:pPr>
              <w:pStyle w:val="TableParagraph"/>
              <w:spacing w:line="266" w:lineRule="exact"/>
              <w:ind w:left="246"/>
              <w:rPr>
                <w:b/>
                <w:sz w:val="24"/>
              </w:rPr>
            </w:pPr>
            <w:r>
              <w:rPr>
                <w:b/>
                <w:spacing w:val="-2"/>
                <w:sz w:val="24"/>
              </w:rPr>
              <w:t>Capacity</w:t>
            </w:r>
          </w:p>
        </w:tc>
        <w:tc>
          <w:tcPr>
            <w:tcW w:w="601" w:type="dxa"/>
            <w:tcBorders>
              <w:bottom w:val="single" w:sz="8" w:space="0" w:color="000000"/>
            </w:tcBorders>
          </w:tcPr>
          <w:p>
            <w:pPr>
              <w:pStyle w:val="TableParagraph"/>
              <w:spacing w:line="266" w:lineRule="exact"/>
              <w:ind w:left="-3"/>
              <w:rPr>
                <w:b/>
                <w:sz w:val="24"/>
              </w:rPr>
            </w:pPr>
            <w:r>
              <w:rPr>
                <w:b/>
                <w:spacing w:val="-5"/>
                <w:sz w:val="24"/>
              </w:rPr>
              <w:t>Use</w:t>
            </w:r>
          </w:p>
        </w:tc>
        <w:tc>
          <w:tcPr>
            <w:tcW w:w="1782" w:type="dxa"/>
            <w:tcBorders>
              <w:bottom w:val="single" w:sz="8" w:space="0" w:color="000000"/>
            </w:tcBorders>
          </w:tcPr>
          <w:p>
            <w:pPr>
              <w:pStyle w:val="TableParagraph"/>
              <w:spacing w:line="266" w:lineRule="exact"/>
              <w:ind w:left="303"/>
              <w:rPr>
                <w:b/>
                <w:sz w:val="24"/>
              </w:rPr>
            </w:pPr>
            <w:r>
              <w:rPr>
                <w:b/>
                <w:spacing w:val="-2"/>
                <w:sz w:val="24"/>
              </w:rPr>
              <w:t>Environment</w:t>
            </w:r>
          </w:p>
        </w:tc>
        <w:tc>
          <w:tcPr>
            <w:tcW w:w="4379" w:type="dxa"/>
            <w:tcBorders>
              <w:bottom w:val="single" w:sz="8" w:space="0" w:color="000000"/>
            </w:tcBorders>
          </w:tcPr>
          <w:p>
            <w:pPr>
              <w:pStyle w:val="TableParagraph"/>
              <w:spacing w:line="266" w:lineRule="exact"/>
              <w:ind w:left="112"/>
              <w:rPr>
                <w:b/>
                <w:sz w:val="24"/>
              </w:rPr>
            </w:pPr>
            <w:r>
              <w:rPr>
                <w:b/>
                <w:sz w:val="24"/>
              </w:rPr>
              <w:t>Improvement</w:t>
            </w:r>
            <w:r>
              <w:rPr>
                <w:b/>
                <w:spacing w:val="-6"/>
                <w:sz w:val="24"/>
              </w:rPr>
              <w:t> </w:t>
            </w:r>
            <w:r>
              <w:rPr>
                <w:b/>
                <w:spacing w:val="-2"/>
                <w:sz w:val="24"/>
              </w:rPr>
              <w:t>Areas</w:t>
            </w:r>
          </w:p>
        </w:tc>
      </w:tr>
      <w:tr>
        <w:trPr>
          <w:trHeight w:val="242" w:hRule="atLeast"/>
        </w:trPr>
        <w:tc>
          <w:tcPr>
            <w:tcW w:w="2280" w:type="dxa"/>
            <w:tcBorders>
              <w:top w:val="single" w:sz="8" w:space="0" w:color="000000"/>
            </w:tcBorders>
          </w:tcPr>
          <w:p>
            <w:pPr>
              <w:pStyle w:val="TableParagraph"/>
              <w:rPr>
                <w:sz w:val="16"/>
              </w:rPr>
            </w:pPr>
          </w:p>
        </w:tc>
        <w:tc>
          <w:tcPr>
            <w:tcW w:w="1178" w:type="dxa"/>
            <w:tcBorders>
              <w:top w:val="single" w:sz="8" w:space="0" w:color="000000"/>
            </w:tcBorders>
          </w:tcPr>
          <w:p>
            <w:pPr>
              <w:pStyle w:val="TableParagraph"/>
              <w:rPr>
                <w:sz w:val="16"/>
              </w:rPr>
            </w:pPr>
          </w:p>
        </w:tc>
        <w:tc>
          <w:tcPr>
            <w:tcW w:w="1036" w:type="dxa"/>
            <w:tcBorders>
              <w:top w:val="single" w:sz="8" w:space="0" w:color="000000"/>
            </w:tcBorders>
          </w:tcPr>
          <w:p>
            <w:pPr>
              <w:pStyle w:val="TableParagraph"/>
              <w:rPr>
                <w:sz w:val="16"/>
              </w:rPr>
            </w:pPr>
          </w:p>
        </w:tc>
        <w:tc>
          <w:tcPr>
            <w:tcW w:w="1387" w:type="dxa"/>
            <w:tcBorders>
              <w:top w:val="single" w:sz="8" w:space="0" w:color="000000"/>
            </w:tcBorders>
          </w:tcPr>
          <w:p>
            <w:pPr>
              <w:pStyle w:val="TableParagraph"/>
              <w:rPr>
                <w:sz w:val="16"/>
              </w:rPr>
            </w:pPr>
          </w:p>
        </w:tc>
        <w:tc>
          <w:tcPr>
            <w:tcW w:w="601" w:type="dxa"/>
            <w:tcBorders>
              <w:top w:val="single" w:sz="8" w:space="0" w:color="000000"/>
            </w:tcBorders>
          </w:tcPr>
          <w:p>
            <w:pPr>
              <w:pStyle w:val="TableParagraph"/>
              <w:rPr>
                <w:sz w:val="16"/>
              </w:rPr>
            </w:pPr>
          </w:p>
        </w:tc>
        <w:tc>
          <w:tcPr>
            <w:tcW w:w="1782" w:type="dxa"/>
            <w:tcBorders>
              <w:top w:val="single" w:sz="8" w:space="0" w:color="000000"/>
            </w:tcBorders>
          </w:tcPr>
          <w:p>
            <w:pPr>
              <w:pStyle w:val="TableParagraph"/>
              <w:rPr>
                <w:sz w:val="16"/>
              </w:rPr>
            </w:pPr>
          </w:p>
        </w:tc>
        <w:tc>
          <w:tcPr>
            <w:tcW w:w="4379" w:type="dxa"/>
            <w:tcBorders>
              <w:top w:val="single" w:sz="8" w:space="0" w:color="000000"/>
            </w:tcBorders>
          </w:tcPr>
          <w:p>
            <w:pPr>
              <w:pStyle w:val="TableParagraph"/>
              <w:rPr>
                <w:sz w:val="16"/>
              </w:rPr>
            </w:pPr>
          </w:p>
        </w:tc>
      </w:tr>
      <w:tr>
        <w:trPr>
          <w:trHeight w:val="275" w:hRule="atLeast"/>
        </w:trPr>
        <w:tc>
          <w:tcPr>
            <w:tcW w:w="2280" w:type="dxa"/>
          </w:tcPr>
          <w:p>
            <w:pPr>
              <w:pStyle w:val="TableParagraph"/>
              <w:spacing w:line="256" w:lineRule="exact"/>
              <w:ind w:left="107"/>
              <w:rPr>
                <w:b/>
                <w:sz w:val="24"/>
              </w:rPr>
            </w:pPr>
            <w:r>
              <w:rPr>
                <w:b/>
                <w:spacing w:val="-2"/>
                <w:sz w:val="24"/>
              </w:rPr>
              <w:t>Dutsenkura</w:t>
            </w:r>
          </w:p>
        </w:tc>
        <w:tc>
          <w:tcPr>
            <w:tcW w:w="1178" w:type="dxa"/>
          </w:tcPr>
          <w:p>
            <w:pPr>
              <w:pStyle w:val="TableParagraph"/>
              <w:spacing w:line="256" w:lineRule="exact"/>
              <w:ind w:left="122"/>
              <w:rPr>
                <w:sz w:val="24"/>
              </w:rPr>
            </w:pPr>
            <w:r>
              <w:rPr>
                <w:spacing w:val="-4"/>
                <w:sz w:val="24"/>
              </w:rPr>
              <w:t>3Fair</w:t>
            </w:r>
          </w:p>
        </w:tc>
        <w:tc>
          <w:tcPr>
            <w:tcW w:w="1036" w:type="dxa"/>
          </w:tcPr>
          <w:p>
            <w:pPr>
              <w:pStyle w:val="TableParagraph"/>
              <w:spacing w:line="256" w:lineRule="exact"/>
              <w:ind w:left="108"/>
              <w:rPr>
                <w:sz w:val="24"/>
              </w:rPr>
            </w:pPr>
            <w:r>
              <w:rPr>
                <w:spacing w:val="-4"/>
                <w:sz w:val="24"/>
              </w:rPr>
              <w:t>1Fair</w:t>
            </w:r>
          </w:p>
        </w:tc>
        <w:tc>
          <w:tcPr>
            <w:tcW w:w="1387" w:type="dxa"/>
          </w:tcPr>
          <w:p>
            <w:pPr>
              <w:pStyle w:val="TableParagraph"/>
              <w:spacing w:line="256" w:lineRule="exact"/>
              <w:ind w:left="246"/>
              <w:rPr>
                <w:sz w:val="24"/>
              </w:rPr>
            </w:pPr>
            <w:r>
              <w:rPr>
                <w:spacing w:val="-4"/>
                <w:sz w:val="24"/>
              </w:rPr>
              <w:t>8Fair</w:t>
            </w:r>
          </w:p>
        </w:tc>
        <w:tc>
          <w:tcPr>
            <w:tcW w:w="601" w:type="dxa"/>
            <w:shd w:val="clear" w:color="auto" w:fill="00FF00"/>
          </w:tcPr>
          <w:p>
            <w:pPr>
              <w:pStyle w:val="TableParagraph"/>
              <w:spacing w:line="256" w:lineRule="exact"/>
              <w:ind w:left="-3"/>
              <w:rPr>
                <w:i/>
                <w:sz w:val="24"/>
              </w:rPr>
            </w:pPr>
            <w:r>
              <w:rPr>
                <w:i/>
                <w:spacing w:val="-2"/>
                <w:sz w:val="24"/>
              </w:rPr>
              <w:t>5Poor</w:t>
            </w:r>
          </w:p>
        </w:tc>
        <w:tc>
          <w:tcPr>
            <w:tcW w:w="1782" w:type="dxa"/>
          </w:tcPr>
          <w:p>
            <w:pPr>
              <w:pStyle w:val="TableParagraph"/>
              <w:spacing w:line="256" w:lineRule="exact"/>
              <w:ind w:left="303"/>
              <w:rPr>
                <w:sz w:val="24"/>
              </w:rPr>
            </w:pPr>
            <w:r>
              <w:rPr>
                <w:spacing w:val="-4"/>
                <w:sz w:val="24"/>
              </w:rPr>
              <w:t>2Fair</w:t>
            </w:r>
          </w:p>
        </w:tc>
        <w:tc>
          <w:tcPr>
            <w:tcW w:w="4379" w:type="dxa"/>
          </w:tcPr>
          <w:p>
            <w:pPr>
              <w:pStyle w:val="TableParagraph"/>
              <w:spacing w:line="256" w:lineRule="exact"/>
              <w:ind w:left="112"/>
              <w:rPr>
                <w:sz w:val="24"/>
              </w:rPr>
            </w:pPr>
            <w:r>
              <w:rPr>
                <w:spacing w:val="-5"/>
                <w:sz w:val="24"/>
              </w:rPr>
              <w:t>Use</w:t>
            </w:r>
          </w:p>
        </w:tc>
      </w:tr>
      <w:tr>
        <w:trPr>
          <w:trHeight w:val="516"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5" w:hRule="atLeast"/>
        </w:trPr>
        <w:tc>
          <w:tcPr>
            <w:tcW w:w="2280" w:type="dxa"/>
          </w:tcPr>
          <w:p>
            <w:pPr>
              <w:pStyle w:val="TableParagraph"/>
              <w:spacing w:line="256" w:lineRule="exact"/>
              <w:ind w:left="107"/>
              <w:rPr>
                <w:b/>
                <w:sz w:val="24"/>
              </w:rPr>
            </w:pPr>
            <w:r>
              <w:rPr>
                <w:b/>
                <w:spacing w:val="-2"/>
                <w:sz w:val="24"/>
              </w:rPr>
              <w:t>F-Layout</w:t>
            </w:r>
          </w:p>
        </w:tc>
        <w:tc>
          <w:tcPr>
            <w:tcW w:w="1178" w:type="dxa"/>
          </w:tcPr>
          <w:p>
            <w:pPr>
              <w:pStyle w:val="TableParagraph"/>
              <w:spacing w:line="256" w:lineRule="exact"/>
              <w:ind w:left="122"/>
              <w:rPr>
                <w:i/>
                <w:sz w:val="24"/>
              </w:rPr>
            </w:pPr>
            <w:r>
              <w:rPr>
                <w:i/>
                <w:color w:val="000000"/>
                <w:spacing w:val="-2"/>
                <w:sz w:val="24"/>
                <w:highlight w:val="green"/>
              </w:rPr>
              <w:t>8Poor</w:t>
            </w:r>
          </w:p>
        </w:tc>
        <w:tc>
          <w:tcPr>
            <w:tcW w:w="1036" w:type="dxa"/>
          </w:tcPr>
          <w:p>
            <w:pPr>
              <w:pStyle w:val="TableParagraph"/>
              <w:spacing w:line="256" w:lineRule="exact"/>
              <w:ind w:left="108"/>
              <w:rPr>
                <w:i/>
                <w:sz w:val="24"/>
              </w:rPr>
            </w:pPr>
            <w:r>
              <w:rPr>
                <w:i/>
                <w:color w:val="000000"/>
                <w:spacing w:val="-2"/>
                <w:sz w:val="24"/>
                <w:highlight w:val="green"/>
              </w:rPr>
              <w:t>8Poor</w:t>
            </w:r>
          </w:p>
        </w:tc>
        <w:tc>
          <w:tcPr>
            <w:tcW w:w="1387" w:type="dxa"/>
          </w:tcPr>
          <w:p>
            <w:pPr>
              <w:pStyle w:val="TableParagraph"/>
              <w:spacing w:line="256" w:lineRule="exact"/>
              <w:ind w:left="246"/>
              <w:rPr>
                <w:sz w:val="24"/>
              </w:rPr>
            </w:pPr>
            <w:r>
              <w:rPr>
                <w:spacing w:val="-4"/>
                <w:sz w:val="24"/>
              </w:rPr>
              <w:t>7Fair</w:t>
            </w:r>
          </w:p>
        </w:tc>
        <w:tc>
          <w:tcPr>
            <w:tcW w:w="601" w:type="dxa"/>
            <w:shd w:val="clear" w:color="auto" w:fill="00FF00"/>
          </w:tcPr>
          <w:p>
            <w:pPr>
              <w:pStyle w:val="TableParagraph"/>
              <w:spacing w:line="256" w:lineRule="exact"/>
              <w:ind w:left="-3"/>
              <w:rPr>
                <w:i/>
                <w:sz w:val="24"/>
              </w:rPr>
            </w:pPr>
            <w:r>
              <w:rPr>
                <w:i/>
                <w:spacing w:val="-2"/>
                <w:sz w:val="24"/>
              </w:rPr>
              <w:t>3Poor</w:t>
            </w:r>
          </w:p>
        </w:tc>
        <w:tc>
          <w:tcPr>
            <w:tcW w:w="1782" w:type="dxa"/>
          </w:tcPr>
          <w:p>
            <w:pPr>
              <w:pStyle w:val="TableParagraph"/>
              <w:spacing w:line="256" w:lineRule="exact"/>
              <w:ind w:left="303"/>
              <w:rPr>
                <w:sz w:val="24"/>
              </w:rPr>
            </w:pPr>
            <w:r>
              <w:rPr>
                <w:spacing w:val="-4"/>
                <w:sz w:val="24"/>
              </w:rPr>
              <w:t>7Fair</w:t>
            </w:r>
          </w:p>
        </w:tc>
        <w:tc>
          <w:tcPr>
            <w:tcW w:w="4379" w:type="dxa"/>
          </w:tcPr>
          <w:p>
            <w:pPr>
              <w:pStyle w:val="TableParagraph"/>
              <w:spacing w:line="256" w:lineRule="exact"/>
              <w:ind w:left="112"/>
              <w:rPr>
                <w:sz w:val="24"/>
              </w:rPr>
            </w:pPr>
            <w:r>
              <w:rPr>
                <w:sz w:val="24"/>
              </w:rPr>
              <w:t>Resource,</w:t>
            </w:r>
            <w:r>
              <w:rPr>
                <w:spacing w:val="-2"/>
                <w:sz w:val="24"/>
              </w:rPr>
              <w:t> </w:t>
            </w:r>
            <w:r>
              <w:rPr>
                <w:sz w:val="24"/>
              </w:rPr>
              <w:t>Use</w:t>
            </w:r>
            <w:r>
              <w:rPr>
                <w:spacing w:val="-2"/>
                <w:sz w:val="24"/>
              </w:rPr>
              <w:t> </w:t>
            </w:r>
            <w:r>
              <w:rPr>
                <w:sz w:val="24"/>
              </w:rPr>
              <w:t>and</w:t>
            </w:r>
            <w:r>
              <w:rPr>
                <w:spacing w:val="-1"/>
                <w:sz w:val="24"/>
              </w:rPr>
              <w:t> </w:t>
            </w:r>
            <w:r>
              <w:rPr>
                <w:spacing w:val="-2"/>
                <w:sz w:val="24"/>
              </w:rPr>
              <w:t>Access</w:t>
            </w:r>
          </w:p>
        </w:tc>
      </w:tr>
      <w:tr>
        <w:trPr>
          <w:trHeight w:val="516"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3" w:hRule="atLeast"/>
        </w:trPr>
        <w:tc>
          <w:tcPr>
            <w:tcW w:w="2280" w:type="dxa"/>
          </w:tcPr>
          <w:p>
            <w:pPr>
              <w:pStyle w:val="TableParagraph"/>
              <w:spacing w:line="254" w:lineRule="exact"/>
              <w:ind w:left="107"/>
              <w:rPr>
                <w:b/>
                <w:sz w:val="24"/>
              </w:rPr>
            </w:pPr>
            <w:r>
              <w:rPr>
                <w:b/>
                <w:spacing w:val="-2"/>
                <w:sz w:val="24"/>
              </w:rPr>
              <w:t>Minna-Central</w:t>
            </w:r>
          </w:p>
        </w:tc>
        <w:tc>
          <w:tcPr>
            <w:tcW w:w="1178" w:type="dxa"/>
          </w:tcPr>
          <w:p>
            <w:pPr>
              <w:pStyle w:val="TableParagraph"/>
              <w:spacing w:line="254" w:lineRule="exact"/>
              <w:ind w:left="122"/>
              <w:rPr>
                <w:sz w:val="24"/>
              </w:rPr>
            </w:pPr>
            <w:r>
              <w:rPr>
                <w:spacing w:val="-4"/>
                <w:sz w:val="24"/>
              </w:rPr>
              <w:t>5Fair</w:t>
            </w:r>
          </w:p>
        </w:tc>
        <w:tc>
          <w:tcPr>
            <w:tcW w:w="1036" w:type="dxa"/>
          </w:tcPr>
          <w:p>
            <w:pPr>
              <w:pStyle w:val="TableParagraph"/>
              <w:spacing w:line="254" w:lineRule="exact"/>
              <w:ind w:left="108"/>
              <w:rPr>
                <w:sz w:val="24"/>
              </w:rPr>
            </w:pPr>
            <w:r>
              <w:rPr>
                <w:spacing w:val="-4"/>
                <w:sz w:val="24"/>
              </w:rPr>
              <w:t>2Fair</w:t>
            </w:r>
          </w:p>
        </w:tc>
        <w:tc>
          <w:tcPr>
            <w:tcW w:w="1387" w:type="dxa"/>
          </w:tcPr>
          <w:p>
            <w:pPr>
              <w:pStyle w:val="TableParagraph"/>
              <w:spacing w:line="254" w:lineRule="exact"/>
              <w:ind w:left="246"/>
              <w:rPr>
                <w:sz w:val="24"/>
              </w:rPr>
            </w:pPr>
            <w:r>
              <w:rPr>
                <w:spacing w:val="-4"/>
                <w:sz w:val="24"/>
              </w:rPr>
              <w:t>4Fair</w:t>
            </w:r>
          </w:p>
        </w:tc>
        <w:tc>
          <w:tcPr>
            <w:tcW w:w="601" w:type="dxa"/>
            <w:shd w:val="clear" w:color="auto" w:fill="00FF00"/>
          </w:tcPr>
          <w:p>
            <w:pPr>
              <w:pStyle w:val="TableParagraph"/>
              <w:spacing w:line="254" w:lineRule="exact"/>
              <w:ind w:left="-3"/>
              <w:rPr>
                <w:i/>
                <w:sz w:val="24"/>
              </w:rPr>
            </w:pPr>
            <w:r>
              <w:rPr>
                <w:i/>
                <w:spacing w:val="-2"/>
                <w:sz w:val="24"/>
              </w:rPr>
              <w:t>4Poor</w:t>
            </w:r>
          </w:p>
        </w:tc>
        <w:tc>
          <w:tcPr>
            <w:tcW w:w="1782" w:type="dxa"/>
          </w:tcPr>
          <w:p>
            <w:pPr>
              <w:pStyle w:val="TableParagraph"/>
              <w:spacing w:line="254" w:lineRule="exact"/>
              <w:ind w:left="303"/>
              <w:rPr>
                <w:sz w:val="24"/>
              </w:rPr>
            </w:pPr>
            <w:r>
              <w:rPr>
                <w:spacing w:val="-4"/>
                <w:sz w:val="24"/>
              </w:rPr>
              <w:t>8Fair</w:t>
            </w:r>
          </w:p>
        </w:tc>
        <w:tc>
          <w:tcPr>
            <w:tcW w:w="4379" w:type="dxa"/>
          </w:tcPr>
          <w:p>
            <w:pPr>
              <w:pStyle w:val="TableParagraph"/>
              <w:spacing w:line="254" w:lineRule="exact"/>
              <w:ind w:left="112"/>
              <w:rPr>
                <w:sz w:val="24"/>
              </w:rPr>
            </w:pPr>
            <w:r>
              <w:rPr>
                <w:spacing w:val="-5"/>
                <w:sz w:val="24"/>
              </w:rPr>
              <w:t>Use</w:t>
            </w:r>
          </w:p>
        </w:tc>
      </w:tr>
      <w:tr>
        <w:trPr>
          <w:trHeight w:val="515"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5" w:hRule="atLeast"/>
        </w:trPr>
        <w:tc>
          <w:tcPr>
            <w:tcW w:w="2280" w:type="dxa"/>
          </w:tcPr>
          <w:p>
            <w:pPr>
              <w:pStyle w:val="TableParagraph"/>
              <w:spacing w:line="256" w:lineRule="exact"/>
              <w:ind w:left="107"/>
              <w:rPr>
                <w:b/>
                <w:sz w:val="24"/>
              </w:rPr>
            </w:pPr>
            <w:r>
              <w:rPr>
                <w:b/>
                <w:sz w:val="24"/>
              </w:rPr>
              <w:t>Tudun-Wada</w:t>
            </w:r>
            <w:r>
              <w:rPr>
                <w:b/>
                <w:spacing w:val="-2"/>
                <w:sz w:val="24"/>
              </w:rPr>
              <w:t> </w:t>
            </w:r>
            <w:r>
              <w:rPr>
                <w:b/>
                <w:spacing w:val="-4"/>
                <w:sz w:val="24"/>
              </w:rPr>
              <w:t>South</w:t>
            </w:r>
          </w:p>
        </w:tc>
        <w:tc>
          <w:tcPr>
            <w:tcW w:w="1178" w:type="dxa"/>
          </w:tcPr>
          <w:p>
            <w:pPr>
              <w:pStyle w:val="TableParagraph"/>
              <w:spacing w:line="256" w:lineRule="exact"/>
              <w:ind w:left="122"/>
              <w:rPr>
                <w:sz w:val="24"/>
              </w:rPr>
            </w:pPr>
            <w:r>
              <w:rPr>
                <w:spacing w:val="-4"/>
                <w:sz w:val="24"/>
              </w:rPr>
              <w:t>1Fair</w:t>
            </w:r>
          </w:p>
        </w:tc>
        <w:tc>
          <w:tcPr>
            <w:tcW w:w="1036" w:type="dxa"/>
          </w:tcPr>
          <w:p>
            <w:pPr>
              <w:pStyle w:val="TableParagraph"/>
              <w:spacing w:line="256" w:lineRule="exact"/>
              <w:ind w:left="108"/>
              <w:rPr>
                <w:sz w:val="24"/>
              </w:rPr>
            </w:pPr>
            <w:r>
              <w:rPr>
                <w:spacing w:val="-4"/>
                <w:sz w:val="24"/>
              </w:rPr>
              <w:t>3Fair</w:t>
            </w:r>
          </w:p>
        </w:tc>
        <w:tc>
          <w:tcPr>
            <w:tcW w:w="1387" w:type="dxa"/>
          </w:tcPr>
          <w:p>
            <w:pPr>
              <w:pStyle w:val="TableParagraph"/>
              <w:spacing w:line="256" w:lineRule="exact"/>
              <w:ind w:left="246"/>
              <w:rPr>
                <w:sz w:val="24"/>
              </w:rPr>
            </w:pPr>
            <w:r>
              <w:rPr>
                <w:spacing w:val="-4"/>
                <w:sz w:val="24"/>
              </w:rPr>
              <w:t>6Fair</w:t>
            </w:r>
          </w:p>
        </w:tc>
        <w:tc>
          <w:tcPr>
            <w:tcW w:w="601" w:type="dxa"/>
            <w:shd w:val="clear" w:color="auto" w:fill="00FF00"/>
          </w:tcPr>
          <w:p>
            <w:pPr>
              <w:pStyle w:val="TableParagraph"/>
              <w:spacing w:line="256" w:lineRule="exact"/>
              <w:ind w:left="-3"/>
              <w:rPr>
                <w:i/>
                <w:sz w:val="24"/>
              </w:rPr>
            </w:pPr>
            <w:r>
              <w:rPr>
                <w:i/>
                <w:spacing w:val="-2"/>
                <w:sz w:val="24"/>
              </w:rPr>
              <w:t>6Poor</w:t>
            </w:r>
          </w:p>
        </w:tc>
        <w:tc>
          <w:tcPr>
            <w:tcW w:w="1782" w:type="dxa"/>
          </w:tcPr>
          <w:p>
            <w:pPr>
              <w:pStyle w:val="TableParagraph"/>
              <w:spacing w:line="256" w:lineRule="exact"/>
              <w:ind w:left="303"/>
              <w:rPr>
                <w:sz w:val="24"/>
              </w:rPr>
            </w:pPr>
            <w:r>
              <w:rPr>
                <w:spacing w:val="-2"/>
                <w:sz w:val="24"/>
              </w:rPr>
              <w:t>1Good</w:t>
            </w:r>
          </w:p>
        </w:tc>
        <w:tc>
          <w:tcPr>
            <w:tcW w:w="4379" w:type="dxa"/>
          </w:tcPr>
          <w:p>
            <w:pPr>
              <w:pStyle w:val="TableParagraph"/>
              <w:spacing w:line="256" w:lineRule="exact"/>
              <w:ind w:left="112"/>
              <w:rPr>
                <w:sz w:val="24"/>
              </w:rPr>
            </w:pPr>
            <w:r>
              <w:rPr>
                <w:spacing w:val="-5"/>
                <w:sz w:val="24"/>
              </w:rPr>
              <w:t>Use</w:t>
            </w:r>
          </w:p>
        </w:tc>
      </w:tr>
      <w:tr>
        <w:trPr>
          <w:trHeight w:val="516"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6" w:hRule="atLeast"/>
        </w:trPr>
        <w:tc>
          <w:tcPr>
            <w:tcW w:w="2280" w:type="dxa"/>
          </w:tcPr>
          <w:p>
            <w:pPr>
              <w:pStyle w:val="TableParagraph"/>
              <w:spacing w:line="256" w:lineRule="exact"/>
              <w:ind w:left="107"/>
              <w:rPr>
                <w:b/>
                <w:sz w:val="24"/>
              </w:rPr>
            </w:pPr>
            <w:r>
              <w:rPr>
                <w:b/>
                <w:spacing w:val="-2"/>
                <w:sz w:val="24"/>
              </w:rPr>
              <w:t>Kpakungu</w:t>
            </w:r>
          </w:p>
        </w:tc>
        <w:tc>
          <w:tcPr>
            <w:tcW w:w="1178" w:type="dxa"/>
          </w:tcPr>
          <w:p>
            <w:pPr>
              <w:pStyle w:val="TableParagraph"/>
              <w:spacing w:line="256" w:lineRule="exact"/>
              <w:ind w:left="122"/>
              <w:rPr>
                <w:sz w:val="24"/>
              </w:rPr>
            </w:pPr>
            <w:r>
              <w:rPr>
                <w:spacing w:val="-4"/>
                <w:sz w:val="24"/>
              </w:rPr>
              <w:t>4Fair</w:t>
            </w:r>
          </w:p>
        </w:tc>
        <w:tc>
          <w:tcPr>
            <w:tcW w:w="1036" w:type="dxa"/>
          </w:tcPr>
          <w:p>
            <w:pPr>
              <w:pStyle w:val="TableParagraph"/>
              <w:spacing w:line="256" w:lineRule="exact"/>
              <w:ind w:left="108"/>
              <w:rPr>
                <w:i/>
                <w:sz w:val="24"/>
              </w:rPr>
            </w:pPr>
            <w:r>
              <w:rPr>
                <w:i/>
                <w:color w:val="000000"/>
                <w:spacing w:val="-2"/>
                <w:sz w:val="24"/>
                <w:highlight w:val="green"/>
              </w:rPr>
              <w:t>6Poor</w:t>
            </w:r>
          </w:p>
        </w:tc>
        <w:tc>
          <w:tcPr>
            <w:tcW w:w="1387" w:type="dxa"/>
          </w:tcPr>
          <w:p>
            <w:pPr>
              <w:pStyle w:val="TableParagraph"/>
              <w:spacing w:line="256" w:lineRule="exact"/>
              <w:ind w:left="246"/>
              <w:rPr>
                <w:sz w:val="24"/>
              </w:rPr>
            </w:pPr>
            <w:r>
              <w:rPr>
                <w:spacing w:val="-4"/>
                <w:sz w:val="24"/>
              </w:rPr>
              <w:t>1Fair</w:t>
            </w:r>
          </w:p>
        </w:tc>
        <w:tc>
          <w:tcPr>
            <w:tcW w:w="601" w:type="dxa"/>
            <w:shd w:val="clear" w:color="auto" w:fill="00FF00"/>
          </w:tcPr>
          <w:p>
            <w:pPr>
              <w:pStyle w:val="TableParagraph"/>
              <w:spacing w:line="256" w:lineRule="exact"/>
              <w:ind w:left="-3"/>
              <w:rPr>
                <w:i/>
                <w:sz w:val="24"/>
              </w:rPr>
            </w:pPr>
            <w:r>
              <w:rPr>
                <w:i/>
                <w:spacing w:val="-2"/>
                <w:sz w:val="24"/>
              </w:rPr>
              <w:t>8Poor</w:t>
            </w:r>
          </w:p>
        </w:tc>
        <w:tc>
          <w:tcPr>
            <w:tcW w:w="1782" w:type="dxa"/>
          </w:tcPr>
          <w:p>
            <w:pPr>
              <w:pStyle w:val="TableParagraph"/>
              <w:spacing w:line="256" w:lineRule="exact"/>
              <w:ind w:left="303"/>
              <w:rPr>
                <w:sz w:val="24"/>
              </w:rPr>
            </w:pPr>
            <w:r>
              <w:rPr>
                <w:spacing w:val="-4"/>
                <w:sz w:val="24"/>
              </w:rPr>
              <w:t>4Fair</w:t>
            </w:r>
          </w:p>
        </w:tc>
        <w:tc>
          <w:tcPr>
            <w:tcW w:w="4379" w:type="dxa"/>
          </w:tcPr>
          <w:p>
            <w:pPr>
              <w:pStyle w:val="TableParagraph"/>
              <w:spacing w:line="256" w:lineRule="exact"/>
              <w:ind w:left="112"/>
              <w:rPr>
                <w:sz w:val="24"/>
              </w:rPr>
            </w:pPr>
            <w:r>
              <w:rPr>
                <w:sz w:val="24"/>
              </w:rPr>
              <w:t>Access</w:t>
            </w:r>
            <w:r>
              <w:rPr>
                <w:spacing w:val="-1"/>
                <w:sz w:val="24"/>
              </w:rPr>
              <w:t> </w:t>
            </w:r>
            <w:r>
              <w:rPr>
                <w:sz w:val="24"/>
              </w:rPr>
              <w:t>and</w:t>
            </w:r>
            <w:r>
              <w:rPr>
                <w:spacing w:val="-2"/>
                <w:sz w:val="24"/>
              </w:rPr>
              <w:t> </w:t>
            </w:r>
            <w:r>
              <w:rPr>
                <w:spacing w:val="-5"/>
                <w:sz w:val="24"/>
              </w:rPr>
              <w:t>Use</w:t>
            </w:r>
          </w:p>
        </w:tc>
      </w:tr>
      <w:tr>
        <w:trPr>
          <w:trHeight w:val="516"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6" w:hRule="atLeast"/>
        </w:trPr>
        <w:tc>
          <w:tcPr>
            <w:tcW w:w="2280" w:type="dxa"/>
          </w:tcPr>
          <w:p>
            <w:pPr>
              <w:pStyle w:val="TableParagraph"/>
              <w:spacing w:line="256" w:lineRule="exact"/>
              <w:ind w:left="107"/>
              <w:rPr>
                <w:b/>
                <w:sz w:val="24"/>
              </w:rPr>
            </w:pPr>
            <w:r>
              <w:rPr>
                <w:b/>
                <w:spacing w:val="-2"/>
                <w:sz w:val="24"/>
              </w:rPr>
              <w:t>Maitumbi</w:t>
            </w:r>
          </w:p>
        </w:tc>
        <w:tc>
          <w:tcPr>
            <w:tcW w:w="1178" w:type="dxa"/>
          </w:tcPr>
          <w:p>
            <w:pPr>
              <w:pStyle w:val="TableParagraph"/>
              <w:spacing w:line="256" w:lineRule="exact"/>
              <w:ind w:left="122"/>
              <w:rPr>
                <w:sz w:val="24"/>
              </w:rPr>
            </w:pPr>
            <w:r>
              <w:rPr>
                <w:spacing w:val="-4"/>
                <w:sz w:val="24"/>
              </w:rPr>
              <w:t>2Fair</w:t>
            </w:r>
          </w:p>
        </w:tc>
        <w:tc>
          <w:tcPr>
            <w:tcW w:w="1036" w:type="dxa"/>
          </w:tcPr>
          <w:p>
            <w:pPr>
              <w:pStyle w:val="TableParagraph"/>
              <w:spacing w:line="256" w:lineRule="exact"/>
              <w:ind w:left="108"/>
              <w:rPr>
                <w:i/>
                <w:sz w:val="24"/>
              </w:rPr>
            </w:pPr>
            <w:r>
              <w:rPr>
                <w:i/>
                <w:color w:val="000000"/>
                <w:spacing w:val="-2"/>
                <w:sz w:val="24"/>
                <w:highlight w:val="green"/>
              </w:rPr>
              <w:t>4Poor</w:t>
            </w:r>
          </w:p>
        </w:tc>
        <w:tc>
          <w:tcPr>
            <w:tcW w:w="1387" w:type="dxa"/>
          </w:tcPr>
          <w:p>
            <w:pPr>
              <w:pStyle w:val="TableParagraph"/>
              <w:spacing w:line="256" w:lineRule="exact"/>
              <w:ind w:left="246"/>
              <w:rPr>
                <w:sz w:val="24"/>
              </w:rPr>
            </w:pPr>
            <w:r>
              <w:rPr>
                <w:spacing w:val="-4"/>
                <w:sz w:val="24"/>
              </w:rPr>
              <w:t>5Fair</w:t>
            </w:r>
          </w:p>
        </w:tc>
        <w:tc>
          <w:tcPr>
            <w:tcW w:w="601" w:type="dxa"/>
            <w:shd w:val="clear" w:color="auto" w:fill="00FF00"/>
          </w:tcPr>
          <w:p>
            <w:pPr>
              <w:pStyle w:val="TableParagraph"/>
              <w:spacing w:line="256" w:lineRule="exact"/>
              <w:ind w:left="-3"/>
              <w:rPr>
                <w:i/>
                <w:sz w:val="24"/>
              </w:rPr>
            </w:pPr>
            <w:r>
              <w:rPr>
                <w:i/>
                <w:spacing w:val="-2"/>
                <w:sz w:val="24"/>
              </w:rPr>
              <w:t>7Poor</w:t>
            </w:r>
          </w:p>
        </w:tc>
        <w:tc>
          <w:tcPr>
            <w:tcW w:w="1782" w:type="dxa"/>
          </w:tcPr>
          <w:p>
            <w:pPr>
              <w:pStyle w:val="TableParagraph"/>
              <w:spacing w:line="256" w:lineRule="exact"/>
              <w:ind w:left="303"/>
              <w:rPr>
                <w:sz w:val="24"/>
              </w:rPr>
            </w:pPr>
            <w:r>
              <w:rPr>
                <w:spacing w:val="-4"/>
                <w:sz w:val="24"/>
              </w:rPr>
              <w:t>5Fair</w:t>
            </w:r>
          </w:p>
        </w:tc>
        <w:tc>
          <w:tcPr>
            <w:tcW w:w="4379" w:type="dxa"/>
          </w:tcPr>
          <w:p>
            <w:pPr>
              <w:pStyle w:val="TableParagraph"/>
              <w:spacing w:line="256" w:lineRule="exact"/>
              <w:ind w:left="112"/>
              <w:rPr>
                <w:sz w:val="24"/>
              </w:rPr>
            </w:pPr>
            <w:r>
              <w:rPr>
                <w:sz w:val="24"/>
              </w:rPr>
              <w:t>Access</w:t>
            </w:r>
            <w:r>
              <w:rPr>
                <w:spacing w:val="-1"/>
                <w:sz w:val="24"/>
              </w:rPr>
              <w:t> </w:t>
            </w:r>
            <w:r>
              <w:rPr>
                <w:sz w:val="24"/>
              </w:rPr>
              <w:t>and</w:t>
            </w:r>
            <w:r>
              <w:rPr>
                <w:spacing w:val="-2"/>
                <w:sz w:val="24"/>
              </w:rPr>
              <w:t> </w:t>
            </w:r>
            <w:r>
              <w:rPr>
                <w:spacing w:val="-5"/>
                <w:sz w:val="24"/>
              </w:rPr>
              <w:t>Use</w:t>
            </w:r>
          </w:p>
        </w:tc>
      </w:tr>
      <w:tr>
        <w:trPr>
          <w:trHeight w:val="515"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6" w:hRule="atLeast"/>
        </w:trPr>
        <w:tc>
          <w:tcPr>
            <w:tcW w:w="2280" w:type="dxa"/>
          </w:tcPr>
          <w:p>
            <w:pPr>
              <w:pStyle w:val="TableParagraph"/>
              <w:spacing w:line="256" w:lineRule="exact"/>
              <w:ind w:left="107"/>
              <w:rPr>
                <w:b/>
                <w:sz w:val="24"/>
              </w:rPr>
            </w:pPr>
            <w:r>
              <w:rPr>
                <w:b/>
                <w:spacing w:val="-2"/>
                <w:sz w:val="24"/>
              </w:rPr>
              <w:t>Saukakahuta</w:t>
            </w:r>
          </w:p>
        </w:tc>
        <w:tc>
          <w:tcPr>
            <w:tcW w:w="1178" w:type="dxa"/>
          </w:tcPr>
          <w:p>
            <w:pPr>
              <w:pStyle w:val="TableParagraph"/>
              <w:spacing w:line="256" w:lineRule="exact"/>
              <w:ind w:left="122"/>
              <w:rPr>
                <w:i/>
                <w:sz w:val="24"/>
              </w:rPr>
            </w:pPr>
            <w:r>
              <w:rPr>
                <w:i/>
                <w:color w:val="000000"/>
                <w:spacing w:val="-2"/>
                <w:sz w:val="24"/>
                <w:highlight w:val="green"/>
              </w:rPr>
              <w:t>7Poor</w:t>
            </w:r>
          </w:p>
        </w:tc>
        <w:tc>
          <w:tcPr>
            <w:tcW w:w="1036" w:type="dxa"/>
          </w:tcPr>
          <w:p>
            <w:pPr>
              <w:pStyle w:val="TableParagraph"/>
              <w:spacing w:line="256" w:lineRule="exact"/>
              <w:ind w:left="108"/>
              <w:rPr>
                <w:i/>
                <w:sz w:val="24"/>
              </w:rPr>
            </w:pPr>
            <w:r>
              <w:rPr>
                <w:i/>
                <w:color w:val="000000"/>
                <w:spacing w:val="-2"/>
                <w:sz w:val="24"/>
                <w:highlight w:val="green"/>
              </w:rPr>
              <w:t>7Poor</w:t>
            </w:r>
          </w:p>
        </w:tc>
        <w:tc>
          <w:tcPr>
            <w:tcW w:w="1387" w:type="dxa"/>
          </w:tcPr>
          <w:p>
            <w:pPr>
              <w:pStyle w:val="TableParagraph"/>
              <w:spacing w:line="256" w:lineRule="exact"/>
              <w:ind w:left="246"/>
              <w:rPr>
                <w:sz w:val="24"/>
              </w:rPr>
            </w:pPr>
            <w:r>
              <w:rPr>
                <w:spacing w:val="-4"/>
                <w:sz w:val="24"/>
              </w:rPr>
              <w:t>3Fair</w:t>
            </w:r>
          </w:p>
        </w:tc>
        <w:tc>
          <w:tcPr>
            <w:tcW w:w="601" w:type="dxa"/>
            <w:shd w:val="clear" w:color="auto" w:fill="00FF00"/>
          </w:tcPr>
          <w:p>
            <w:pPr>
              <w:pStyle w:val="TableParagraph"/>
              <w:spacing w:line="256" w:lineRule="exact"/>
              <w:ind w:left="-3"/>
              <w:rPr>
                <w:i/>
                <w:sz w:val="24"/>
              </w:rPr>
            </w:pPr>
            <w:r>
              <w:rPr>
                <w:i/>
                <w:spacing w:val="-2"/>
                <w:sz w:val="24"/>
              </w:rPr>
              <w:t>2Poor</w:t>
            </w:r>
          </w:p>
        </w:tc>
        <w:tc>
          <w:tcPr>
            <w:tcW w:w="1782" w:type="dxa"/>
          </w:tcPr>
          <w:p>
            <w:pPr>
              <w:pStyle w:val="TableParagraph"/>
              <w:spacing w:line="256" w:lineRule="exact"/>
              <w:ind w:left="303"/>
              <w:rPr>
                <w:sz w:val="24"/>
              </w:rPr>
            </w:pPr>
            <w:r>
              <w:rPr>
                <w:spacing w:val="-4"/>
                <w:sz w:val="24"/>
              </w:rPr>
              <w:t>3Fair</w:t>
            </w:r>
          </w:p>
        </w:tc>
        <w:tc>
          <w:tcPr>
            <w:tcW w:w="4379" w:type="dxa"/>
          </w:tcPr>
          <w:p>
            <w:pPr>
              <w:pStyle w:val="TableParagraph"/>
              <w:spacing w:line="256" w:lineRule="exact"/>
              <w:ind w:left="112"/>
              <w:rPr>
                <w:sz w:val="24"/>
              </w:rPr>
            </w:pPr>
            <w:r>
              <w:rPr>
                <w:sz w:val="24"/>
              </w:rPr>
              <w:t>Resource,</w:t>
            </w:r>
            <w:r>
              <w:rPr>
                <w:spacing w:val="-2"/>
                <w:sz w:val="24"/>
              </w:rPr>
              <w:t> </w:t>
            </w:r>
            <w:r>
              <w:rPr>
                <w:sz w:val="24"/>
              </w:rPr>
              <w:t>Use</w:t>
            </w:r>
            <w:r>
              <w:rPr>
                <w:spacing w:val="-2"/>
                <w:sz w:val="24"/>
              </w:rPr>
              <w:t> </w:t>
            </w:r>
            <w:r>
              <w:rPr>
                <w:sz w:val="24"/>
              </w:rPr>
              <w:t>and</w:t>
            </w:r>
            <w:r>
              <w:rPr>
                <w:spacing w:val="-1"/>
                <w:sz w:val="24"/>
              </w:rPr>
              <w:t> </w:t>
            </w:r>
            <w:r>
              <w:rPr>
                <w:spacing w:val="-2"/>
                <w:sz w:val="24"/>
              </w:rPr>
              <w:t>Access</w:t>
            </w:r>
          </w:p>
        </w:tc>
      </w:tr>
      <w:tr>
        <w:trPr>
          <w:trHeight w:val="515" w:hRule="atLeast"/>
        </w:trPr>
        <w:tc>
          <w:tcPr>
            <w:tcW w:w="2280" w:type="dxa"/>
          </w:tcPr>
          <w:p>
            <w:pPr>
              <w:pStyle w:val="TableParagraph"/>
              <w:rPr>
                <w:sz w:val="24"/>
              </w:rPr>
            </w:pPr>
          </w:p>
        </w:tc>
        <w:tc>
          <w:tcPr>
            <w:tcW w:w="1178" w:type="dxa"/>
          </w:tcPr>
          <w:p>
            <w:pPr>
              <w:pStyle w:val="TableParagraph"/>
              <w:rPr>
                <w:sz w:val="24"/>
              </w:rPr>
            </w:pPr>
          </w:p>
        </w:tc>
        <w:tc>
          <w:tcPr>
            <w:tcW w:w="1036" w:type="dxa"/>
          </w:tcPr>
          <w:p>
            <w:pPr>
              <w:pStyle w:val="TableParagraph"/>
              <w:rPr>
                <w:sz w:val="24"/>
              </w:rPr>
            </w:pPr>
          </w:p>
        </w:tc>
        <w:tc>
          <w:tcPr>
            <w:tcW w:w="1387" w:type="dxa"/>
          </w:tcPr>
          <w:p>
            <w:pPr>
              <w:pStyle w:val="TableParagraph"/>
              <w:rPr>
                <w:sz w:val="24"/>
              </w:rPr>
            </w:pPr>
          </w:p>
        </w:tc>
        <w:tc>
          <w:tcPr>
            <w:tcW w:w="601" w:type="dxa"/>
          </w:tcPr>
          <w:p>
            <w:pPr>
              <w:pStyle w:val="TableParagraph"/>
              <w:rPr>
                <w:sz w:val="24"/>
              </w:rPr>
            </w:pPr>
          </w:p>
        </w:tc>
        <w:tc>
          <w:tcPr>
            <w:tcW w:w="1782" w:type="dxa"/>
          </w:tcPr>
          <w:p>
            <w:pPr>
              <w:pStyle w:val="TableParagraph"/>
              <w:rPr>
                <w:sz w:val="24"/>
              </w:rPr>
            </w:pPr>
          </w:p>
        </w:tc>
        <w:tc>
          <w:tcPr>
            <w:tcW w:w="4379" w:type="dxa"/>
          </w:tcPr>
          <w:p>
            <w:pPr>
              <w:pStyle w:val="TableParagraph"/>
              <w:rPr>
                <w:sz w:val="24"/>
              </w:rPr>
            </w:pPr>
          </w:p>
        </w:tc>
      </w:tr>
      <w:tr>
        <w:trPr>
          <w:trHeight w:val="276" w:hRule="atLeast"/>
        </w:trPr>
        <w:tc>
          <w:tcPr>
            <w:tcW w:w="2280" w:type="dxa"/>
          </w:tcPr>
          <w:p>
            <w:pPr>
              <w:pStyle w:val="TableParagraph"/>
              <w:spacing w:line="256" w:lineRule="exact"/>
              <w:ind w:left="107"/>
              <w:rPr>
                <w:b/>
                <w:sz w:val="24"/>
              </w:rPr>
            </w:pPr>
            <w:r>
              <w:rPr>
                <w:b/>
                <w:spacing w:val="-2"/>
                <w:sz w:val="24"/>
              </w:rPr>
              <w:t>Tudun-Fulani</w:t>
            </w:r>
          </w:p>
        </w:tc>
        <w:tc>
          <w:tcPr>
            <w:tcW w:w="1178" w:type="dxa"/>
          </w:tcPr>
          <w:p>
            <w:pPr>
              <w:pStyle w:val="TableParagraph"/>
              <w:spacing w:line="256" w:lineRule="exact"/>
              <w:ind w:left="122"/>
              <w:rPr>
                <w:i/>
                <w:sz w:val="24"/>
              </w:rPr>
            </w:pPr>
            <w:r>
              <w:rPr>
                <w:i/>
                <w:color w:val="000000"/>
                <w:spacing w:val="-2"/>
                <w:sz w:val="24"/>
                <w:highlight w:val="green"/>
              </w:rPr>
              <w:t>6Poor</w:t>
            </w:r>
          </w:p>
        </w:tc>
        <w:tc>
          <w:tcPr>
            <w:tcW w:w="1036" w:type="dxa"/>
          </w:tcPr>
          <w:p>
            <w:pPr>
              <w:pStyle w:val="TableParagraph"/>
              <w:spacing w:line="256" w:lineRule="exact"/>
              <w:ind w:left="108"/>
              <w:rPr>
                <w:i/>
                <w:sz w:val="24"/>
              </w:rPr>
            </w:pPr>
            <w:r>
              <w:rPr>
                <w:i/>
                <w:color w:val="000000"/>
                <w:spacing w:val="-2"/>
                <w:sz w:val="24"/>
                <w:highlight w:val="green"/>
              </w:rPr>
              <w:t>5Poor</w:t>
            </w:r>
          </w:p>
        </w:tc>
        <w:tc>
          <w:tcPr>
            <w:tcW w:w="1387" w:type="dxa"/>
          </w:tcPr>
          <w:p>
            <w:pPr>
              <w:pStyle w:val="TableParagraph"/>
              <w:spacing w:line="256" w:lineRule="exact"/>
              <w:ind w:left="246"/>
              <w:rPr>
                <w:sz w:val="24"/>
              </w:rPr>
            </w:pPr>
            <w:r>
              <w:rPr>
                <w:spacing w:val="-4"/>
                <w:sz w:val="24"/>
              </w:rPr>
              <w:t>2Fair</w:t>
            </w:r>
          </w:p>
        </w:tc>
        <w:tc>
          <w:tcPr>
            <w:tcW w:w="601" w:type="dxa"/>
            <w:shd w:val="clear" w:color="auto" w:fill="00FF00"/>
          </w:tcPr>
          <w:p>
            <w:pPr>
              <w:pStyle w:val="TableParagraph"/>
              <w:spacing w:line="256" w:lineRule="exact"/>
              <w:ind w:left="-3"/>
              <w:rPr>
                <w:i/>
                <w:sz w:val="24"/>
              </w:rPr>
            </w:pPr>
            <w:r>
              <w:rPr>
                <w:i/>
                <w:spacing w:val="-2"/>
                <w:sz w:val="24"/>
              </w:rPr>
              <w:t>1Poor</w:t>
            </w:r>
          </w:p>
        </w:tc>
        <w:tc>
          <w:tcPr>
            <w:tcW w:w="1782" w:type="dxa"/>
          </w:tcPr>
          <w:p>
            <w:pPr>
              <w:pStyle w:val="TableParagraph"/>
              <w:spacing w:line="256" w:lineRule="exact"/>
              <w:ind w:left="303"/>
              <w:rPr>
                <w:sz w:val="24"/>
              </w:rPr>
            </w:pPr>
            <w:r>
              <w:rPr>
                <w:spacing w:val="-4"/>
                <w:sz w:val="24"/>
              </w:rPr>
              <w:t>6Fair</w:t>
            </w:r>
          </w:p>
        </w:tc>
        <w:tc>
          <w:tcPr>
            <w:tcW w:w="4379" w:type="dxa"/>
          </w:tcPr>
          <w:p>
            <w:pPr>
              <w:pStyle w:val="TableParagraph"/>
              <w:spacing w:line="256" w:lineRule="exact"/>
              <w:ind w:left="112"/>
              <w:rPr>
                <w:sz w:val="24"/>
              </w:rPr>
            </w:pPr>
            <w:r>
              <w:rPr>
                <w:sz w:val="24"/>
              </w:rPr>
              <w:t>Resource,</w:t>
            </w:r>
            <w:r>
              <w:rPr>
                <w:spacing w:val="-4"/>
                <w:sz w:val="24"/>
              </w:rPr>
              <w:t> </w:t>
            </w:r>
            <w:r>
              <w:rPr>
                <w:sz w:val="24"/>
              </w:rPr>
              <w:t>Use,</w:t>
            </w:r>
            <w:r>
              <w:rPr>
                <w:spacing w:val="-2"/>
                <w:sz w:val="24"/>
              </w:rPr>
              <w:t> </w:t>
            </w:r>
            <w:r>
              <w:rPr>
                <w:sz w:val="24"/>
              </w:rPr>
              <w:t>and</w:t>
            </w:r>
            <w:r>
              <w:rPr>
                <w:spacing w:val="-1"/>
                <w:sz w:val="24"/>
              </w:rPr>
              <w:t> </w:t>
            </w:r>
            <w:r>
              <w:rPr>
                <w:spacing w:val="-2"/>
                <w:sz w:val="24"/>
              </w:rPr>
              <w:t>Access</w:t>
            </w:r>
          </w:p>
        </w:tc>
      </w:tr>
    </w:tbl>
    <w:p>
      <w:pPr>
        <w:pStyle w:val="BodyText"/>
        <w:spacing w:before="32"/>
        <w:rPr>
          <w:b/>
          <w:sz w:val="20"/>
        </w:rPr>
      </w:pPr>
      <w:r>
        <w:rPr/>
        <mc:AlternateContent>
          <mc:Choice Requires="wps">
            <w:drawing>
              <wp:anchor distT="0" distB="0" distL="0" distR="0" allowOverlap="1" layoutInCell="1" locked="0" behindDoc="1" simplePos="0" relativeHeight="487614976">
                <wp:simplePos x="0" y="0"/>
                <wp:positionH relativeFrom="page">
                  <wp:posOffset>1253032</wp:posOffset>
                </wp:positionH>
                <wp:positionV relativeFrom="paragraph">
                  <wp:posOffset>181610</wp:posOffset>
                </wp:positionV>
                <wp:extent cx="8035925" cy="1270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8035925" cy="12700"/>
                        </a:xfrm>
                        <a:custGeom>
                          <a:avLst/>
                          <a:gdLst/>
                          <a:ahLst/>
                          <a:cxnLst/>
                          <a:rect l="l" t="t" r="r" b="b"/>
                          <a:pathLst>
                            <a:path w="8035925" h="12700">
                              <a:moveTo>
                                <a:pt x="2208593" y="0"/>
                              </a:moveTo>
                              <a:lnTo>
                                <a:pt x="2208593" y="0"/>
                              </a:lnTo>
                              <a:lnTo>
                                <a:pt x="0" y="0"/>
                              </a:lnTo>
                              <a:lnTo>
                                <a:pt x="0" y="12179"/>
                              </a:lnTo>
                              <a:lnTo>
                                <a:pt x="2208593" y="12179"/>
                              </a:lnTo>
                              <a:lnTo>
                                <a:pt x="2208593" y="0"/>
                              </a:lnTo>
                              <a:close/>
                            </a:path>
                            <a:path w="8035925" h="12700">
                              <a:moveTo>
                                <a:pt x="3676205" y="0"/>
                              </a:moveTo>
                              <a:lnTo>
                                <a:pt x="3676205" y="0"/>
                              </a:lnTo>
                              <a:lnTo>
                                <a:pt x="2208606" y="0"/>
                              </a:lnTo>
                              <a:lnTo>
                                <a:pt x="2208606" y="12179"/>
                              </a:lnTo>
                              <a:lnTo>
                                <a:pt x="3676205" y="12179"/>
                              </a:lnTo>
                              <a:lnTo>
                                <a:pt x="3676205" y="0"/>
                              </a:lnTo>
                              <a:close/>
                            </a:path>
                            <a:path w="8035925" h="12700">
                              <a:moveTo>
                                <a:pt x="4254055" y="0"/>
                              </a:moveTo>
                              <a:lnTo>
                                <a:pt x="4251071" y="0"/>
                              </a:lnTo>
                              <a:lnTo>
                                <a:pt x="4241876" y="0"/>
                              </a:lnTo>
                              <a:lnTo>
                                <a:pt x="3676218" y="0"/>
                              </a:lnTo>
                              <a:lnTo>
                                <a:pt x="3676218" y="12179"/>
                              </a:lnTo>
                              <a:lnTo>
                                <a:pt x="4241876" y="12179"/>
                              </a:lnTo>
                              <a:lnTo>
                                <a:pt x="4251071" y="12179"/>
                              </a:lnTo>
                              <a:lnTo>
                                <a:pt x="4254055" y="12179"/>
                              </a:lnTo>
                              <a:lnTo>
                                <a:pt x="4254055" y="0"/>
                              </a:lnTo>
                              <a:close/>
                            </a:path>
                            <a:path w="8035925" h="12700">
                              <a:moveTo>
                                <a:pt x="8035366" y="0"/>
                              </a:moveTo>
                              <a:lnTo>
                                <a:pt x="5262956" y="0"/>
                              </a:lnTo>
                              <a:lnTo>
                                <a:pt x="5259908" y="0"/>
                              </a:lnTo>
                              <a:lnTo>
                                <a:pt x="5250764" y="0"/>
                              </a:lnTo>
                              <a:lnTo>
                                <a:pt x="4254068" y="0"/>
                              </a:lnTo>
                              <a:lnTo>
                                <a:pt x="4254068" y="12179"/>
                              </a:lnTo>
                              <a:lnTo>
                                <a:pt x="5250764" y="12179"/>
                              </a:lnTo>
                              <a:lnTo>
                                <a:pt x="5259908" y="12179"/>
                              </a:lnTo>
                              <a:lnTo>
                                <a:pt x="5262956" y="12179"/>
                              </a:lnTo>
                              <a:lnTo>
                                <a:pt x="8035366" y="12179"/>
                              </a:lnTo>
                              <a:lnTo>
                                <a:pt x="80353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664001pt;margin-top:14.300005pt;width:632.75pt;height:1pt;mso-position-horizontal-relative:page;mso-position-vertical-relative:paragraph;z-index:-15701504;mso-wrap-distance-left:0;mso-wrap-distance-right:0" id="docshape118" coordorigin="1973,286" coordsize="12655,20" path="m5451,286l5446,286,5432,286,4287,286,4282,286,4268,286,1973,286,1973,305,4268,305,4282,305,4287,305,5432,305,5446,305,5451,305,5451,286xm7763,286l7758,286,7743,286,6625,286,6620,286,6606,286,5451,286,5451,305,6606,305,6620,305,6625,305,7743,305,7758,305,7763,305,7763,286xm8673,286l8668,286,8653,286,7763,286,7763,305,8653,305,8668,305,8673,305,8673,286xm14627,286l10261,286,10257,286,10242,286,8673,286,8673,305,10242,305,10257,305,10261,305,14627,305,14627,286xe" filled="true" fillcolor="#000000" stroked="false">
                <v:path arrowok="t"/>
                <v:fill type="solid"/>
                <w10:wrap type="topAndBottom"/>
              </v:shape>
            </w:pict>
          </mc:Fallback>
        </mc:AlternateContent>
      </w:r>
    </w:p>
    <w:p>
      <w:pPr>
        <w:spacing w:after="0"/>
        <w:rPr>
          <w:sz w:val="20"/>
        </w:rPr>
        <w:sectPr>
          <w:footerReference w:type="default" r:id="rId58"/>
          <w:pgSz w:w="15840" w:h="12240" w:orient="landscape"/>
          <w:pgMar w:header="0" w:footer="1068" w:top="1340" w:bottom="1260" w:left="1860" w:right="1100"/>
        </w:sectPr>
      </w:pPr>
    </w:p>
    <w:p>
      <w:pPr>
        <w:pStyle w:val="BodyText"/>
        <w:spacing w:line="480" w:lineRule="auto" w:before="63"/>
        <w:ind w:left="267" w:right="108"/>
        <w:jc w:val="both"/>
      </w:pPr>
      <w:r>
        <w:rPr/>
        <w:t>With respect to areas of improvement, it is obvious from the situation matrix that, the use component which is a yardstick for efficiency in water use requires improvement in all the eight (8) neighbourhoods of the study area. Moreover, the three (3) neighbourhoods of F- Layout, Saukakahuta and Tudun-Fulani need improvement in resource, use and access component whereas Kpakugu and Maitumbi require improvement in access and use. Generally, improvements in all the water poverty components would also be advantageous to all the eight (8) neighbourhoods.</w:t>
      </w:r>
    </w:p>
    <w:p>
      <w:pPr>
        <w:pStyle w:val="BodyText"/>
        <w:spacing w:before="1"/>
      </w:pPr>
    </w:p>
    <w:p>
      <w:pPr>
        <w:pStyle w:val="BodyText"/>
        <w:spacing w:line="480" w:lineRule="auto"/>
        <w:ind w:left="267" w:right="106"/>
        <w:jc w:val="both"/>
      </w:pPr>
      <w:r>
        <w:rPr/>
        <w:t>In terms of prioritization, Table 4.28 presents the priority of water poverty component by neighbourhood (The priority</w:t>
      </w:r>
      <w:r>
        <w:rPr>
          <w:spacing w:val="-2"/>
        </w:rPr>
        <w:t> </w:t>
      </w:r>
      <w:r>
        <w:rPr/>
        <w:t>level is determined by considering the improvement areas vis- à-vis</w:t>
      </w:r>
      <w:r>
        <w:rPr>
          <w:spacing w:val="-14"/>
        </w:rPr>
        <w:t> </w:t>
      </w:r>
      <w:r>
        <w:rPr/>
        <w:t>the</w:t>
      </w:r>
      <w:r>
        <w:rPr>
          <w:spacing w:val="-15"/>
        </w:rPr>
        <w:t> </w:t>
      </w:r>
      <w:r>
        <w:rPr/>
        <w:t>water</w:t>
      </w:r>
      <w:r>
        <w:rPr>
          <w:spacing w:val="-13"/>
        </w:rPr>
        <w:t> </w:t>
      </w:r>
      <w:r>
        <w:rPr/>
        <w:t>component</w:t>
      </w:r>
      <w:r>
        <w:rPr>
          <w:spacing w:val="-14"/>
        </w:rPr>
        <w:t> </w:t>
      </w:r>
      <w:r>
        <w:rPr/>
        <w:t>ranks</w:t>
      </w:r>
      <w:r>
        <w:rPr>
          <w:spacing w:val="-13"/>
        </w:rPr>
        <w:t> </w:t>
      </w:r>
      <w:r>
        <w:rPr/>
        <w:t>as</w:t>
      </w:r>
      <w:r>
        <w:rPr>
          <w:spacing w:val="-14"/>
        </w:rPr>
        <w:t> </w:t>
      </w:r>
      <w:r>
        <w:rPr/>
        <w:t>shown</w:t>
      </w:r>
      <w:r>
        <w:rPr>
          <w:spacing w:val="-13"/>
        </w:rPr>
        <w:t> </w:t>
      </w:r>
      <w:r>
        <w:rPr/>
        <w:t>in</w:t>
      </w:r>
      <w:r>
        <w:rPr>
          <w:spacing w:val="-14"/>
        </w:rPr>
        <w:t> </w:t>
      </w:r>
      <w:r>
        <w:rPr/>
        <w:t>column</w:t>
      </w:r>
      <w:r>
        <w:rPr>
          <w:spacing w:val="-14"/>
        </w:rPr>
        <w:t> </w:t>
      </w:r>
      <w:r>
        <w:rPr/>
        <w:t>3</w:t>
      </w:r>
      <w:r>
        <w:rPr>
          <w:spacing w:val="-14"/>
        </w:rPr>
        <w:t> </w:t>
      </w:r>
      <w:r>
        <w:rPr/>
        <w:t>of</w:t>
      </w:r>
      <w:r>
        <w:rPr>
          <w:spacing w:val="-14"/>
        </w:rPr>
        <w:t> </w:t>
      </w:r>
      <w:r>
        <w:rPr/>
        <w:t>Table</w:t>
      </w:r>
      <w:r>
        <w:rPr>
          <w:spacing w:val="-15"/>
        </w:rPr>
        <w:t> </w:t>
      </w:r>
      <w:r>
        <w:rPr/>
        <w:t>4.28).</w:t>
      </w:r>
      <w:r>
        <w:rPr>
          <w:spacing w:val="-12"/>
        </w:rPr>
        <w:t> </w:t>
      </w:r>
      <w:r>
        <w:rPr/>
        <w:t>As</w:t>
      </w:r>
      <w:r>
        <w:rPr>
          <w:spacing w:val="-15"/>
        </w:rPr>
        <w:t> </w:t>
      </w:r>
      <w:r>
        <w:rPr/>
        <w:t>shown</w:t>
      </w:r>
      <w:r>
        <w:rPr>
          <w:spacing w:val="-15"/>
        </w:rPr>
        <w:t> </w:t>
      </w:r>
      <w:r>
        <w:rPr/>
        <w:t>in</w:t>
      </w:r>
      <w:r>
        <w:rPr>
          <w:spacing w:val="-14"/>
        </w:rPr>
        <w:t> </w:t>
      </w:r>
      <w:r>
        <w:rPr/>
        <w:t>the</w:t>
      </w:r>
      <w:r>
        <w:rPr>
          <w:spacing w:val="-15"/>
        </w:rPr>
        <w:t> </w:t>
      </w:r>
      <w:r>
        <w:rPr/>
        <w:t>Table, the highest priority should be given to improving use component in all the neighbourhoods as water use have been found to be very</w:t>
      </w:r>
      <w:r>
        <w:rPr>
          <w:spacing w:val="-2"/>
        </w:rPr>
        <w:t> </w:t>
      </w:r>
      <w:r>
        <w:rPr/>
        <w:t>poor. Access requires second level priority</w:t>
      </w:r>
      <w:r>
        <w:rPr>
          <w:spacing w:val="-2"/>
        </w:rPr>
        <w:t> </w:t>
      </w:r>
      <w:r>
        <w:rPr/>
        <w:t>in term of water improvement and it will be beneficial to F-Layout, Kpakungu, Maitumbi, Saukakahuta and Tudun-Fulanir. Resource is the third priority area for attention and is required in F-Layout, Saukakahuta and Tudun-Fulani. This finding implied that F-Layout, Saukakahuta and Tudun/Fulani have the same water priority in terms of improvement and that in descending order highest priorities should be given to use, access and resource. Similarly, Kpakungu and Maitumbi, have similar water priorities and improvement should focus on use followed by access in these neighborhoods.</w:t>
      </w:r>
    </w:p>
    <w:p>
      <w:pPr>
        <w:pStyle w:val="BodyText"/>
        <w:spacing w:before="9"/>
      </w:pPr>
    </w:p>
    <w:p>
      <w:pPr>
        <w:pStyle w:val="Heading1"/>
        <w:numPr>
          <w:ilvl w:val="1"/>
          <w:numId w:val="10"/>
        </w:numPr>
        <w:tabs>
          <w:tab w:pos="1047" w:val="left" w:leader="none"/>
        </w:tabs>
        <w:spacing w:line="240" w:lineRule="auto" w:before="0" w:after="0"/>
        <w:ind w:left="1047" w:right="0" w:hanging="780"/>
        <w:jc w:val="left"/>
      </w:pPr>
      <w:r>
        <w:rPr/>
        <w:t>Comparison</w:t>
      </w:r>
      <w:r>
        <w:rPr>
          <w:spacing w:val="-2"/>
        </w:rPr>
        <w:t> </w:t>
      </w:r>
      <w:r>
        <w:rPr/>
        <w:t>of Water</w:t>
      </w:r>
      <w:r>
        <w:rPr>
          <w:spacing w:val="-3"/>
        </w:rPr>
        <w:t> </w:t>
      </w:r>
      <w:r>
        <w:rPr/>
        <w:t>Poverty</w:t>
      </w:r>
      <w:r>
        <w:rPr>
          <w:spacing w:val="-2"/>
        </w:rPr>
        <w:t> </w:t>
      </w:r>
      <w:r>
        <w:rPr>
          <w:spacing w:val="-4"/>
        </w:rPr>
        <w:t>Index</w:t>
      </w:r>
    </w:p>
    <w:p>
      <w:pPr>
        <w:pStyle w:val="BodyText"/>
        <w:spacing w:before="14"/>
        <w:rPr>
          <w:b/>
        </w:rPr>
      </w:pPr>
    </w:p>
    <w:p>
      <w:pPr>
        <w:pStyle w:val="BodyText"/>
        <w:spacing w:line="480" w:lineRule="auto"/>
        <w:ind w:left="267" w:right="108"/>
        <w:jc w:val="both"/>
      </w:pPr>
      <w:r>
        <w:rPr/>
        <w:t>This section provides a comparison of the leve`l of water poverty</w:t>
      </w:r>
      <w:r>
        <w:rPr>
          <w:spacing w:val="-4"/>
        </w:rPr>
        <w:t> </w:t>
      </w:r>
      <w:r>
        <w:rPr/>
        <w:t>in neighbourhoods within public water mains to neighbourhoods partly outside the public water mains</w:t>
      </w:r>
    </w:p>
    <w:p>
      <w:pPr>
        <w:spacing w:after="0" w:line="480" w:lineRule="auto"/>
        <w:jc w:val="both"/>
        <w:sectPr>
          <w:footerReference w:type="default" r:id="rId59"/>
          <w:pgSz w:w="12240" w:h="15840"/>
          <w:pgMar w:header="0" w:footer="1068" w:top="1340" w:bottom="1260" w:left="1720" w:right="1300"/>
          <w:pgNumType w:start="157"/>
        </w:sectPr>
      </w:pPr>
    </w:p>
    <w:p>
      <w:pPr>
        <w:pStyle w:val="Heading1"/>
        <w:numPr>
          <w:ilvl w:val="2"/>
          <w:numId w:val="10"/>
        </w:numPr>
        <w:tabs>
          <w:tab w:pos="841" w:val="left" w:leader="none"/>
        </w:tabs>
        <w:spacing w:line="360" w:lineRule="auto" w:before="70" w:after="0"/>
        <w:ind w:left="267" w:right="112" w:firstLine="0"/>
        <w:jc w:val="both"/>
      </w:pPr>
      <w:r>
        <w:rPr/>
        <w:t>WPI of neighbourhoods within public manis vs wpi of neighbourhoods partly outside public mains</w:t>
      </w:r>
    </w:p>
    <w:p>
      <w:pPr>
        <w:pStyle w:val="BodyText"/>
        <w:spacing w:line="480" w:lineRule="auto" w:before="154"/>
        <w:ind w:left="267" w:right="104"/>
        <w:jc w:val="both"/>
      </w:pPr>
      <w:r>
        <w:rPr/>
        <w:t>The difference in the water poverty index for the two categories of neighbourhoods was analysed</w:t>
      </w:r>
      <w:r>
        <w:rPr>
          <w:spacing w:val="-8"/>
        </w:rPr>
        <w:t> </w:t>
      </w:r>
      <w:r>
        <w:rPr/>
        <w:t>using</w:t>
      </w:r>
      <w:r>
        <w:rPr>
          <w:spacing w:val="-10"/>
        </w:rPr>
        <w:t> </w:t>
      </w:r>
      <w:r>
        <w:rPr/>
        <w:t>the</w:t>
      </w:r>
      <w:r>
        <w:rPr>
          <w:spacing w:val="-8"/>
        </w:rPr>
        <w:t> </w:t>
      </w:r>
      <w:r>
        <w:rPr/>
        <w:t>independent</w:t>
      </w:r>
      <w:r>
        <w:rPr>
          <w:spacing w:val="-8"/>
        </w:rPr>
        <w:t> </w:t>
      </w:r>
      <w:r>
        <w:rPr/>
        <w:t>T-test</w:t>
      </w:r>
      <w:r>
        <w:rPr>
          <w:spacing w:val="-8"/>
        </w:rPr>
        <w:t> </w:t>
      </w:r>
      <w:r>
        <w:rPr/>
        <w:t>as</w:t>
      </w:r>
      <w:r>
        <w:rPr>
          <w:spacing w:val="-8"/>
        </w:rPr>
        <w:t> </w:t>
      </w:r>
      <w:r>
        <w:rPr/>
        <w:t>shown</w:t>
      </w:r>
      <w:r>
        <w:rPr>
          <w:spacing w:val="-8"/>
        </w:rPr>
        <w:t> </w:t>
      </w:r>
      <w:r>
        <w:rPr/>
        <w:t>in</w:t>
      </w:r>
      <w:r>
        <w:rPr>
          <w:spacing w:val="-6"/>
        </w:rPr>
        <w:t> </w:t>
      </w:r>
      <w:r>
        <w:rPr/>
        <w:t>Table</w:t>
      </w:r>
      <w:r>
        <w:rPr>
          <w:spacing w:val="-8"/>
        </w:rPr>
        <w:t> </w:t>
      </w:r>
      <w:r>
        <w:rPr/>
        <w:t>4.29a</w:t>
      </w:r>
      <w:r>
        <w:rPr>
          <w:spacing w:val="-8"/>
        </w:rPr>
        <w:t> </w:t>
      </w:r>
      <w:r>
        <w:rPr/>
        <w:t>and</w:t>
      </w:r>
      <w:r>
        <w:rPr>
          <w:spacing w:val="-6"/>
        </w:rPr>
        <w:t> </w:t>
      </w:r>
      <w:r>
        <w:rPr/>
        <w:t>Table</w:t>
      </w:r>
      <w:r>
        <w:rPr>
          <w:spacing w:val="-8"/>
        </w:rPr>
        <w:t> </w:t>
      </w:r>
      <w:r>
        <w:rPr/>
        <w:t>4.29b</w:t>
      </w:r>
      <w:r>
        <w:rPr>
          <w:spacing w:val="-8"/>
        </w:rPr>
        <w:t> </w:t>
      </w:r>
      <w:r>
        <w:rPr/>
        <w:t>respectively. The result of the independent T-test for the samples indicated difference between the mean water</w:t>
      </w:r>
      <w:r>
        <w:rPr>
          <w:spacing w:val="-12"/>
        </w:rPr>
        <w:t> </w:t>
      </w:r>
      <w:r>
        <w:rPr/>
        <w:t>poverty</w:t>
      </w:r>
      <w:r>
        <w:rPr>
          <w:spacing w:val="-15"/>
        </w:rPr>
        <w:t> </w:t>
      </w:r>
      <w:r>
        <w:rPr/>
        <w:t>index</w:t>
      </w:r>
      <w:r>
        <w:rPr>
          <w:spacing w:val="-9"/>
        </w:rPr>
        <w:t> </w:t>
      </w:r>
      <w:r>
        <w:rPr/>
        <w:t>(WPI)</w:t>
      </w:r>
      <w:r>
        <w:rPr>
          <w:spacing w:val="-11"/>
        </w:rPr>
        <w:t> </w:t>
      </w:r>
      <w:r>
        <w:rPr/>
        <w:t>of</w:t>
      </w:r>
      <w:r>
        <w:rPr>
          <w:spacing w:val="-11"/>
        </w:rPr>
        <w:t> </w:t>
      </w:r>
      <w:r>
        <w:rPr/>
        <w:t>neighbourhoods</w:t>
      </w:r>
      <w:r>
        <w:rPr>
          <w:spacing w:val="-10"/>
        </w:rPr>
        <w:t> </w:t>
      </w:r>
      <w:r>
        <w:rPr/>
        <w:t>within</w:t>
      </w:r>
      <w:r>
        <w:rPr>
          <w:spacing w:val="-10"/>
        </w:rPr>
        <w:t> </w:t>
      </w:r>
      <w:r>
        <w:rPr/>
        <w:t>the</w:t>
      </w:r>
      <w:r>
        <w:rPr>
          <w:spacing w:val="-11"/>
        </w:rPr>
        <w:t> </w:t>
      </w:r>
      <w:r>
        <w:rPr/>
        <w:t>public</w:t>
      </w:r>
      <w:r>
        <w:rPr>
          <w:spacing w:val="-14"/>
        </w:rPr>
        <w:t> </w:t>
      </w:r>
      <w:r>
        <w:rPr/>
        <w:t>water</w:t>
      </w:r>
      <w:r>
        <w:rPr>
          <w:spacing w:val="-12"/>
        </w:rPr>
        <w:t> </w:t>
      </w:r>
      <w:r>
        <w:rPr/>
        <w:t>mains</w:t>
      </w:r>
      <w:r>
        <w:rPr>
          <w:spacing w:val="-10"/>
        </w:rPr>
        <w:t> </w:t>
      </w:r>
      <w:r>
        <w:rPr/>
        <w:t>and</w:t>
      </w:r>
      <w:r>
        <w:rPr>
          <w:spacing w:val="-11"/>
        </w:rPr>
        <w:t> </w:t>
      </w:r>
      <w:r>
        <w:rPr/>
        <w:t>those</w:t>
      </w:r>
      <w:r>
        <w:rPr>
          <w:spacing w:val="-11"/>
        </w:rPr>
        <w:t> </w:t>
      </w:r>
      <w:r>
        <w:rPr/>
        <w:t>partly outside the public water mains. The analysis revealed that t (357) = 2.982, p =0.003.</w:t>
      </w:r>
    </w:p>
    <w:p>
      <w:pPr>
        <w:spacing w:after="0" w:line="480" w:lineRule="auto"/>
        <w:jc w:val="both"/>
        <w:sectPr>
          <w:pgSz w:w="12240" w:h="15840"/>
          <w:pgMar w:header="0" w:footer="1068" w:top="1340" w:bottom="1260" w:left="1720" w:right="1300"/>
        </w:sectPr>
      </w:pPr>
    </w:p>
    <w:p>
      <w:pPr>
        <w:spacing w:before="68" w:after="4"/>
        <w:ind w:left="107" w:right="0" w:firstLine="0"/>
        <w:jc w:val="left"/>
        <w:rPr>
          <w:b/>
          <w:sz w:val="24"/>
        </w:rPr>
      </w:pPr>
      <w:r>
        <w:rPr>
          <w:b/>
          <w:sz w:val="24"/>
        </w:rPr>
        <w:t>Table</w:t>
      </w:r>
      <w:r>
        <w:rPr>
          <w:b/>
          <w:spacing w:val="-2"/>
          <w:sz w:val="24"/>
        </w:rPr>
        <w:t> </w:t>
      </w:r>
      <w:r>
        <w:rPr>
          <w:b/>
          <w:sz w:val="24"/>
        </w:rPr>
        <w:t>4.28:</w:t>
      </w:r>
      <w:r>
        <w:rPr>
          <w:b/>
          <w:spacing w:val="-3"/>
          <w:sz w:val="24"/>
        </w:rPr>
        <w:t> </w:t>
      </w:r>
      <w:r>
        <w:rPr>
          <w:b/>
          <w:sz w:val="24"/>
        </w:rPr>
        <w:t>Prioritization</w:t>
      </w:r>
      <w:r>
        <w:rPr>
          <w:b/>
          <w:spacing w:val="-2"/>
          <w:sz w:val="24"/>
        </w:rPr>
        <w:t> </w:t>
      </w:r>
      <w:r>
        <w:rPr>
          <w:b/>
          <w:sz w:val="24"/>
        </w:rPr>
        <w:t>of</w:t>
      </w:r>
      <w:r>
        <w:rPr>
          <w:b/>
          <w:spacing w:val="-1"/>
          <w:sz w:val="24"/>
        </w:rPr>
        <w:t> </w:t>
      </w:r>
      <w:r>
        <w:rPr>
          <w:b/>
          <w:sz w:val="24"/>
        </w:rPr>
        <w:t>Water</w:t>
      </w:r>
      <w:r>
        <w:rPr>
          <w:b/>
          <w:spacing w:val="-2"/>
          <w:sz w:val="24"/>
        </w:rPr>
        <w:t> </w:t>
      </w:r>
      <w:r>
        <w:rPr>
          <w:b/>
          <w:sz w:val="24"/>
        </w:rPr>
        <w:t>Poverty</w:t>
      </w:r>
      <w:r>
        <w:rPr>
          <w:b/>
          <w:spacing w:val="-2"/>
          <w:sz w:val="24"/>
        </w:rPr>
        <w:t> </w:t>
      </w:r>
      <w:r>
        <w:rPr>
          <w:b/>
          <w:sz w:val="24"/>
        </w:rPr>
        <w:t>Component</w:t>
      </w:r>
      <w:r>
        <w:rPr>
          <w:b/>
          <w:spacing w:val="-2"/>
          <w:sz w:val="24"/>
        </w:rPr>
        <w:t> </w:t>
      </w:r>
      <w:r>
        <w:rPr>
          <w:b/>
          <w:sz w:val="24"/>
        </w:rPr>
        <w:t>for</w:t>
      </w:r>
      <w:r>
        <w:rPr>
          <w:b/>
          <w:spacing w:val="-2"/>
          <w:sz w:val="24"/>
        </w:rPr>
        <w:t> Neighbourhood</w: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6"/>
        <w:gridCol w:w="5740"/>
        <w:gridCol w:w="1218"/>
        <w:gridCol w:w="1933"/>
        <w:gridCol w:w="1814"/>
      </w:tblGrid>
      <w:tr>
        <w:trPr>
          <w:trHeight w:val="1103" w:hRule="atLeast"/>
        </w:trPr>
        <w:tc>
          <w:tcPr>
            <w:tcW w:w="2066"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Neighbourhoods</w:t>
            </w:r>
          </w:p>
        </w:tc>
        <w:tc>
          <w:tcPr>
            <w:tcW w:w="5740" w:type="dxa"/>
            <w:tcBorders>
              <w:top w:val="single" w:sz="8" w:space="0" w:color="000000"/>
              <w:bottom w:val="single" w:sz="8" w:space="0" w:color="000000"/>
            </w:tcBorders>
          </w:tcPr>
          <w:p>
            <w:pPr>
              <w:pStyle w:val="TableParagraph"/>
              <w:spacing w:line="272" w:lineRule="exact"/>
              <w:ind w:left="141"/>
              <w:jc w:val="center"/>
              <w:rPr>
                <w:b/>
                <w:sz w:val="24"/>
              </w:rPr>
            </w:pPr>
            <w:r>
              <w:rPr>
                <w:b/>
                <w:sz w:val="24"/>
              </w:rPr>
              <w:t>Water</w:t>
            </w:r>
            <w:r>
              <w:rPr>
                <w:b/>
                <w:spacing w:val="-4"/>
                <w:sz w:val="24"/>
              </w:rPr>
              <w:t> </w:t>
            </w:r>
            <w:r>
              <w:rPr>
                <w:b/>
                <w:sz w:val="24"/>
              </w:rPr>
              <w:t>Poverty</w:t>
            </w:r>
            <w:r>
              <w:rPr>
                <w:b/>
                <w:spacing w:val="-3"/>
                <w:sz w:val="24"/>
              </w:rPr>
              <w:t> </w:t>
            </w:r>
            <w:r>
              <w:rPr>
                <w:b/>
                <w:sz w:val="24"/>
              </w:rPr>
              <w:t>Component</w:t>
            </w:r>
            <w:r>
              <w:rPr>
                <w:b/>
                <w:spacing w:val="-2"/>
                <w:sz w:val="24"/>
              </w:rPr>
              <w:t> Ranks</w:t>
            </w:r>
          </w:p>
        </w:tc>
        <w:tc>
          <w:tcPr>
            <w:tcW w:w="1218" w:type="dxa"/>
            <w:tcBorders>
              <w:top w:val="single" w:sz="8" w:space="0" w:color="000000"/>
              <w:bottom w:val="single" w:sz="8" w:space="0" w:color="000000"/>
            </w:tcBorders>
          </w:tcPr>
          <w:p>
            <w:pPr>
              <w:pStyle w:val="TableParagraph"/>
              <w:spacing w:line="272" w:lineRule="exact"/>
              <w:ind w:left="54"/>
              <w:jc w:val="center"/>
              <w:rPr>
                <w:b/>
                <w:sz w:val="24"/>
              </w:rPr>
            </w:pPr>
            <w:r>
              <w:rPr>
                <w:b/>
                <w:spacing w:val="-2"/>
                <w:sz w:val="24"/>
              </w:rPr>
              <w:t>First</w:t>
            </w:r>
          </w:p>
          <w:p>
            <w:pPr>
              <w:pStyle w:val="TableParagraph"/>
              <w:rPr>
                <w:b/>
                <w:sz w:val="24"/>
              </w:rPr>
            </w:pPr>
          </w:p>
          <w:p>
            <w:pPr>
              <w:pStyle w:val="TableParagraph"/>
              <w:ind w:left="54" w:right="1"/>
              <w:jc w:val="center"/>
              <w:rPr>
                <w:b/>
                <w:sz w:val="24"/>
              </w:rPr>
            </w:pPr>
            <w:r>
              <w:rPr>
                <w:b/>
                <w:spacing w:val="-2"/>
                <w:sz w:val="24"/>
              </w:rPr>
              <w:t>Priority</w:t>
            </w:r>
          </w:p>
        </w:tc>
        <w:tc>
          <w:tcPr>
            <w:tcW w:w="1933" w:type="dxa"/>
            <w:tcBorders>
              <w:top w:val="single" w:sz="8" w:space="0" w:color="000000"/>
              <w:bottom w:val="single" w:sz="8" w:space="0" w:color="000000"/>
            </w:tcBorders>
          </w:tcPr>
          <w:p>
            <w:pPr>
              <w:pStyle w:val="TableParagraph"/>
              <w:spacing w:line="272" w:lineRule="exact"/>
              <w:ind w:left="23" w:right="7"/>
              <w:jc w:val="center"/>
              <w:rPr>
                <w:b/>
                <w:sz w:val="24"/>
              </w:rPr>
            </w:pPr>
            <w:r>
              <w:rPr>
                <w:b/>
                <w:sz w:val="24"/>
              </w:rPr>
              <w:t>Second</w:t>
            </w:r>
            <w:r>
              <w:rPr>
                <w:b/>
                <w:spacing w:val="-2"/>
                <w:sz w:val="24"/>
              </w:rPr>
              <w:t> Priority</w:t>
            </w:r>
          </w:p>
        </w:tc>
        <w:tc>
          <w:tcPr>
            <w:tcW w:w="1814" w:type="dxa"/>
            <w:tcBorders>
              <w:top w:val="single" w:sz="8" w:space="0" w:color="000000"/>
              <w:bottom w:val="single" w:sz="8" w:space="0" w:color="000000"/>
            </w:tcBorders>
          </w:tcPr>
          <w:p>
            <w:pPr>
              <w:pStyle w:val="TableParagraph"/>
              <w:spacing w:line="272" w:lineRule="exact"/>
              <w:ind w:right="38"/>
              <w:jc w:val="center"/>
              <w:rPr>
                <w:b/>
                <w:sz w:val="24"/>
              </w:rPr>
            </w:pPr>
            <w:r>
              <w:rPr>
                <w:b/>
                <w:sz w:val="24"/>
              </w:rPr>
              <w:t>Third </w:t>
            </w:r>
            <w:r>
              <w:rPr>
                <w:b/>
                <w:spacing w:val="-2"/>
                <w:sz w:val="24"/>
              </w:rPr>
              <w:t>Priority</w:t>
            </w:r>
          </w:p>
        </w:tc>
      </w:tr>
      <w:tr>
        <w:trPr>
          <w:trHeight w:val="422" w:hRule="atLeast"/>
        </w:trPr>
        <w:tc>
          <w:tcPr>
            <w:tcW w:w="2066" w:type="dxa"/>
            <w:tcBorders>
              <w:top w:val="single" w:sz="8" w:space="0" w:color="000000"/>
            </w:tcBorders>
          </w:tcPr>
          <w:p>
            <w:pPr>
              <w:pStyle w:val="TableParagraph"/>
              <w:spacing w:line="275" w:lineRule="exact"/>
              <w:ind w:left="115"/>
              <w:rPr>
                <w:b/>
                <w:sz w:val="24"/>
              </w:rPr>
            </w:pPr>
            <w:r>
              <w:rPr>
                <w:b/>
                <w:spacing w:val="-2"/>
                <w:sz w:val="24"/>
              </w:rPr>
              <w:t>Dutsenkura</w:t>
            </w:r>
          </w:p>
        </w:tc>
        <w:tc>
          <w:tcPr>
            <w:tcW w:w="5740" w:type="dxa"/>
            <w:tcBorders>
              <w:top w:val="single" w:sz="8" w:space="0" w:color="000000"/>
            </w:tcBorders>
          </w:tcPr>
          <w:p>
            <w:pPr>
              <w:pStyle w:val="TableParagraph"/>
              <w:spacing w:line="279" w:lineRule="exact"/>
              <w:ind w:left="141" w:right="119"/>
              <w:jc w:val="center"/>
              <w:rPr>
                <w:sz w:val="24"/>
              </w:rPr>
            </w:pPr>
            <w:r>
              <w:rPr>
                <w:sz w:val="24"/>
              </w:rPr>
              <w:t>Environment </w:t>
            </w:r>
            <w:r>
              <w:rPr>
                <w:rFonts w:ascii="Cambria Math"/>
                <w:sz w:val="24"/>
              </w:rPr>
              <w:t>&gt;</w:t>
            </w:r>
            <w:r>
              <w:rPr>
                <w:rFonts w:ascii="Cambria Math"/>
                <w:spacing w:val="6"/>
                <w:sz w:val="24"/>
              </w:rPr>
              <w:t> </w:t>
            </w:r>
            <w:r>
              <w:rPr>
                <w:sz w:val="24"/>
              </w:rPr>
              <w:t>Resource </w:t>
            </w:r>
            <w:r>
              <w:rPr>
                <w:rFonts w:ascii="Cambria Math"/>
                <w:sz w:val="24"/>
              </w:rPr>
              <w:t>&gt;</w:t>
            </w:r>
            <w:r>
              <w:rPr>
                <w:rFonts w:ascii="Cambria Math"/>
                <w:spacing w:val="7"/>
                <w:sz w:val="24"/>
              </w:rPr>
              <w:t> </w:t>
            </w:r>
            <w:r>
              <w:rPr>
                <w:sz w:val="24"/>
              </w:rPr>
              <w:t>Capacity</w:t>
            </w:r>
            <w:r>
              <w:rPr>
                <w:spacing w:val="-3"/>
                <w:sz w:val="24"/>
              </w:rPr>
              <w:t> </w:t>
            </w:r>
            <w:r>
              <w:rPr>
                <w:rFonts w:ascii="Cambria Math"/>
                <w:sz w:val="24"/>
              </w:rPr>
              <w:t>&gt;</w:t>
            </w:r>
            <w:r>
              <w:rPr>
                <w:rFonts w:ascii="Cambria Math"/>
                <w:spacing w:val="6"/>
                <w:sz w:val="24"/>
              </w:rPr>
              <w:t> </w:t>
            </w:r>
            <w:r>
              <w:rPr>
                <w:sz w:val="24"/>
              </w:rPr>
              <w:t>Access</w:t>
            </w:r>
            <w:r>
              <w:rPr>
                <w:spacing w:val="2"/>
                <w:sz w:val="24"/>
              </w:rPr>
              <w:t> </w:t>
            </w:r>
            <w:r>
              <w:rPr>
                <w:rFonts w:ascii="Cambria Math"/>
                <w:sz w:val="24"/>
              </w:rPr>
              <w:t>&gt;</w:t>
            </w:r>
            <w:r>
              <w:rPr>
                <w:rFonts w:ascii="Cambria Math"/>
                <w:spacing w:val="7"/>
                <w:sz w:val="24"/>
              </w:rPr>
              <w:t> </w:t>
            </w:r>
            <w:r>
              <w:rPr>
                <w:spacing w:val="-5"/>
                <w:sz w:val="24"/>
              </w:rPr>
              <w:t>Use</w:t>
            </w:r>
          </w:p>
        </w:tc>
        <w:tc>
          <w:tcPr>
            <w:tcW w:w="1218" w:type="dxa"/>
            <w:tcBorders>
              <w:top w:val="single" w:sz="8" w:space="0" w:color="000000"/>
            </w:tcBorders>
          </w:tcPr>
          <w:p>
            <w:pPr>
              <w:pStyle w:val="TableParagraph"/>
              <w:spacing w:line="270" w:lineRule="exact"/>
              <w:ind w:left="54" w:right="2"/>
              <w:jc w:val="center"/>
              <w:rPr>
                <w:sz w:val="24"/>
              </w:rPr>
            </w:pPr>
            <w:r>
              <w:rPr>
                <w:spacing w:val="-5"/>
                <w:sz w:val="24"/>
              </w:rPr>
              <w:t>Use</w:t>
            </w:r>
          </w:p>
        </w:tc>
        <w:tc>
          <w:tcPr>
            <w:tcW w:w="1933" w:type="dxa"/>
            <w:tcBorders>
              <w:top w:val="single" w:sz="8" w:space="0" w:color="000000"/>
            </w:tcBorders>
          </w:tcPr>
          <w:p>
            <w:pPr>
              <w:pStyle w:val="TableParagraph"/>
              <w:spacing w:line="270" w:lineRule="exact"/>
              <w:ind w:left="23"/>
              <w:jc w:val="center"/>
              <w:rPr>
                <w:sz w:val="24"/>
              </w:rPr>
            </w:pPr>
            <w:r>
              <w:rPr>
                <w:spacing w:val="-5"/>
                <w:sz w:val="24"/>
              </w:rPr>
              <w:t>Nil</w:t>
            </w:r>
          </w:p>
        </w:tc>
        <w:tc>
          <w:tcPr>
            <w:tcW w:w="1814" w:type="dxa"/>
            <w:tcBorders>
              <w:top w:val="single" w:sz="8" w:space="0" w:color="000000"/>
            </w:tcBorders>
          </w:tcPr>
          <w:p>
            <w:pPr>
              <w:pStyle w:val="TableParagraph"/>
              <w:spacing w:line="270" w:lineRule="exact"/>
              <w:ind w:left="3" w:right="38"/>
              <w:jc w:val="center"/>
              <w:rPr>
                <w:sz w:val="24"/>
              </w:rPr>
            </w:pPr>
            <w:r>
              <w:rPr>
                <w:spacing w:val="-5"/>
                <w:sz w:val="24"/>
              </w:rPr>
              <w:t>Nil</w:t>
            </w:r>
          </w:p>
        </w:tc>
      </w:tr>
      <w:tr>
        <w:trPr>
          <w:trHeight w:val="561" w:hRule="atLeast"/>
        </w:trPr>
        <w:tc>
          <w:tcPr>
            <w:tcW w:w="2066" w:type="dxa"/>
          </w:tcPr>
          <w:p>
            <w:pPr>
              <w:pStyle w:val="TableParagraph"/>
              <w:spacing w:before="138"/>
              <w:ind w:left="115"/>
              <w:rPr>
                <w:b/>
                <w:sz w:val="24"/>
              </w:rPr>
            </w:pPr>
            <w:r>
              <w:rPr>
                <w:b/>
                <w:spacing w:val="-2"/>
                <w:sz w:val="24"/>
              </w:rPr>
              <w:t>F-Layout</w:t>
            </w:r>
          </w:p>
        </w:tc>
        <w:tc>
          <w:tcPr>
            <w:tcW w:w="5740" w:type="dxa"/>
          </w:tcPr>
          <w:p>
            <w:pPr>
              <w:pStyle w:val="TableParagraph"/>
              <w:spacing w:before="136"/>
              <w:ind w:left="141" w:right="121"/>
              <w:jc w:val="center"/>
              <w:rPr>
                <w:sz w:val="24"/>
              </w:rPr>
            </w:pPr>
            <w:r>
              <w:rPr>
                <w:sz w:val="24"/>
              </w:rPr>
              <w:t>Environment </w:t>
            </w:r>
            <w:r>
              <w:rPr>
                <w:rFonts w:ascii="Cambria Math"/>
                <w:sz w:val="24"/>
              </w:rPr>
              <w:t>&gt;</w:t>
            </w:r>
            <w:r>
              <w:rPr>
                <w:rFonts w:ascii="Cambria Math"/>
                <w:spacing w:val="6"/>
                <w:sz w:val="24"/>
              </w:rPr>
              <w:t> </w:t>
            </w:r>
            <w:r>
              <w:rPr>
                <w:sz w:val="24"/>
              </w:rPr>
              <w:t>Access</w:t>
            </w:r>
            <w:r>
              <w:rPr>
                <w:spacing w:val="-1"/>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Capacity</w:t>
            </w:r>
            <w:r>
              <w:rPr>
                <w:spacing w:val="-3"/>
                <w:sz w:val="24"/>
              </w:rPr>
              <w:t> </w:t>
            </w:r>
            <w:r>
              <w:rPr>
                <w:rFonts w:ascii="Cambria Math"/>
                <w:sz w:val="24"/>
              </w:rPr>
              <w:t>&gt;</w:t>
            </w:r>
            <w:r>
              <w:rPr>
                <w:rFonts w:ascii="Cambria Math"/>
                <w:spacing w:val="7"/>
                <w:sz w:val="24"/>
              </w:rPr>
              <w:t> </w:t>
            </w:r>
            <w:r>
              <w:rPr>
                <w:spacing w:val="-5"/>
                <w:sz w:val="24"/>
              </w:rPr>
              <w:t>Use</w:t>
            </w:r>
          </w:p>
        </w:tc>
        <w:tc>
          <w:tcPr>
            <w:tcW w:w="1218" w:type="dxa"/>
          </w:tcPr>
          <w:p>
            <w:pPr>
              <w:pStyle w:val="TableParagraph"/>
              <w:spacing w:before="133"/>
              <w:ind w:left="54" w:right="2"/>
              <w:jc w:val="center"/>
              <w:rPr>
                <w:sz w:val="24"/>
              </w:rPr>
            </w:pPr>
            <w:r>
              <w:rPr>
                <w:spacing w:val="-5"/>
                <w:sz w:val="24"/>
              </w:rPr>
              <w:t>Use</w:t>
            </w:r>
          </w:p>
        </w:tc>
        <w:tc>
          <w:tcPr>
            <w:tcW w:w="1933" w:type="dxa"/>
          </w:tcPr>
          <w:p>
            <w:pPr>
              <w:pStyle w:val="TableParagraph"/>
              <w:spacing w:before="133"/>
              <w:ind w:left="23" w:right="6"/>
              <w:jc w:val="center"/>
              <w:rPr>
                <w:sz w:val="24"/>
              </w:rPr>
            </w:pPr>
            <w:r>
              <w:rPr>
                <w:spacing w:val="-2"/>
                <w:sz w:val="24"/>
              </w:rPr>
              <w:t>Access</w:t>
            </w:r>
          </w:p>
        </w:tc>
        <w:tc>
          <w:tcPr>
            <w:tcW w:w="1814" w:type="dxa"/>
          </w:tcPr>
          <w:p>
            <w:pPr>
              <w:pStyle w:val="TableParagraph"/>
              <w:spacing w:before="133"/>
              <w:ind w:left="2" w:right="38"/>
              <w:jc w:val="center"/>
              <w:rPr>
                <w:sz w:val="24"/>
              </w:rPr>
            </w:pPr>
            <w:r>
              <w:rPr>
                <w:spacing w:val="-2"/>
                <w:sz w:val="24"/>
              </w:rPr>
              <w:t>Resource</w:t>
            </w:r>
          </w:p>
        </w:tc>
      </w:tr>
      <w:tr>
        <w:trPr>
          <w:trHeight w:val="563" w:hRule="atLeast"/>
        </w:trPr>
        <w:tc>
          <w:tcPr>
            <w:tcW w:w="2066" w:type="dxa"/>
          </w:tcPr>
          <w:p>
            <w:pPr>
              <w:pStyle w:val="TableParagraph"/>
              <w:spacing w:before="138"/>
              <w:ind w:left="115"/>
              <w:rPr>
                <w:b/>
                <w:sz w:val="24"/>
              </w:rPr>
            </w:pPr>
            <w:r>
              <w:rPr>
                <w:b/>
                <w:spacing w:val="-2"/>
                <w:sz w:val="24"/>
              </w:rPr>
              <w:t>Minna-Central</w:t>
            </w:r>
          </w:p>
        </w:tc>
        <w:tc>
          <w:tcPr>
            <w:tcW w:w="5740" w:type="dxa"/>
          </w:tcPr>
          <w:p>
            <w:pPr>
              <w:pStyle w:val="TableParagraph"/>
              <w:spacing w:before="137"/>
              <w:ind w:left="141" w:right="119"/>
              <w:jc w:val="center"/>
              <w:rPr>
                <w:sz w:val="24"/>
              </w:rPr>
            </w:pPr>
            <w:r>
              <w:rPr>
                <w:sz w:val="24"/>
              </w:rPr>
              <w:t>Capacity</w:t>
            </w:r>
            <w:r>
              <w:rPr>
                <w:spacing w:val="-3"/>
                <w:sz w:val="24"/>
              </w:rPr>
              <w:t> </w:t>
            </w:r>
            <w:r>
              <w:rPr>
                <w:rFonts w:ascii="Cambria Math"/>
                <w:sz w:val="24"/>
              </w:rPr>
              <w:t>&gt;</w:t>
            </w:r>
            <w:r>
              <w:rPr>
                <w:rFonts w:ascii="Cambria Math"/>
                <w:spacing w:val="7"/>
                <w:sz w:val="24"/>
              </w:rPr>
              <w:t> </w:t>
            </w:r>
            <w:r>
              <w:rPr>
                <w:sz w:val="24"/>
              </w:rPr>
              <w:t>Resource</w:t>
            </w:r>
            <w:r>
              <w:rPr>
                <w:spacing w:val="1"/>
                <w:sz w:val="24"/>
              </w:rPr>
              <w:t> </w:t>
            </w:r>
            <w:r>
              <w:rPr>
                <w:rFonts w:ascii="Cambria Math"/>
                <w:sz w:val="24"/>
              </w:rPr>
              <w:t>&gt;</w:t>
            </w:r>
            <w:r>
              <w:rPr>
                <w:rFonts w:ascii="Cambria Math"/>
                <w:spacing w:val="7"/>
                <w:sz w:val="24"/>
              </w:rPr>
              <w:t> </w:t>
            </w:r>
            <w:r>
              <w:rPr>
                <w:sz w:val="24"/>
              </w:rPr>
              <w:t>Access</w:t>
            </w:r>
            <w:r>
              <w:rPr>
                <w:spacing w:val="-1"/>
                <w:sz w:val="24"/>
              </w:rPr>
              <w:t> </w:t>
            </w:r>
            <w:r>
              <w:rPr>
                <w:rFonts w:ascii="Cambria Math"/>
                <w:sz w:val="24"/>
              </w:rPr>
              <w:t>&gt;</w:t>
            </w:r>
            <w:r>
              <w:rPr>
                <w:rFonts w:ascii="Cambria Math"/>
                <w:spacing w:val="7"/>
                <w:sz w:val="24"/>
              </w:rPr>
              <w:t> </w:t>
            </w:r>
            <w:r>
              <w:rPr>
                <w:sz w:val="24"/>
              </w:rPr>
              <w:t>Environment </w:t>
            </w:r>
            <w:r>
              <w:rPr>
                <w:rFonts w:ascii="Cambria Math"/>
                <w:sz w:val="24"/>
              </w:rPr>
              <w:t>&gt;</w:t>
            </w:r>
            <w:r>
              <w:rPr>
                <w:rFonts w:ascii="Cambria Math"/>
                <w:spacing w:val="7"/>
                <w:sz w:val="24"/>
              </w:rPr>
              <w:t> </w:t>
            </w:r>
            <w:r>
              <w:rPr>
                <w:spacing w:val="-5"/>
                <w:sz w:val="24"/>
              </w:rPr>
              <w:t>Use</w:t>
            </w:r>
          </w:p>
        </w:tc>
        <w:tc>
          <w:tcPr>
            <w:tcW w:w="1218" w:type="dxa"/>
          </w:tcPr>
          <w:p>
            <w:pPr>
              <w:pStyle w:val="TableParagraph"/>
              <w:spacing w:before="133"/>
              <w:ind w:left="54" w:right="2"/>
              <w:jc w:val="center"/>
              <w:rPr>
                <w:sz w:val="24"/>
              </w:rPr>
            </w:pPr>
            <w:r>
              <w:rPr>
                <w:spacing w:val="-5"/>
                <w:sz w:val="24"/>
              </w:rPr>
              <w:t>Use</w:t>
            </w:r>
          </w:p>
        </w:tc>
        <w:tc>
          <w:tcPr>
            <w:tcW w:w="1933" w:type="dxa"/>
          </w:tcPr>
          <w:p>
            <w:pPr>
              <w:pStyle w:val="TableParagraph"/>
              <w:spacing w:before="133"/>
              <w:ind w:left="23"/>
              <w:jc w:val="center"/>
              <w:rPr>
                <w:sz w:val="24"/>
              </w:rPr>
            </w:pPr>
            <w:r>
              <w:rPr>
                <w:spacing w:val="-5"/>
                <w:sz w:val="24"/>
              </w:rPr>
              <w:t>Nil</w:t>
            </w:r>
          </w:p>
        </w:tc>
        <w:tc>
          <w:tcPr>
            <w:tcW w:w="1814" w:type="dxa"/>
          </w:tcPr>
          <w:p>
            <w:pPr>
              <w:pStyle w:val="TableParagraph"/>
              <w:spacing w:before="133"/>
              <w:ind w:left="3" w:right="38"/>
              <w:jc w:val="center"/>
              <w:rPr>
                <w:sz w:val="24"/>
              </w:rPr>
            </w:pPr>
            <w:r>
              <w:rPr>
                <w:spacing w:val="-5"/>
                <w:sz w:val="24"/>
              </w:rPr>
              <w:t>Nil</w:t>
            </w:r>
          </w:p>
        </w:tc>
      </w:tr>
      <w:tr>
        <w:trPr>
          <w:trHeight w:val="1108" w:hRule="atLeast"/>
        </w:trPr>
        <w:tc>
          <w:tcPr>
            <w:tcW w:w="2066" w:type="dxa"/>
          </w:tcPr>
          <w:p>
            <w:pPr>
              <w:pStyle w:val="TableParagraph"/>
              <w:spacing w:before="139"/>
              <w:ind w:left="115"/>
              <w:rPr>
                <w:b/>
                <w:sz w:val="24"/>
              </w:rPr>
            </w:pPr>
            <w:r>
              <w:rPr>
                <w:b/>
                <w:spacing w:val="-2"/>
                <w:sz w:val="24"/>
              </w:rPr>
              <w:t>Tudun-</w:t>
            </w:r>
            <w:r>
              <w:rPr>
                <w:b/>
                <w:spacing w:val="-4"/>
                <w:sz w:val="24"/>
              </w:rPr>
              <w:t>Wada</w:t>
            </w:r>
          </w:p>
          <w:p>
            <w:pPr>
              <w:pStyle w:val="TableParagraph"/>
              <w:rPr>
                <w:b/>
                <w:sz w:val="24"/>
              </w:rPr>
            </w:pPr>
          </w:p>
          <w:p>
            <w:pPr>
              <w:pStyle w:val="TableParagraph"/>
              <w:ind w:left="115"/>
              <w:rPr>
                <w:b/>
                <w:sz w:val="24"/>
              </w:rPr>
            </w:pPr>
            <w:r>
              <w:rPr>
                <w:b/>
                <w:spacing w:val="-2"/>
                <w:sz w:val="24"/>
              </w:rPr>
              <w:t>South</w:t>
            </w:r>
          </w:p>
        </w:tc>
        <w:tc>
          <w:tcPr>
            <w:tcW w:w="5740" w:type="dxa"/>
          </w:tcPr>
          <w:p>
            <w:pPr>
              <w:pStyle w:val="TableParagraph"/>
              <w:spacing w:before="138"/>
              <w:ind w:left="141" w:right="119"/>
              <w:jc w:val="center"/>
              <w:rPr>
                <w:sz w:val="24"/>
              </w:rPr>
            </w:pPr>
            <w:r>
              <w:rPr>
                <w:sz w:val="24"/>
              </w:rPr>
              <w:t>Capacity</w:t>
            </w:r>
            <w:r>
              <w:rPr>
                <w:spacing w:val="-5"/>
                <w:sz w:val="24"/>
              </w:rPr>
              <w:t> </w:t>
            </w:r>
            <w:r>
              <w:rPr>
                <w:rFonts w:ascii="Cambria Math"/>
                <w:sz w:val="24"/>
              </w:rPr>
              <w:t>&gt;</w:t>
            </w:r>
            <w:r>
              <w:rPr>
                <w:rFonts w:ascii="Cambria Math"/>
                <w:spacing w:val="6"/>
                <w:sz w:val="24"/>
              </w:rPr>
              <w:t> </w:t>
            </w:r>
            <w:r>
              <w:rPr>
                <w:sz w:val="24"/>
              </w:rPr>
              <w:t>Environment</w:t>
            </w:r>
            <w:r>
              <w:rPr>
                <w:spacing w:val="2"/>
                <w:sz w:val="24"/>
              </w:rPr>
              <w:t> </w:t>
            </w:r>
            <w:r>
              <w:rPr>
                <w:rFonts w:ascii="Cambria Math"/>
                <w:sz w:val="24"/>
              </w:rPr>
              <w:t>&gt;</w:t>
            </w:r>
            <w:r>
              <w:rPr>
                <w:rFonts w:ascii="Cambria Math"/>
                <w:spacing w:val="6"/>
                <w:sz w:val="24"/>
              </w:rPr>
              <w:t> </w:t>
            </w:r>
            <w:r>
              <w:rPr>
                <w:sz w:val="24"/>
              </w:rPr>
              <w:t>Resource </w:t>
            </w:r>
            <w:r>
              <w:rPr>
                <w:rFonts w:ascii="Cambria Math"/>
                <w:sz w:val="24"/>
              </w:rPr>
              <w:t>&gt;</w:t>
            </w:r>
            <w:r>
              <w:rPr>
                <w:rFonts w:ascii="Cambria Math"/>
                <w:spacing w:val="6"/>
                <w:sz w:val="24"/>
              </w:rPr>
              <w:t> </w:t>
            </w:r>
            <w:r>
              <w:rPr>
                <w:sz w:val="24"/>
              </w:rPr>
              <w:t>Access</w:t>
            </w:r>
            <w:r>
              <w:rPr>
                <w:spacing w:val="1"/>
                <w:sz w:val="24"/>
              </w:rPr>
              <w:t> </w:t>
            </w:r>
            <w:r>
              <w:rPr>
                <w:rFonts w:ascii="Cambria Math"/>
                <w:sz w:val="24"/>
              </w:rPr>
              <w:t>&gt;</w:t>
            </w:r>
            <w:r>
              <w:rPr>
                <w:rFonts w:ascii="Cambria Math"/>
                <w:spacing w:val="6"/>
                <w:sz w:val="24"/>
              </w:rPr>
              <w:t> </w:t>
            </w:r>
            <w:r>
              <w:rPr>
                <w:spacing w:val="-5"/>
                <w:sz w:val="24"/>
              </w:rPr>
              <w:t>Use</w:t>
            </w:r>
          </w:p>
        </w:tc>
        <w:tc>
          <w:tcPr>
            <w:tcW w:w="1218" w:type="dxa"/>
          </w:tcPr>
          <w:p>
            <w:pPr>
              <w:pStyle w:val="TableParagraph"/>
              <w:spacing w:before="134"/>
              <w:ind w:left="54" w:right="2"/>
              <w:jc w:val="center"/>
              <w:rPr>
                <w:sz w:val="24"/>
              </w:rPr>
            </w:pPr>
            <w:r>
              <w:rPr>
                <w:spacing w:val="-5"/>
                <w:sz w:val="24"/>
              </w:rPr>
              <w:t>Use</w:t>
            </w:r>
          </w:p>
        </w:tc>
        <w:tc>
          <w:tcPr>
            <w:tcW w:w="1933" w:type="dxa"/>
          </w:tcPr>
          <w:p>
            <w:pPr>
              <w:pStyle w:val="TableParagraph"/>
              <w:spacing w:before="134"/>
              <w:ind w:left="23"/>
              <w:jc w:val="center"/>
              <w:rPr>
                <w:sz w:val="24"/>
              </w:rPr>
            </w:pPr>
            <w:r>
              <w:rPr>
                <w:spacing w:val="-5"/>
                <w:sz w:val="24"/>
              </w:rPr>
              <w:t>Nil</w:t>
            </w:r>
          </w:p>
        </w:tc>
        <w:tc>
          <w:tcPr>
            <w:tcW w:w="1814" w:type="dxa"/>
          </w:tcPr>
          <w:p>
            <w:pPr>
              <w:pStyle w:val="TableParagraph"/>
              <w:spacing w:before="134"/>
              <w:ind w:left="3" w:right="38"/>
              <w:jc w:val="center"/>
              <w:rPr>
                <w:sz w:val="24"/>
              </w:rPr>
            </w:pPr>
            <w:r>
              <w:rPr>
                <w:spacing w:val="-5"/>
                <w:sz w:val="24"/>
              </w:rPr>
              <w:t>Nil</w:t>
            </w:r>
          </w:p>
        </w:tc>
      </w:tr>
      <w:tr>
        <w:trPr>
          <w:trHeight w:val="558" w:hRule="atLeast"/>
        </w:trPr>
        <w:tc>
          <w:tcPr>
            <w:tcW w:w="2066" w:type="dxa"/>
          </w:tcPr>
          <w:p>
            <w:pPr>
              <w:pStyle w:val="TableParagraph"/>
              <w:spacing w:before="135"/>
              <w:ind w:left="115"/>
              <w:rPr>
                <w:b/>
                <w:sz w:val="24"/>
              </w:rPr>
            </w:pPr>
            <w:r>
              <w:rPr>
                <w:b/>
                <w:spacing w:val="-2"/>
                <w:sz w:val="24"/>
              </w:rPr>
              <w:t>Kpakungu</w:t>
            </w:r>
          </w:p>
        </w:tc>
        <w:tc>
          <w:tcPr>
            <w:tcW w:w="5740" w:type="dxa"/>
          </w:tcPr>
          <w:p>
            <w:pPr>
              <w:pStyle w:val="TableParagraph"/>
              <w:spacing w:before="133"/>
              <w:ind w:left="141" w:right="119"/>
              <w:jc w:val="center"/>
              <w:rPr>
                <w:sz w:val="24"/>
              </w:rPr>
            </w:pPr>
            <w:r>
              <w:rPr>
                <w:sz w:val="24"/>
              </w:rPr>
              <w:t>Capacity</w:t>
            </w:r>
            <w:r>
              <w:rPr>
                <w:spacing w:val="-3"/>
                <w:sz w:val="24"/>
              </w:rPr>
              <w:t> </w:t>
            </w:r>
            <w:r>
              <w:rPr>
                <w:rFonts w:ascii="Cambria Math"/>
                <w:sz w:val="24"/>
              </w:rPr>
              <w:t>&gt;</w:t>
            </w:r>
            <w:r>
              <w:rPr>
                <w:rFonts w:ascii="Cambria Math"/>
                <w:spacing w:val="6"/>
                <w:sz w:val="24"/>
              </w:rPr>
              <w:t> </w:t>
            </w:r>
            <w:r>
              <w:rPr>
                <w:sz w:val="24"/>
              </w:rPr>
              <w:t>Environment</w:t>
            </w:r>
            <w:r>
              <w:rPr>
                <w:spacing w:val="2"/>
                <w:sz w:val="24"/>
              </w:rPr>
              <w:t> </w:t>
            </w:r>
            <w:r>
              <w:rPr>
                <w:rFonts w:ascii="Cambria Math"/>
                <w:sz w:val="24"/>
              </w:rPr>
              <w:t>&gt;</w:t>
            </w:r>
            <w:r>
              <w:rPr>
                <w:rFonts w:ascii="Cambria Math"/>
                <w:spacing w:val="6"/>
                <w:sz w:val="24"/>
              </w:rPr>
              <w:t> </w:t>
            </w:r>
            <w:r>
              <w:rPr>
                <w:sz w:val="24"/>
              </w:rPr>
              <w:t>Resource </w:t>
            </w:r>
            <w:r>
              <w:rPr>
                <w:rFonts w:ascii="Cambria Math"/>
                <w:sz w:val="24"/>
              </w:rPr>
              <w:t>&gt;</w:t>
            </w:r>
            <w:r>
              <w:rPr>
                <w:rFonts w:ascii="Cambria Math"/>
                <w:spacing w:val="6"/>
                <w:sz w:val="24"/>
              </w:rPr>
              <w:t> </w:t>
            </w:r>
            <w:r>
              <w:rPr>
                <w:sz w:val="24"/>
              </w:rPr>
              <w:t>Access</w:t>
            </w:r>
            <w:r>
              <w:rPr>
                <w:spacing w:val="1"/>
                <w:sz w:val="24"/>
              </w:rPr>
              <w:t> </w:t>
            </w:r>
            <w:r>
              <w:rPr>
                <w:rFonts w:ascii="Cambria Math"/>
                <w:sz w:val="24"/>
              </w:rPr>
              <w:t>&gt;</w:t>
            </w:r>
            <w:r>
              <w:rPr>
                <w:rFonts w:ascii="Cambria Math"/>
                <w:spacing w:val="7"/>
                <w:sz w:val="24"/>
              </w:rPr>
              <w:t> </w:t>
            </w:r>
            <w:r>
              <w:rPr>
                <w:spacing w:val="-5"/>
                <w:sz w:val="24"/>
              </w:rPr>
              <w:t>Use</w:t>
            </w:r>
          </w:p>
        </w:tc>
        <w:tc>
          <w:tcPr>
            <w:tcW w:w="1218" w:type="dxa"/>
          </w:tcPr>
          <w:p>
            <w:pPr>
              <w:pStyle w:val="TableParagraph"/>
              <w:spacing w:before="130"/>
              <w:ind w:left="54" w:right="2"/>
              <w:jc w:val="center"/>
              <w:rPr>
                <w:sz w:val="24"/>
              </w:rPr>
            </w:pPr>
            <w:r>
              <w:rPr>
                <w:spacing w:val="-5"/>
                <w:sz w:val="24"/>
              </w:rPr>
              <w:t>Use</w:t>
            </w:r>
          </w:p>
        </w:tc>
        <w:tc>
          <w:tcPr>
            <w:tcW w:w="1933" w:type="dxa"/>
          </w:tcPr>
          <w:p>
            <w:pPr>
              <w:pStyle w:val="TableParagraph"/>
              <w:spacing w:before="130"/>
              <w:ind w:left="23" w:right="6"/>
              <w:jc w:val="center"/>
              <w:rPr>
                <w:sz w:val="24"/>
              </w:rPr>
            </w:pPr>
            <w:r>
              <w:rPr>
                <w:spacing w:val="-2"/>
                <w:sz w:val="24"/>
              </w:rPr>
              <w:t>Access</w:t>
            </w:r>
          </w:p>
        </w:tc>
        <w:tc>
          <w:tcPr>
            <w:tcW w:w="1814" w:type="dxa"/>
          </w:tcPr>
          <w:p>
            <w:pPr>
              <w:pStyle w:val="TableParagraph"/>
              <w:spacing w:before="130"/>
              <w:ind w:left="3" w:right="38"/>
              <w:jc w:val="center"/>
              <w:rPr>
                <w:sz w:val="24"/>
              </w:rPr>
            </w:pPr>
            <w:r>
              <w:rPr>
                <w:spacing w:val="-5"/>
                <w:sz w:val="24"/>
              </w:rPr>
              <w:t>Nil</w:t>
            </w:r>
          </w:p>
        </w:tc>
      </w:tr>
      <w:tr>
        <w:trPr>
          <w:trHeight w:val="562" w:hRule="atLeast"/>
        </w:trPr>
        <w:tc>
          <w:tcPr>
            <w:tcW w:w="2066" w:type="dxa"/>
          </w:tcPr>
          <w:p>
            <w:pPr>
              <w:pStyle w:val="TableParagraph"/>
              <w:spacing w:before="138"/>
              <w:ind w:left="115"/>
              <w:rPr>
                <w:b/>
                <w:sz w:val="24"/>
              </w:rPr>
            </w:pPr>
            <w:r>
              <w:rPr>
                <w:b/>
                <w:spacing w:val="-2"/>
                <w:sz w:val="24"/>
              </w:rPr>
              <w:t>Maitumbi</w:t>
            </w:r>
          </w:p>
        </w:tc>
        <w:tc>
          <w:tcPr>
            <w:tcW w:w="5740" w:type="dxa"/>
          </w:tcPr>
          <w:p>
            <w:pPr>
              <w:pStyle w:val="TableParagraph"/>
              <w:spacing w:before="136"/>
              <w:ind w:left="141" w:right="119"/>
              <w:jc w:val="center"/>
              <w:rPr>
                <w:sz w:val="24"/>
              </w:rPr>
            </w:pPr>
            <w:r>
              <w:rPr>
                <w:sz w:val="24"/>
              </w:rPr>
              <w:t>Capacity</w:t>
            </w:r>
            <w:r>
              <w:rPr>
                <w:spacing w:val="-3"/>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Environment</w:t>
            </w:r>
            <w:r>
              <w:rPr>
                <w:spacing w:val="-1"/>
                <w:sz w:val="24"/>
              </w:rPr>
              <w:t> </w:t>
            </w:r>
            <w:r>
              <w:rPr>
                <w:rFonts w:ascii="Cambria Math"/>
                <w:sz w:val="24"/>
              </w:rPr>
              <w:t>&gt;</w:t>
            </w:r>
            <w:r>
              <w:rPr>
                <w:rFonts w:ascii="Cambria Math"/>
                <w:spacing w:val="6"/>
                <w:sz w:val="24"/>
              </w:rPr>
              <w:t> </w:t>
            </w:r>
            <w:r>
              <w:rPr>
                <w:sz w:val="24"/>
              </w:rPr>
              <w:t>Access</w:t>
            </w:r>
            <w:r>
              <w:rPr>
                <w:spacing w:val="2"/>
                <w:sz w:val="24"/>
              </w:rPr>
              <w:t> </w:t>
            </w:r>
            <w:r>
              <w:rPr>
                <w:rFonts w:ascii="Cambria Math"/>
                <w:sz w:val="24"/>
              </w:rPr>
              <w:t>&gt;</w:t>
            </w:r>
            <w:r>
              <w:rPr>
                <w:rFonts w:ascii="Cambria Math"/>
                <w:spacing w:val="6"/>
                <w:sz w:val="24"/>
              </w:rPr>
              <w:t> </w:t>
            </w:r>
            <w:r>
              <w:rPr>
                <w:spacing w:val="-5"/>
                <w:sz w:val="24"/>
              </w:rPr>
              <w:t>Use</w:t>
            </w:r>
          </w:p>
        </w:tc>
        <w:tc>
          <w:tcPr>
            <w:tcW w:w="1218" w:type="dxa"/>
          </w:tcPr>
          <w:p>
            <w:pPr>
              <w:pStyle w:val="TableParagraph"/>
              <w:spacing w:before="133"/>
              <w:ind w:left="54" w:right="2"/>
              <w:jc w:val="center"/>
              <w:rPr>
                <w:sz w:val="24"/>
              </w:rPr>
            </w:pPr>
            <w:r>
              <w:rPr>
                <w:spacing w:val="-5"/>
                <w:sz w:val="24"/>
              </w:rPr>
              <w:t>Use</w:t>
            </w:r>
          </w:p>
        </w:tc>
        <w:tc>
          <w:tcPr>
            <w:tcW w:w="1933" w:type="dxa"/>
          </w:tcPr>
          <w:p>
            <w:pPr>
              <w:pStyle w:val="TableParagraph"/>
              <w:spacing w:before="133"/>
              <w:ind w:left="23" w:right="6"/>
              <w:jc w:val="center"/>
              <w:rPr>
                <w:sz w:val="24"/>
              </w:rPr>
            </w:pPr>
            <w:r>
              <w:rPr>
                <w:spacing w:val="-2"/>
                <w:sz w:val="24"/>
              </w:rPr>
              <w:t>Access</w:t>
            </w:r>
          </w:p>
        </w:tc>
        <w:tc>
          <w:tcPr>
            <w:tcW w:w="1814" w:type="dxa"/>
          </w:tcPr>
          <w:p>
            <w:pPr>
              <w:pStyle w:val="TableParagraph"/>
              <w:spacing w:before="133"/>
              <w:ind w:left="3" w:right="38"/>
              <w:jc w:val="center"/>
              <w:rPr>
                <w:sz w:val="24"/>
              </w:rPr>
            </w:pPr>
            <w:r>
              <w:rPr>
                <w:spacing w:val="-5"/>
                <w:sz w:val="24"/>
              </w:rPr>
              <w:t>Nil</w:t>
            </w:r>
          </w:p>
        </w:tc>
      </w:tr>
      <w:tr>
        <w:trPr>
          <w:trHeight w:val="563" w:hRule="atLeast"/>
        </w:trPr>
        <w:tc>
          <w:tcPr>
            <w:tcW w:w="2066" w:type="dxa"/>
          </w:tcPr>
          <w:p>
            <w:pPr>
              <w:pStyle w:val="TableParagraph"/>
              <w:spacing w:before="139"/>
              <w:ind w:left="115"/>
              <w:rPr>
                <w:b/>
                <w:sz w:val="24"/>
              </w:rPr>
            </w:pPr>
            <w:r>
              <w:rPr>
                <w:b/>
                <w:spacing w:val="-2"/>
                <w:sz w:val="24"/>
              </w:rPr>
              <w:t>Saukakahuta</w:t>
            </w:r>
          </w:p>
        </w:tc>
        <w:tc>
          <w:tcPr>
            <w:tcW w:w="5740" w:type="dxa"/>
          </w:tcPr>
          <w:p>
            <w:pPr>
              <w:pStyle w:val="TableParagraph"/>
              <w:spacing w:before="138"/>
              <w:ind w:left="141" w:right="119"/>
              <w:jc w:val="center"/>
              <w:rPr>
                <w:sz w:val="24"/>
              </w:rPr>
            </w:pPr>
            <w:r>
              <w:rPr>
                <w:sz w:val="24"/>
              </w:rPr>
              <w:t>Capacity</w:t>
            </w:r>
            <w:r>
              <w:rPr>
                <w:spacing w:val="-3"/>
                <w:sz w:val="24"/>
              </w:rPr>
              <w:t> </w:t>
            </w:r>
            <w:r>
              <w:rPr>
                <w:rFonts w:ascii="Cambria Math"/>
                <w:sz w:val="24"/>
              </w:rPr>
              <w:t>&gt;</w:t>
            </w:r>
            <w:r>
              <w:rPr>
                <w:rFonts w:ascii="Cambria Math"/>
                <w:spacing w:val="6"/>
                <w:sz w:val="24"/>
              </w:rPr>
              <w:t> </w:t>
            </w:r>
            <w:r>
              <w:rPr>
                <w:sz w:val="24"/>
              </w:rPr>
              <w:t>Resource</w:t>
            </w:r>
            <w:r>
              <w:rPr>
                <w:spacing w:val="1"/>
                <w:sz w:val="24"/>
              </w:rPr>
              <w:t> </w:t>
            </w:r>
            <w:r>
              <w:rPr>
                <w:rFonts w:ascii="Cambria Math"/>
                <w:sz w:val="24"/>
              </w:rPr>
              <w:t>&gt;</w:t>
            </w:r>
            <w:r>
              <w:rPr>
                <w:rFonts w:ascii="Cambria Math"/>
                <w:spacing w:val="6"/>
                <w:sz w:val="24"/>
              </w:rPr>
              <w:t> </w:t>
            </w:r>
            <w:r>
              <w:rPr>
                <w:sz w:val="24"/>
              </w:rPr>
              <w:t>Environment</w:t>
            </w:r>
            <w:r>
              <w:rPr>
                <w:spacing w:val="-1"/>
                <w:sz w:val="24"/>
              </w:rPr>
              <w:t> </w:t>
            </w:r>
            <w:r>
              <w:rPr>
                <w:rFonts w:ascii="Cambria Math"/>
                <w:sz w:val="24"/>
              </w:rPr>
              <w:t>&gt;</w:t>
            </w:r>
            <w:r>
              <w:rPr>
                <w:rFonts w:ascii="Cambria Math"/>
                <w:spacing w:val="6"/>
                <w:sz w:val="24"/>
              </w:rPr>
              <w:t> </w:t>
            </w:r>
            <w:r>
              <w:rPr>
                <w:sz w:val="24"/>
              </w:rPr>
              <w:t>Access</w:t>
            </w:r>
            <w:r>
              <w:rPr>
                <w:spacing w:val="2"/>
                <w:sz w:val="24"/>
              </w:rPr>
              <w:t> </w:t>
            </w:r>
            <w:r>
              <w:rPr>
                <w:rFonts w:ascii="Cambria Math"/>
                <w:sz w:val="24"/>
              </w:rPr>
              <w:t>&gt;</w:t>
            </w:r>
            <w:r>
              <w:rPr>
                <w:rFonts w:ascii="Cambria Math"/>
                <w:spacing w:val="6"/>
                <w:sz w:val="24"/>
              </w:rPr>
              <w:t> </w:t>
            </w:r>
            <w:r>
              <w:rPr>
                <w:spacing w:val="-5"/>
                <w:sz w:val="24"/>
              </w:rPr>
              <w:t>Use</w:t>
            </w:r>
          </w:p>
        </w:tc>
        <w:tc>
          <w:tcPr>
            <w:tcW w:w="1218" w:type="dxa"/>
          </w:tcPr>
          <w:p>
            <w:pPr>
              <w:pStyle w:val="TableParagraph"/>
              <w:spacing w:before="135"/>
              <w:ind w:left="54" w:right="2"/>
              <w:jc w:val="center"/>
              <w:rPr>
                <w:sz w:val="24"/>
              </w:rPr>
            </w:pPr>
            <w:r>
              <w:rPr>
                <w:spacing w:val="-5"/>
                <w:sz w:val="24"/>
              </w:rPr>
              <w:t>Use</w:t>
            </w:r>
          </w:p>
        </w:tc>
        <w:tc>
          <w:tcPr>
            <w:tcW w:w="1933" w:type="dxa"/>
          </w:tcPr>
          <w:p>
            <w:pPr>
              <w:pStyle w:val="TableParagraph"/>
              <w:spacing w:before="135"/>
              <w:ind w:left="23" w:right="6"/>
              <w:jc w:val="center"/>
              <w:rPr>
                <w:sz w:val="24"/>
              </w:rPr>
            </w:pPr>
            <w:r>
              <w:rPr>
                <w:spacing w:val="-2"/>
                <w:sz w:val="24"/>
              </w:rPr>
              <w:t>Access</w:t>
            </w:r>
          </w:p>
        </w:tc>
        <w:tc>
          <w:tcPr>
            <w:tcW w:w="1814" w:type="dxa"/>
          </w:tcPr>
          <w:p>
            <w:pPr>
              <w:pStyle w:val="TableParagraph"/>
              <w:spacing w:before="135"/>
              <w:ind w:left="2" w:right="38"/>
              <w:jc w:val="center"/>
              <w:rPr>
                <w:sz w:val="24"/>
              </w:rPr>
            </w:pPr>
            <w:r>
              <w:rPr>
                <w:spacing w:val="-2"/>
                <w:sz w:val="24"/>
              </w:rPr>
              <w:t>Resource</w:t>
            </w:r>
          </w:p>
        </w:tc>
      </w:tr>
      <w:tr>
        <w:trPr>
          <w:trHeight w:val="705" w:hRule="atLeast"/>
        </w:trPr>
        <w:tc>
          <w:tcPr>
            <w:tcW w:w="2066" w:type="dxa"/>
            <w:tcBorders>
              <w:bottom w:val="single" w:sz="8" w:space="0" w:color="000000"/>
            </w:tcBorders>
          </w:tcPr>
          <w:p>
            <w:pPr>
              <w:pStyle w:val="TableParagraph"/>
              <w:spacing w:before="138"/>
              <w:ind w:left="115"/>
              <w:rPr>
                <w:b/>
                <w:sz w:val="24"/>
              </w:rPr>
            </w:pPr>
            <w:r>
              <w:rPr>
                <w:b/>
                <w:spacing w:val="-2"/>
                <w:sz w:val="24"/>
              </w:rPr>
              <w:t>Tudun-Fulani</w:t>
            </w:r>
          </w:p>
        </w:tc>
        <w:tc>
          <w:tcPr>
            <w:tcW w:w="5740" w:type="dxa"/>
            <w:tcBorders>
              <w:bottom w:val="single" w:sz="8" w:space="0" w:color="000000"/>
            </w:tcBorders>
          </w:tcPr>
          <w:p>
            <w:pPr>
              <w:pStyle w:val="TableParagraph"/>
              <w:spacing w:before="136"/>
              <w:ind w:left="141" w:right="119"/>
              <w:jc w:val="center"/>
              <w:rPr>
                <w:sz w:val="24"/>
              </w:rPr>
            </w:pPr>
            <w:r>
              <w:rPr>
                <w:sz w:val="24"/>
              </w:rPr>
              <w:t>Capacity</w:t>
            </w:r>
            <w:r>
              <w:rPr>
                <w:spacing w:val="-3"/>
                <w:sz w:val="24"/>
              </w:rPr>
              <w:t> </w:t>
            </w:r>
            <w:r>
              <w:rPr>
                <w:rFonts w:ascii="Cambria Math"/>
                <w:sz w:val="24"/>
              </w:rPr>
              <w:t>&gt;</w:t>
            </w:r>
            <w:r>
              <w:rPr>
                <w:rFonts w:ascii="Cambria Math"/>
                <w:spacing w:val="6"/>
                <w:sz w:val="24"/>
              </w:rPr>
              <w:t> </w:t>
            </w:r>
            <w:r>
              <w:rPr>
                <w:sz w:val="24"/>
              </w:rPr>
              <w:t>Environment</w:t>
            </w:r>
            <w:r>
              <w:rPr>
                <w:spacing w:val="2"/>
                <w:sz w:val="24"/>
              </w:rPr>
              <w:t> </w:t>
            </w:r>
            <w:r>
              <w:rPr>
                <w:rFonts w:ascii="Cambria Math"/>
                <w:sz w:val="24"/>
              </w:rPr>
              <w:t>&gt;</w:t>
            </w:r>
            <w:r>
              <w:rPr>
                <w:rFonts w:ascii="Cambria Math"/>
                <w:spacing w:val="6"/>
                <w:sz w:val="24"/>
              </w:rPr>
              <w:t> </w:t>
            </w:r>
            <w:r>
              <w:rPr>
                <w:sz w:val="24"/>
              </w:rPr>
              <w:t>Resource </w:t>
            </w:r>
            <w:r>
              <w:rPr>
                <w:rFonts w:ascii="Cambria Math"/>
                <w:sz w:val="24"/>
              </w:rPr>
              <w:t>&gt;</w:t>
            </w:r>
            <w:r>
              <w:rPr>
                <w:rFonts w:ascii="Cambria Math"/>
                <w:spacing w:val="6"/>
                <w:sz w:val="24"/>
              </w:rPr>
              <w:t> </w:t>
            </w:r>
            <w:r>
              <w:rPr>
                <w:sz w:val="24"/>
              </w:rPr>
              <w:t>Access</w:t>
            </w:r>
            <w:r>
              <w:rPr>
                <w:spacing w:val="1"/>
                <w:sz w:val="24"/>
              </w:rPr>
              <w:t> </w:t>
            </w:r>
            <w:r>
              <w:rPr>
                <w:rFonts w:ascii="Cambria Math"/>
                <w:sz w:val="24"/>
              </w:rPr>
              <w:t>&gt;</w:t>
            </w:r>
            <w:r>
              <w:rPr>
                <w:rFonts w:ascii="Cambria Math"/>
                <w:spacing w:val="7"/>
                <w:sz w:val="24"/>
              </w:rPr>
              <w:t> </w:t>
            </w:r>
            <w:r>
              <w:rPr>
                <w:spacing w:val="-5"/>
                <w:sz w:val="24"/>
              </w:rPr>
              <w:t>Use</w:t>
            </w:r>
          </w:p>
        </w:tc>
        <w:tc>
          <w:tcPr>
            <w:tcW w:w="1218" w:type="dxa"/>
            <w:tcBorders>
              <w:bottom w:val="single" w:sz="8" w:space="0" w:color="000000"/>
            </w:tcBorders>
          </w:tcPr>
          <w:p>
            <w:pPr>
              <w:pStyle w:val="TableParagraph"/>
              <w:spacing w:before="133"/>
              <w:ind w:left="54" w:right="2"/>
              <w:jc w:val="center"/>
              <w:rPr>
                <w:sz w:val="24"/>
              </w:rPr>
            </w:pPr>
            <w:r>
              <w:rPr>
                <w:spacing w:val="-5"/>
                <w:sz w:val="24"/>
              </w:rPr>
              <w:t>Use</w:t>
            </w:r>
          </w:p>
        </w:tc>
        <w:tc>
          <w:tcPr>
            <w:tcW w:w="1933" w:type="dxa"/>
            <w:tcBorders>
              <w:bottom w:val="single" w:sz="8" w:space="0" w:color="000000"/>
            </w:tcBorders>
          </w:tcPr>
          <w:p>
            <w:pPr>
              <w:pStyle w:val="TableParagraph"/>
              <w:spacing w:before="133"/>
              <w:ind w:left="23" w:right="6"/>
              <w:jc w:val="center"/>
              <w:rPr>
                <w:sz w:val="24"/>
              </w:rPr>
            </w:pPr>
            <w:r>
              <w:rPr>
                <w:spacing w:val="-2"/>
                <w:sz w:val="24"/>
              </w:rPr>
              <w:t>Access</w:t>
            </w:r>
          </w:p>
        </w:tc>
        <w:tc>
          <w:tcPr>
            <w:tcW w:w="1814" w:type="dxa"/>
            <w:tcBorders>
              <w:bottom w:val="single" w:sz="8" w:space="0" w:color="000000"/>
            </w:tcBorders>
          </w:tcPr>
          <w:p>
            <w:pPr>
              <w:pStyle w:val="TableParagraph"/>
              <w:spacing w:before="133"/>
              <w:ind w:left="2" w:right="38"/>
              <w:jc w:val="center"/>
              <w:rPr>
                <w:sz w:val="24"/>
              </w:rPr>
            </w:pPr>
            <w:r>
              <w:rPr>
                <w:spacing w:val="-2"/>
                <w:sz w:val="24"/>
              </w:rPr>
              <w:t>Resource</w:t>
            </w:r>
          </w:p>
        </w:tc>
      </w:tr>
    </w:tbl>
    <w:p>
      <w:pPr>
        <w:spacing w:after="0"/>
        <w:jc w:val="center"/>
        <w:rPr>
          <w:sz w:val="24"/>
        </w:rPr>
        <w:sectPr>
          <w:footerReference w:type="default" r:id="rId60"/>
          <w:pgSz w:w="15840" w:h="12240" w:orient="landscape"/>
          <w:pgMar w:header="0" w:footer="1068" w:top="1340" w:bottom="1260" w:left="1880" w:right="980"/>
        </w:sectPr>
      </w:pPr>
    </w:p>
    <w:p>
      <w:pPr>
        <w:spacing w:before="68" w:after="4"/>
        <w:ind w:left="1647" w:right="0" w:hanging="1380"/>
        <w:jc w:val="left"/>
        <w:rPr>
          <w:b/>
          <w:sz w:val="24"/>
        </w:rPr>
      </w:pPr>
      <w:r>
        <w:rPr>
          <w:b/>
          <w:sz w:val="24"/>
        </w:rPr>
        <w:t>Table</w:t>
      </w:r>
      <w:r>
        <w:rPr>
          <w:b/>
          <w:spacing w:val="40"/>
          <w:sz w:val="24"/>
        </w:rPr>
        <w:t> </w:t>
      </w:r>
      <w:r>
        <w:rPr>
          <w:b/>
          <w:sz w:val="24"/>
        </w:rPr>
        <w:t>4.29a:</w:t>
      </w:r>
      <w:r>
        <w:rPr>
          <w:b/>
          <w:spacing w:val="40"/>
          <w:sz w:val="24"/>
        </w:rPr>
        <w:t> </w:t>
      </w:r>
      <w:r>
        <w:rPr>
          <w:b/>
          <w:sz w:val="24"/>
        </w:rPr>
        <w:t>Statistics</w:t>
      </w:r>
      <w:r>
        <w:rPr>
          <w:b/>
          <w:spacing w:val="39"/>
          <w:sz w:val="24"/>
        </w:rPr>
        <w:t> </w:t>
      </w:r>
      <w:r>
        <w:rPr>
          <w:b/>
          <w:sz w:val="24"/>
        </w:rPr>
        <w:t>of</w:t>
      </w:r>
      <w:r>
        <w:rPr>
          <w:b/>
          <w:spacing w:val="40"/>
          <w:sz w:val="24"/>
        </w:rPr>
        <w:t> </w:t>
      </w:r>
      <w:r>
        <w:rPr>
          <w:b/>
          <w:sz w:val="24"/>
        </w:rPr>
        <w:t>WPI</w:t>
      </w:r>
      <w:r>
        <w:rPr>
          <w:b/>
          <w:spacing w:val="40"/>
          <w:sz w:val="24"/>
        </w:rPr>
        <w:t> </w:t>
      </w:r>
      <w:r>
        <w:rPr>
          <w:b/>
          <w:sz w:val="24"/>
        </w:rPr>
        <w:t>of</w:t>
      </w:r>
      <w:r>
        <w:rPr>
          <w:b/>
          <w:spacing w:val="40"/>
          <w:sz w:val="24"/>
        </w:rPr>
        <w:t> </w:t>
      </w:r>
      <w:r>
        <w:rPr>
          <w:b/>
          <w:sz w:val="24"/>
        </w:rPr>
        <w:t>Neighbourhoods</w:t>
      </w:r>
      <w:r>
        <w:rPr>
          <w:b/>
          <w:spacing w:val="40"/>
          <w:sz w:val="24"/>
        </w:rPr>
        <w:t> </w:t>
      </w:r>
      <w:r>
        <w:rPr>
          <w:b/>
          <w:sz w:val="24"/>
        </w:rPr>
        <w:t>Inside</w:t>
      </w:r>
      <w:r>
        <w:rPr>
          <w:b/>
          <w:spacing w:val="40"/>
          <w:sz w:val="24"/>
        </w:rPr>
        <w:t> </w:t>
      </w:r>
      <w:r>
        <w:rPr>
          <w:b/>
          <w:sz w:val="24"/>
        </w:rPr>
        <w:t>and</w:t>
      </w:r>
      <w:r>
        <w:rPr>
          <w:b/>
          <w:spacing w:val="40"/>
          <w:sz w:val="24"/>
        </w:rPr>
        <w:t> </w:t>
      </w:r>
      <w:r>
        <w:rPr>
          <w:b/>
          <w:sz w:val="24"/>
        </w:rPr>
        <w:t>those</w:t>
      </w:r>
      <w:r>
        <w:rPr>
          <w:b/>
          <w:spacing w:val="39"/>
          <w:sz w:val="24"/>
        </w:rPr>
        <w:t> </w:t>
      </w:r>
      <w:r>
        <w:rPr>
          <w:b/>
          <w:sz w:val="24"/>
        </w:rPr>
        <w:t>Partly</w:t>
      </w:r>
      <w:r>
        <w:rPr>
          <w:b/>
          <w:spacing w:val="40"/>
          <w:sz w:val="24"/>
        </w:rPr>
        <w:t> </w:t>
      </w:r>
      <w:r>
        <w:rPr>
          <w:b/>
          <w:sz w:val="24"/>
        </w:rPr>
        <w:t>Outside Public Water Mains</w:t>
      </w: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7"/>
        <w:gridCol w:w="2029"/>
        <w:gridCol w:w="905"/>
        <w:gridCol w:w="1424"/>
        <w:gridCol w:w="1680"/>
      </w:tblGrid>
      <w:tr>
        <w:trPr>
          <w:trHeight w:val="1103" w:hRule="atLeast"/>
        </w:trPr>
        <w:tc>
          <w:tcPr>
            <w:tcW w:w="2827" w:type="dxa"/>
            <w:tcBorders>
              <w:top w:val="single" w:sz="8" w:space="0" w:color="000000"/>
              <w:bottom w:val="single" w:sz="8" w:space="0" w:color="000000"/>
            </w:tcBorders>
          </w:tcPr>
          <w:p>
            <w:pPr>
              <w:pStyle w:val="TableParagraph"/>
              <w:spacing w:line="272" w:lineRule="exact"/>
              <w:ind w:left="187"/>
              <w:rPr>
                <w:b/>
                <w:sz w:val="24"/>
              </w:rPr>
            </w:pPr>
            <w:r>
              <w:rPr>
                <w:b/>
                <w:spacing w:val="-2"/>
                <w:sz w:val="24"/>
              </w:rPr>
              <w:t>Neighbourhoods</w:t>
            </w:r>
          </w:p>
        </w:tc>
        <w:tc>
          <w:tcPr>
            <w:tcW w:w="2029" w:type="dxa"/>
            <w:tcBorders>
              <w:top w:val="single" w:sz="8" w:space="0" w:color="000000"/>
              <w:bottom w:val="single" w:sz="8" w:space="0" w:color="000000"/>
            </w:tcBorders>
          </w:tcPr>
          <w:p>
            <w:pPr>
              <w:pStyle w:val="TableParagraph"/>
              <w:spacing w:line="272" w:lineRule="exact"/>
              <w:ind w:left="1" w:right="28"/>
              <w:jc w:val="center"/>
              <w:rPr>
                <w:b/>
                <w:sz w:val="24"/>
              </w:rPr>
            </w:pPr>
            <w:r>
              <w:rPr>
                <w:b/>
                <w:sz w:val="24"/>
              </w:rPr>
              <w:t>No. of </w:t>
            </w:r>
            <w:r>
              <w:rPr>
                <w:b/>
                <w:spacing w:val="-2"/>
                <w:sz w:val="24"/>
              </w:rPr>
              <w:t>Household</w:t>
            </w:r>
          </w:p>
        </w:tc>
        <w:tc>
          <w:tcPr>
            <w:tcW w:w="905" w:type="dxa"/>
            <w:tcBorders>
              <w:top w:val="single" w:sz="8" w:space="0" w:color="000000"/>
              <w:bottom w:val="single" w:sz="8" w:space="0" w:color="000000"/>
            </w:tcBorders>
          </w:tcPr>
          <w:p>
            <w:pPr>
              <w:pStyle w:val="TableParagraph"/>
              <w:spacing w:line="272" w:lineRule="exact"/>
              <w:ind w:left="144"/>
              <w:rPr>
                <w:b/>
                <w:sz w:val="24"/>
              </w:rPr>
            </w:pPr>
            <w:r>
              <w:rPr>
                <w:b/>
                <w:spacing w:val="-4"/>
                <w:sz w:val="24"/>
              </w:rPr>
              <w:t>Mean</w:t>
            </w:r>
          </w:p>
          <w:p>
            <w:pPr>
              <w:pStyle w:val="TableParagraph"/>
              <w:rPr>
                <w:b/>
                <w:sz w:val="24"/>
              </w:rPr>
            </w:pPr>
          </w:p>
          <w:p>
            <w:pPr>
              <w:pStyle w:val="TableParagraph"/>
              <w:ind w:left="196"/>
              <w:rPr>
                <w:b/>
                <w:sz w:val="24"/>
              </w:rPr>
            </w:pPr>
            <w:r>
              <w:rPr>
                <w:b/>
                <w:spacing w:val="-5"/>
                <w:sz w:val="24"/>
              </w:rPr>
              <w:t>WPI</w:t>
            </w:r>
          </w:p>
        </w:tc>
        <w:tc>
          <w:tcPr>
            <w:tcW w:w="1424" w:type="dxa"/>
            <w:tcBorders>
              <w:top w:val="single" w:sz="8" w:space="0" w:color="000000"/>
              <w:bottom w:val="single" w:sz="8" w:space="0" w:color="000000"/>
            </w:tcBorders>
          </w:tcPr>
          <w:p>
            <w:pPr>
              <w:pStyle w:val="TableParagraph"/>
              <w:spacing w:line="272" w:lineRule="exact"/>
              <w:ind w:left="3" w:right="91"/>
              <w:jc w:val="center"/>
              <w:rPr>
                <w:b/>
                <w:sz w:val="24"/>
              </w:rPr>
            </w:pPr>
            <w:r>
              <w:rPr>
                <w:b/>
                <w:spacing w:val="-4"/>
                <w:sz w:val="24"/>
              </w:rPr>
              <w:t>Std.</w:t>
            </w:r>
          </w:p>
          <w:p>
            <w:pPr>
              <w:pStyle w:val="TableParagraph"/>
              <w:rPr>
                <w:b/>
                <w:sz w:val="24"/>
              </w:rPr>
            </w:pPr>
          </w:p>
          <w:p>
            <w:pPr>
              <w:pStyle w:val="TableParagraph"/>
              <w:ind w:right="91"/>
              <w:jc w:val="center"/>
              <w:rPr>
                <w:b/>
                <w:sz w:val="24"/>
              </w:rPr>
            </w:pPr>
            <w:r>
              <w:rPr>
                <w:b/>
                <w:spacing w:val="-2"/>
                <w:sz w:val="24"/>
              </w:rPr>
              <w:t>Deviation</w:t>
            </w:r>
          </w:p>
        </w:tc>
        <w:tc>
          <w:tcPr>
            <w:tcW w:w="1680" w:type="dxa"/>
            <w:tcBorders>
              <w:top w:val="single" w:sz="8" w:space="0" w:color="000000"/>
              <w:bottom w:val="single" w:sz="8" w:space="0" w:color="000000"/>
            </w:tcBorders>
          </w:tcPr>
          <w:p>
            <w:pPr>
              <w:pStyle w:val="TableParagraph"/>
              <w:spacing w:line="272" w:lineRule="exact"/>
              <w:ind w:left="1" w:right="90"/>
              <w:jc w:val="center"/>
              <w:rPr>
                <w:b/>
                <w:sz w:val="24"/>
              </w:rPr>
            </w:pPr>
            <w:r>
              <w:rPr>
                <w:b/>
                <w:sz w:val="24"/>
              </w:rPr>
              <w:t>Std. </w:t>
            </w:r>
            <w:r>
              <w:rPr>
                <w:b/>
                <w:spacing w:val="-2"/>
                <w:sz w:val="24"/>
              </w:rPr>
              <w:t>Error</w:t>
            </w:r>
          </w:p>
          <w:p>
            <w:pPr>
              <w:pStyle w:val="TableParagraph"/>
              <w:rPr>
                <w:b/>
                <w:sz w:val="24"/>
              </w:rPr>
            </w:pPr>
          </w:p>
          <w:p>
            <w:pPr>
              <w:pStyle w:val="TableParagraph"/>
              <w:ind w:right="90"/>
              <w:jc w:val="center"/>
              <w:rPr>
                <w:b/>
                <w:sz w:val="24"/>
              </w:rPr>
            </w:pPr>
            <w:r>
              <w:rPr>
                <w:b/>
                <w:spacing w:val="-4"/>
                <w:sz w:val="24"/>
              </w:rPr>
              <w:t>Mean</w:t>
            </w:r>
          </w:p>
        </w:tc>
      </w:tr>
      <w:tr>
        <w:trPr>
          <w:trHeight w:val="966" w:hRule="atLeast"/>
        </w:trPr>
        <w:tc>
          <w:tcPr>
            <w:tcW w:w="2827" w:type="dxa"/>
            <w:tcBorders>
              <w:top w:val="single" w:sz="8" w:space="0" w:color="000000"/>
            </w:tcBorders>
          </w:tcPr>
          <w:p>
            <w:pPr>
              <w:pStyle w:val="TableParagraph"/>
              <w:tabs>
                <w:tab w:pos="1119" w:val="left" w:leader="none"/>
                <w:tab w:pos="2124" w:val="left" w:leader="none"/>
              </w:tabs>
              <w:spacing w:line="275" w:lineRule="exact"/>
              <w:ind w:left="127"/>
              <w:rPr>
                <w:b/>
                <w:sz w:val="24"/>
              </w:rPr>
            </w:pPr>
            <w:r>
              <w:rPr>
                <w:b/>
                <w:spacing w:val="-2"/>
                <w:sz w:val="24"/>
              </w:rPr>
              <w:t>Inside</w:t>
            </w:r>
            <w:r>
              <w:rPr>
                <w:b/>
                <w:sz w:val="24"/>
              </w:rPr>
              <w:tab/>
            </w:r>
            <w:r>
              <w:rPr>
                <w:b/>
                <w:spacing w:val="-2"/>
                <w:sz w:val="24"/>
              </w:rPr>
              <w:t>public</w:t>
            </w:r>
            <w:r>
              <w:rPr>
                <w:b/>
                <w:sz w:val="24"/>
              </w:rPr>
              <w:tab/>
            </w:r>
            <w:r>
              <w:rPr>
                <w:b/>
                <w:spacing w:val="-2"/>
                <w:sz w:val="24"/>
              </w:rPr>
              <w:t>water</w:t>
            </w:r>
          </w:p>
          <w:p>
            <w:pPr>
              <w:pStyle w:val="TableParagraph"/>
              <w:rPr>
                <w:b/>
                <w:sz w:val="24"/>
              </w:rPr>
            </w:pPr>
          </w:p>
          <w:p>
            <w:pPr>
              <w:pStyle w:val="TableParagraph"/>
              <w:ind w:left="127"/>
              <w:rPr>
                <w:b/>
                <w:sz w:val="24"/>
              </w:rPr>
            </w:pPr>
            <w:r>
              <w:rPr>
                <w:b/>
                <w:spacing w:val="-2"/>
                <w:sz w:val="24"/>
              </w:rPr>
              <w:t>mains</w:t>
            </w:r>
          </w:p>
        </w:tc>
        <w:tc>
          <w:tcPr>
            <w:tcW w:w="2029" w:type="dxa"/>
            <w:tcBorders>
              <w:top w:val="single" w:sz="8" w:space="0" w:color="000000"/>
            </w:tcBorders>
          </w:tcPr>
          <w:p>
            <w:pPr>
              <w:pStyle w:val="TableParagraph"/>
              <w:spacing w:line="270" w:lineRule="exact"/>
              <w:ind w:right="28"/>
              <w:jc w:val="center"/>
              <w:rPr>
                <w:sz w:val="24"/>
              </w:rPr>
            </w:pPr>
            <w:r>
              <w:rPr>
                <w:spacing w:val="-5"/>
                <w:sz w:val="24"/>
              </w:rPr>
              <w:t>221</w:t>
            </w:r>
          </w:p>
        </w:tc>
        <w:tc>
          <w:tcPr>
            <w:tcW w:w="905" w:type="dxa"/>
            <w:tcBorders>
              <w:top w:val="single" w:sz="8" w:space="0" w:color="000000"/>
            </w:tcBorders>
          </w:tcPr>
          <w:p>
            <w:pPr>
              <w:pStyle w:val="TableParagraph"/>
              <w:spacing w:line="270" w:lineRule="exact"/>
              <w:ind w:right="26"/>
              <w:jc w:val="center"/>
              <w:rPr>
                <w:sz w:val="24"/>
              </w:rPr>
            </w:pPr>
            <w:r>
              <w:rPr>
                <w:spacing w:val="-2"/>
                <w:sz w:val="24"/>
              </w:rPr>
              <w:t>41.26</w:t>
            </w:r>
          </w:p>
        </w:tc>
        <w:tc>
          <w:tcPr>
            <w:tcW w:w="1424" w:type="dxa"/>
            <w:tcBorders>
              <w:top w:val="single" w:sz="8" w:space="0" w:color="000000"/>
            </w:tcBorders>
          </w:tcPr>
          <w:p>
            <w:pPr>
              <w:pStyle w:val="TableParagraph"/>
              <w:spacing w:line="270" w:lineRule="exact"/>
              <w:ind w:left="1" w:right="91"/>
              <w:jc w:val="center"/>
              <w:rPr>
                <w:sz w:val="24"/>
              </w:rPr>
            </w:pPr>
            <w:r>
              <w:rPr>
                <w:spacing w:val="-4"/>
                <w:sz w:val="24"/>
              </w:rPr>
              <w:t>9.30</w:t>
            </w:r>
          </w:p>
        </w:tc>
        <w:tc>
          <w:tcPr>
            <w:tcW w:w="1680" w:type="dxa"/>
            <w:tcBorders>
              <w:top w:val="single" w:sz="8" w:space="0" w:color="000000"/>
            </w:tcBorders>
          </w:tcPr>
          <w:p>
            <w:pPr>
              <w:pStyle w:val="TableParagraph"/>
              <w:spacing w:line="270" w:lineRule="exact"/>
              <w:ind w:left="3" w:right="90"/>
              <w:jc w:val="center"/>
              <w:rPr>
                <w:sz w:val="24"/>
              </w:rPr>
            </w:pPr>
            <w:r>
              <w:rPr>
                <w:spacing w:val="-4"/>
                <w:sz w:val="24"/>
              </w:rPr>
              <w:t>0.63</w:t>
            </w:r>
          </w:p>
        </w:tc>
      </w:tr>
      <w:tr>
        <w:trPr>
          <w:trHeight w:val="1243" w:hRule="atLeast"/>
        </w:trPr>
        <w:tc>
          <w:tcPr>
            <w:tcW w:w="2827" w:type="dxa"/>
            <w:tcBorders>
              <w:bottom w:val="single" w:sz="8" w:space="0" w:color="000000"/>
            </w:tcBorders>
          </w:tcPr>
          <w:p>
            <w:pPr>
              <w:pStyle w:val="TableParagraph"/>
              <w:tabs>
                <w:tab w:pos="1050" w:val="left" w:leader="none"/>
                <w:tab w:pos="2069" w:val="left" w:leader="none"/>
              </w:tabs>
              <w:spacing w:before="134"/>
              <w:ind w:left="127"/>
              <w:rPr>
                <w:b/>
                <w:sz w:val="24"/>
              </w:rPr>
            </w:pPr>
            <w:r>
              <w:rPr>
                <w:b/>
                <w:spacing w:val="-2"/>
                <w:sz w:val="24"/>
              </w:rPr>
              <w:t>Partly</w:t>
            </w:r>
            <w:r>
              <w:rPr>
                <w:b/>
                <w:sz w:val="24"/>
              </w:rPr>
              <w:tab/>
            </w:r>
            <w:r>
              <w:rPr>
                <w:b/>
                <w:spacing w:val="-2"/>
                <w:sz w:val="24"/>
              </w:rPr>
              <w:t>outside</w:t>
            </w:r>
            <w:r>
              <w:rPr>
                <w:b/>
                <w:sz w:val="24"/>
              </w:rPr>
              <w:tab/>
            </w:r>
            <w:r>
              <w:rPr>
                <w:b/>
                <w:spacing w:val="-2"/>
                <w:sz w:val="24"/>
              </w:rPr>
              <w:t>public</w:t>
            </w:r>
          </w:p>
          <w:p>
            <w:pPr>
              <w:pStyle w:val="TableParagraph"/>
              <w:rPr>
                <w:b/>
                <w:sz w:val="24"/>
              </w:rPr>
            </w:pPr>
          </w:p>
          <w:p>
            <w:pPr>
              <w:pStyle w:val="TableParagraph"/>
              <w:ind w:left="127"/>
              <w:rPr>
                <w:b/>
                <w:sz w:val="24"/>
              </w:rPr>
            </w:pPr>
            <w:r>
              <w:rPr>
                <w:b/>
                <w:sz w:val="24"/>
              </w:rPr>
              <w:t>water</w:t>
            </w:r>
            <w:r>
              <w:rPr>
                <w:b/>
                <w:spacing w:val="-2"/>
                <w:sz w:val="24"/>
              </w:rPr>
              <w:t> </w:t>
            </w:r>
            <w:r>
              <w:rPr>
                <w:b/>
                <w:spacing w:val="-4"/>
                <w:sz w:val="24"/>
              </w:rPr>
              <w:t>mains</w:t>
            </w:r>
          </w:p>
        </w:tc>
        <w:tc>
          <w:tcPr>
            <w:tcW w:w="2029" w:type="dxa"/>
            <w:tcBorders>
              <w:bottom w:val="single" w:sz="8" w:space="0" w:color="000000"/>
            </w:tcBorders>
          </w:tcPr>
          <w:p>
            <w:pPr>
              <w:pStyle w:val="TableParagraph"/>
              <w:spacing w:before="129"/>
              <w:ind w:right="28"/>
              <w:jc w:val="center"/>
              <w:rPr>
                <w:sz w:val="24"/>
              </w:rPr>
            </w:pPr>
            <w:r>
              <w:rPr>
                <w:spacing w:val="-5"/>
                <w:sz w:val="24"/>
              </w:rPr>
              <w:t>138</w:t>
            </w:r>
          </w:p>
        </w:tc>
        <w:tc>
          <w:tcPr>
            <w:tcW w:w="905" w:type="dxa"/>
            <w:tcBorders>
              <w:bottom w:val="single" w:sz="8" w:space="0" w:color="000000"/>
            </w:tcBorders>
          </w:tcPr>
          <w:p>
            <w:pPr>
              <w:pStyle w:val="TableParagraph"/>
              <w:spacing w:before="129"/>
              <w:ind w:right="26"/>
              <w:jc w:val="center"/>
              <w:rPr>
                <w:sz w:val="24"/>
              </w:rPr>
            </w:pPr>
            <w:r>
              <w:rPr>
                <w:spacing w:val="-2"/>
                <w:sz w:val="24"/>
              </w:rPr>
              <w:t>38.15</w:t>
            </w:r>
          </w:p>
        </w:tc>
        <w:tc>
          <w:tcPr>
            <w:tcW w:w="1424" w:type="dxa"/>
            <w:tcBorders>
              <w:bottom w:val="single" w:sz="8" w:space="0" w:color="000000"/>
            </w:tcBorders>
          </w:tcPr>
          <w:p>
            <w:pPr>
              <w:pStyle w:val="TableParagraph"/>
              <w:spacing w:before="129"/>
              <w:ind w:left="1" w:right="91"/>
              <w:jc w:val="center"/>
              <w:rPr>
                <w:sz w:val="24"/>
              </w:rPr>
            </w:pPr>
            <w:r>
              <w:rPr>
                <w:spacing w:val="-2"/>
                <w:sz w:val="24"/>
              </w:rPr>
              <w:t>10.06</w:t>
            </w:r>
          </w:p>
        </w:tc>
        <w:tc>
          <w:tcPr>
            <w:tcW w:w="1680" w:type="dxa"/>
            <w:tcBorders>
              <w:bottom w:val="single" w:sz="8" w:space="0" w:color="000000"/>
            </w:tcBorders>
          </w:tcPr>
          <w:p>
            <w:pPr>
              <w:pStyle w:val="TableParagraph"/>
              <w:spacing w:before="129"/>
              <w:ind w:left="3" w:right="90"/>
              <w:jc w:val="center"/>
              <w:rPr>
                <w:sz w:val="24"/>
              </w:rPr>
            </w:pPr>
            <w:r>
              <w:rPr>
                <w:spacing w:val="-4"/>
                <w:sz w:val="24"/>
              </w:rPr>
              <w:t>0.86</w:t>
            </w:r>
          </w:p>
        </w:tc>
      </w:tr>
    </w:tbl>
    <w:p>
      <w:pPr>
        <w:pStyle w:val="BodyText"/>
        <w:spacing w:before="273"/>
        <w:rPr>
          <w:b/>
        </w:rPr>
      </w:pPr>
    </w:p>
    <w:p>
      <w:pPr>
        <w:spacing w:before="0" w:after="4"/>
        <w:ind w:left="1647" w:right="0" w:hanging="1380"/>
        <w:jc w:val="left"/>
        <w:rPr>
          <w:b/>
          <w:sz w:val="24"/>
        </w:rPr>
      </w:pPr>
      <w:r>
        <w:rPr>
          <w:b/>
          <w:sz w:val="24"/>
        </w:rPr>
        <w:t>Table 4.29b: Independent T-Test of difference in WPI of Neighbourhoods Inside and those Partly Outside Public Water</w:t>
      </w: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3"/>
        <w:gridCol w:w="986"/>
        <w:gridCol w:w="1111"/>
        <w:gridCol w:w="1434"/>
        <w:gridCol w:w="1489"/>
        <w:gridCol w:w="1434"/>
        <w:gridCol w:w="1370"/>
      </w:tblGrid>
      <w:tr>
        <w:trPr>
          <w:trHeight w:val="1154" w:hRule="atLeast"/>
        </w:trPr>
        <w:tc>
          <w:tcPr>
            <w:tcW w:w="1043" w:type="dxa"/>
            <w:tcBorders>
              <w:top w:val="single" w:sz="4" w:space="0" w:color="000000"/>
              <w:bottom w:val="single" w:sz="4" w:space="0" w:color="000000"/>
            </w:tcBorders>
          </w:tcPr>
          <w:p>
            <w:pPr>
              <w:pStyle w:val="TableParagraph"/>
              <w:spacing w:line="268" w:lineRule="exact"/>
              <w:ind w:right="140"/>
              <w:jc w:val="center"/>
              <w:rPr>
                <w:sz w:val="24"/>
              </w:rPr>
            </w:pPr>
            <w:r>
              <w:rPr>
                <w:spacing w:val="-10"/>
                <w:sz w:val="24"/>
              </w:rPr>
              <w:t>T</w:t>
            </w:r>
          </w:p>
        </w:tc>
        <w:tc>
          <w:tcPr>
            <w:tcW w:w="986" w:type="dxa"/>
            <w:tcBorders>
              <w:top w:val="single" w:sz="4" w:space="0" w:color="000000"/>
              <w:bottom w:val="single" w:sz="4" w:space="0" w:color="000000"/>
            </w:tcBorders>
          </w:tcPr>
          <w:p>
            <w:pPr>
              <w:pStyle w:val="TableParagraph"/>
              <w:spacing w:line="268" w:lineRule="exact"/>
              <w:ind w:left="264"/>
              <w:rPr>
                <w:sz w:val="24"/>
              </w:rPr>
            </w:pPr>
            <w:r>
              <w:rPr>
                <w:spacing w:val="-5"/>
                <w:sz w:val="24"/>
              </w:rPr>
              <w:t>Df</w:t>
            </w:r>
          </w:p>
        </w:tc>
        <w:tc>
          <w:tcPr>
            <w:tcW w:w="1111" w:type="dxa"/>
            <w:tcBorders>
              <w:top w:val="single" w:sz="4" w:space="0" w:color="000000"/>
              <w:bottom w:val="single" w:sz="4" w:space="0" w:color="000000"/>
            </w:tcBorders>
          </w:tcPr>
          <w:p>
            <w:pPr>
              <w:pStyle w:val="TableParagraph"/>
              <w:spacing w:line="268" w:lineRule="exact"/>
              <w:ind w:left="148"/>
              <w:rPr>
                <w:sz w:val="24"/>
              </w:rPr>
            </w:pPr>
            <w:r>
              <w:rPr>
                <w:sz w:val="24"/>
              </w:rPr>
              <w:t>Sig.</w:t>
            </w:r>
            <w:r>
              <w:rPr>
                <w:spacing w:val="-2"/>
                <w:sz w:val="24"/>
              </w:rPr>
              <w:t> </w:t>
            </w:r>
            <w:r>
              <w:rPr>
                <w:spacing w:val="-5"/>
                <w:sz w:val="24"/>
              </w:rPr>
              <w:t>(2-</w:t>
            </w:r>
          </w:p>
          <w:p>
            <w:pPr>
              <w:pStyle w:val="TableParagraph"/>
              <w:rPr>
                <w:b/>
                <w:sz w:val="24"/>
              </w:rPr>
            </w:pPr>
          </w:p>
          <w:p>
            <w:pPr>
              <w:pStyle w:val="TableParagraph"/>
              <w:ind w:left="203"/>
              <w:rPr>
                <w:sz w:val="24"/>
              </w:rPr>
            </w:pPr>
            <w:r>
              <w:rPr>
                <w:spacing w:val="-2"/>
                <w:sz w:val="24"/>
              </w:rPr>
              <w:t>tailed)</w:t>
            </w:r>
          </w:p>
        </w:tc>
        <w:tc>
          <w:tcPr>
            <w:tcW w:w="1434" w:type="dxa"/>
            <w:tcBorders>
              <w:top w:val="single" w:sz="4" w:space="0" w:color="000000"/>
              <w:bottom w:val="single" w:sz="4" w:space="0" w:color="000000"/>
            </w:tcBorders>
          </w:tcPr>
          <w:p>
            <w:pPr>
              <w:pStyle w:val="TableParagraph"/>
              <w:spacing w:line="480" w:lineRule="auto"/>
              <w:ind w:left="155" w:firstLine="240"/>
              <w:rPr>
                <w:sz w:val="24"/>
              </w:rPr>
            </w:pPr>
            <w:r>
              <w:rPr>
                <w:spacing w:val="-4"/>
                <w:sz w:val="24"/>
              </w:rPr>
              <w:t>Mean </w:t>
            </w:r>
            <w:r>
              <w:rPr>
                <w:spacing w:val="-2"/>
                <w:sz w:val="24"/>
              </w:rPr>
              <w:t>Difference</w:t>
            </w:r>
          </w:p>
        </w:tc>
        <w:tc>
          <w:tcPr>
            <w:tcW w:w="1489" w:type="dxa"/>
            <w:tcBorders>
              <w:top w:val="single" w:sz="4" w:space="0" w:color="000000"/>
              <w:bottom w:val="single" w:sz="4" w:space="0" w:color="000000"/>
            </w:tcBorders>
          </w:tcPr>
          <w:p>
            <w:pPr>
              <w:pStyle w:val="TableParagraph"/>
              <w:spacing w:line="480" w:lineRule="auto"/>
              <w:ind w:left="152" w:firstLine="38"/>
              <w:rPr>
                <w:sz w:val="24"/>
              </w:rPr>
            </w:pPr>
            <w:r>
              <w:rPr>
                <w:sz w:val="24"/>
              </w:rPr>
              <w:t>Std. Error </w:t>
            </w:r>
            <w:r>
              <w:rPr>
                <w:spacing w:val="-2"/>
                <w:sz w:val="24"/>
              </w:rPr>
              <w:t>Difference</w:t>
            </w:r>
          </w:p>
        </w:tc>
        <w:tc>
          <w:tcPr>
            <w:tcW w:w="1434" w:type="dxa"/>
            <w:tcBorders>
              <w:top w:val="single" w:sz="4" w:space="0" w:color="000000"/>
              <w:bottom w:val="single" w:sz="4" w:space="0" w:color="000000"/>
            </w:tcBorders>
          </w:tcPr>
          <w:p>
            <w:pPr>
              <w:pStyle w:val="TableParagraph"/>
              <w:spacing w:line="268" w:lineRule="exact"/>
              <w:ind w:left="209"/>
              <w:rPr>
                <w:sz w:val="24"/>
              </w:rPr>
            </w:pPr>
            <w:r>
              <w:rPr>
                <w:sz w:val="24"/>
              </w:rPr>
              <w:t>95 %</w:t>
            </w:r>
            <w:r>
              <w:rPr>
                <w:spacing w:val="-1"/>
                <w:sz w:val="24"/>
              </w:rPr>
              <w:t> </w:t>
            </w:r>
            <w:r>
              <w:rPr>
                <w:spacing w:val="-5"/>
                <w:sz w:val="24"/>
              </w:rPr>
              <w:t>CI</w:t>
            </w:r>
          </w:p>
          <w:p>
            <w:pPr>
              <w:pStyle w:val="TableParagraph"/>
              <w:rPr>
                <w:b/>
                <w:sz w:val="24"/>
              </w:rPr>
            </w:pPr>
          </w:p>
          <w:p>
            <w:pPr>
              <w:pStyle w:val="TableParagraph"/>
              <w:ind w:left="295"/>
              <w:rPr>
                <w:sz w:val="24"/>
              </w:rPr>
            </w:pPr>
            <w:r>
              <w:rPr>
                <w:spacing w:val="-2"/>
                <w:sz w:val="24"/>
              </w:rPr>
              <w:t>Lower</w:t>
            </w:r>
          </w:p>
        </w:tc>
        <w:tc>
          <w:tcPr>
            <w:tcW w:w="1370" w:type="dxa"/>
            <w:tcBorders>
              <w:top w:val="single" w:sz="4" w:space="0" w:color="000000"/>
              <w:bottom w:val="single" w:sz="4" w:space="0" w:color="000000"/>
            </w:tcBorders>
          </w:tcPr>
          <w:p>
            <w:pPr>
              <w:pStyle w:val="TableParagraph"/>
              <w:spacing w:line="268" w:lineRule="exact"/>
              <w:ind w:left="208"/>
              <w:rPr>
                <w:sz w:val="24"/>
              </w:rPr>
            </w:pPr>
            <w:r>
              <w:rPr>
                <w:sz w:val="24"/>
              </w:rPr>
              <w:t>95 %</w:t>
            </w:r>
            <w:r>
              <w:rPr>
                <w:spacing w:val="-1"/>
                <w:sz w:val="24"/>
              </w:rPr>
              <w:t> </w:t>
            </w:r>
            <w:r>
              <w:rPr>
                <w:spacing w:val="-5"/>
                <w:sz w:val="24"/>
              </w:rPr>
              <w:t>CI</w:t>
            </w:r>
          </w:p>
          <w:p>
            <w:pPr>
              <w:pStyle w:val="TableParagraph"/>
              <w:rPr>
                <w:b/>
                <w:sz w:val="24"/>
              </w:rPr>
            </w:pPr>
          </w:p>
          <w:p>
            <w:pPr>
              <w:pStyle w:val="TableParagraph"/>
              <w:ind w:left="306"/>
              <w:rPr>
                <w:sz w:val="24"/>
              </w:rPr>
            </w:pPr>
            <w:r>
              <w:rPr>
                <w:spacing w:val="-2"/>
                <w:sz w:val="24"/>
              </w:rPr>
              <w:t>Upper</w:t>
            </w:r>
          </w:p>
        </w:tc>
      </w:tr>
      <w:tr>
        <w:trPr>
          <w:trHeight w:val="551" w:hRule="atLeast"/>
        </w:trPr>
        <w:tc>
          <w:tcPr>
            <w:tcW w:w="1043" w:type="dxa"/>
            <w:tcBorders>
              <w:top w:val="single" w:sz="4" w:space="0" w:color="000000"/>
              <w:bottom w:val="single" w:sz="4" w:space="0" w:color="000000"/>
            </w:tcBorders>
          </w:tcPr>
          <w:p>
            <w:pPr>
              <w:pStyle w:val="TableParagraph"/>
              <w:spacing w:line="268" w:lineRule="exact"/>
              <w:ind w:left="115" w:right="140"/>
              <w:jc w:val="center"/>
              <w:rPr>
                <w:sz w:val="24"/>
              </w:rPr>
            </w:pPr>
            <w:r>
              <w:rPr>
                <w:spacing w:val="-2"/>
                <w:sz w:val="24"/>
              </w:rPr>
              <w:t>2.982</w:t>
            </w:r>
          </w:p>
        </w:tc>
        <w:tc>
          <w:tcPr>
            <w:tcW w:w="986" w:type="dxa"/>
            <w:tcBorders>
              <w:top w:val="single" w:sz="4" w:space="0" w:color="000000"/>
              <w:bottom w:val="single" w:sz="4" w:space="0" w:color="000000"/>
            </w:tcBorders>
          </w:tcPr>
          <w:p>
            <w:pPr>
              <w:pStyle w:val="TableParagraph"/>
              <w:spacing w:line="268" w:lineRule="exact"/>
              <w:ind w:left="476"/>
              <w:rPr>
                <w:sz w:val="24"/>
              </w:rPr>
            </w:pPr>
            <w:r>
              <w:rPr>
                <w:spacing w:val="-5"/>
                <w:sz w:val="24"/>
              </w:rPr>
              <w:t>357</w:t>
            </w:r>
          </w:p>
        </w:tc>
        <w:tc>
          <w:tcPr>
            <w:tcW w:w="1111" w:type="dxa"/>
            <w:tcBorders>
              <w:top w:val="single" w:sz="4" w:space="0" w:color="000000"/>
              <w:bottom w:val="single" w:sz="4" w:space="0" w:color="000000"/>
            </w:tcBorders>
          </w:tcPr>
          <w:p>
            <w:pPr>
              <w:pStyle w:val="TableParagraph"/>
              <w:spacing w:line="268" w:lineRule="exact"/>
              <w:ind w:left="532"/>
              <w:rPr>
                <w:sz w:val="24"/>
              </w:rPr>
            </w:pPr>
            <w:r>
              <w:rPr>
                <w:spacing w:val="-4"/>
                <w:sz w:val="24"/>
              </w:rPr>
              <w:t>.003</w:t>
            </w:r>
          </w:p>
        </w:tc>
        <w:tc>
          <w:tcPr>
            <w:tcW w:w="1434" w:type="dxa"/>
            <w:tcBorders>
              <w:top w:val="single" w:sz="4" w:space="0" w:color="000000"/>
              <w:bottom w:val="single" w:sz="4" w:space="0" w:color="000000"/>
            </w:tcBorders>
          </w:tcPr>
          <w:p>
            <w:pPr>
              <w:pStyle w:val="TableParagraph"/>
              <w:spacing w:line="268" w:lineRule="exact"/>
              <w:ind w:left="736"/>
              <w:rPr>
                <w:sz w:val="24"/>
              </w:rPr>
            </w:pPr>
            <w:r>
              <w:rPr>
                <w:spacing w:val="-2"/>
                <w:sz w:val="24"/>
              </w:rPr>
              <w:t>3.107</w:t>
            </w:r>
          </w:p>
        </w:tc>
        <w:tc>
          <w:tcPr>
            <w:tcW w:w="1489" w:type="dxa"/>
            <w:tcBorders>
              <w:top w:val="single" w:sz="4" w:space="0" w:color="000000"/>
              <w:bottom w:val="single" w:sz="4" w:space="0" w:color="000000"/>
            </w:tcBorders>
          </w:tcPr>
          <w:p>
            <w:pPr>
              <w:pStyle w:val="TableParagraph"/>
              <w:spacing w:line="268" w:lineRule="exact"/>
              <w:ind w:left="733"/>
              <w:rPr>
                <w:sz w:val="24"/>
              </w:rPr>
            </w:pPr>
            <w:r>
              <w:rPr>
                <w:spacing w:val="-2"/>
                <w:sz w:val="24"/>
              </w:rPr>
              <w:t>1.042</w:t>
            </w:r>
          </w:p>
        </w:tc>
        <w:tc>
          <w:tcPr>
            <w:tcW w:w="1434" w:type="dxa"/>
            <w:tcBorders>
              <w:top w:val="single" w:sz="4" w:space="0" w:color="000000"/>
              <w:bottom w:val="single" w:sz="4" w:space="0" w:color="000000"/>
            </w:tcBorders>
          </w:tcPr>
          <w:p>
            <w:pPr>
              <w:pStyle w:val="TableParagraph"/>
              <w:spacing w:line="268" w:lineRule="exact"/>
              <w:ind w:left="677"/>
              <w:rPr>
                <w:sz w:val="24"/>
              </w:rPr>
            </w:pPr>
            <w:r>
              <w:rPr>
                <w:spacing w:val="-2"/>
                <w:sz w:val="24"/>
              </w:rPr>
              <w:t>1.058</w:t>
            </w:r>
          </w:p>
        </w:tc>
        <w:tc>
          <w:tcPr>
            <w:tcW w:w="1370" w:type="dxa"/>
            <w:tcBorders>
              <w:top w:val="single" w:sz="4" w:space="0" w:color="000000"/>
              <w:bottom w:val="single" w:sz="4" w:space="0" w:color="000000"/>
            </w:tcBorders>
          </w:tcPr>
          <w:p>
            <w:pPr>
              <w:pStyle w:val="TableParagraph"/>
              <w:spacing w:line="268" w:lineRule="exact"/>
              <w:ind w:left="676"/>
              <w:rPr>
                <w:sz w:val="24"/>
              </w:rPr>
            </w:pPr>
            <w:r>
              <w:rPr>
                <w:spacing w:val="-2"/>
                <w:sz w:val="24"/>
              </w:rPr>
              <w:t>5.155</w:t>
            </w:r>
          </w:p>
        </w:tc>
      </w:tr>
    </w:tbl>
    <w:p>
      <w:pPr>
        <w:pStyle w:val="BodyText"/>
        <w:spacing w:before="267"/>
        <w:rPr>
          <w:b/>
        </w:rPr>
      </w:pPr>
    </w:p>
    <w:p>
      <w:pPr>
        <w:pStyle w:val="BodyText"/>
        <w:spacing w:line="480" w:lineRule="auto"/>
        <w:ind w:left="267" w:right="105"/>
        <w:jc w:val="both"/>
      </w:pPr>
      <w:r>
        <w:rPr>
          <w:position w:val="2"/>
        </w:rPr>
        <w:t>As such, the null hypothesis (H</w:t>
      </w:r>
      <w:r>
        <w:rPr>
          <w:sz w:val="16"/>
        </w:rPr>
        <w:t>0</w:t>
      </w:r>
      <w:r>
        <w:rPr>
          <w:position w:val="2"/>
        </w:rPr>
        <w:t>) is rejected while the alternative hypothesis(H1) of a </w:t>
      </w:r>
      <w:r>
        <w:rPr/>
        <w:t>difference between the water poverty index of neighbourhoods located within the public mains and those</w:t>
      </w:r>
      <w:r>
        <w:rPr>
          <w:spacing w:val="-1"/>
        </w:rPr>
        <w:t> </w:t>
      </w:r>
      <w:r>
        <w:rPr/>
        <w:t>situated</w:t>
      </w:r>
      <w:r>
        <w:rPr>
          <w:spacing w:val="-1"/>
        </w:rPr>
        <w:t> </w:t>
      </w:r>
      <w:r>
        <w:rPr/>
        <w:t>partly</w:t>
      </w:r>
      <w:r>
        <w:rPr>
          <w:spacing w:val="-5"/>
        </w:rPr>
        <w:t> </w:t>
      </w:r>
      <w:r>
        <w:rPr/>
        <w:t>outside</w:t>
      </w:r>
      <w:r>
        <w:rPr>
          <w:spacing w:val="-1"/>
        </w:rPr>
        <w:t> </w:t>
      </w:r>
      <w:r>
        <w:rPr/>
        <w:t>the</w:t>
      </w:r>
      <w:r>
        <w:rPr>
          <w:spacing w:val="-1"/>
        </w:rPr>
        <w:t> </w:t>
      </w:r>
      <w:r>
        <w:rPr/>
        <w:t>public mains is accepted. A</w:t>
      </w:r>
      <w:r>
        <w:rPr>
          <w:spacing w:val="-1"/>
        </w:rPr>
        <w:t> </w:t>
      </w:r>
      <w:r>
        <w:rPr/>
        <w:t>cursory</w:t>
      </w:r>
      <w:r>
        <w:rPr>
          <w:spacing w:val="-3"/>
        </w:rPr>
        <w:t> </w:t>
      </w:r>
      <w:r>
        <w:rPr/>
        <w:t>examination of</w:t>
      </w:r>
      <w:r>
        <w:rPr>
          <w:spacing w:val="-1"/>
        </w:rPr>
        <w:t> </w:t>
      </w:r>
      <w:r>
        <w:rPr/>
        <w:t>the</w:t>
      </w:r>
      <w:r>
        <w:rPr>
          <w:spacing w:val="-1"/>
        </w:rPr>
        <w:t> </w:t>
      </w:r>
      <w:r>
        <w:rPr/>
        <w:t>mean WPI</w:t>
      </w:r>
      <w:r>
        <w:rPr>
          <w:spacing w:val="-6"/>
        </w:rPr>
        <w:t> </w:t>
      </w:r>
      <w:r>
        <w:rPr/>
        <w:t>for</w:t>
      </w:r>
      <w:r>
        <w:rPr>
          <w:spacing w:val="-1"/>
        </w:rPr>
        <w:t> </w:t>
      </w:r>
      <w:r>
        <w:rPr/>
        <w:t>the</w:t>
      </w:r>
      <w:r>
        <w:rPr>
          <w:spacing w:val="-1"/>
        </w:rPr>
        <w:t> </w:t>
      </w:r>
      <w:r>
        <w:rPr/>
        <w:t>two class of</w:t>
      </w:r>
      <w:r>
        <w:rPr>
          <w:spacing w:val="-1"/>
        </w:rPr>
        <w:t> </w:t>
      </w:r>
      <w:r>
        <w:rPr/>
        <w:t>neighbourhoods (those</w:t>
      </w:r>
      <w:r>
        <w:rPr>
          <w:spacing w:val="-1"/>
        </w:rPr>
        <w:t> </w:t>
      </w:r>
      <w:r>
        <w:rPr/>
        <w:t>located</w:t>
      </w:r>
      <w:r>
        <w:rPr>
          <w:spacing w:val="-1"/>
        </w:rPr>
        <w:t> </w:t>
      </w:r>
      <w:r>
        <w:rPr/>
        <w:t>within the</w:t>
      </w:r>
      <w:r>
        <w:rPr>
          <w:spacing w:val="-1"/>
        </w:rPr>
        <w:t> </w:t>
      </w:r>
      <w:r>
        <w:rPr/>
        <w:t>public</w:t>
      </w:r>
      <w:r>
        <w:rPr>
          <w:spacing w:val="-1"/>
        </w:rPr>
        <w:t> </w:t>
      </w:r>
      <w:r>
        <w:rPr/>
        <w:t>water mains and those partly outside the public water mains) and the positive direction of the t- statistic,</w:t>
      </w:r>
      <w:r>
        <w:rPr>
          <w:spacing w:val="-1"/>
        </w:rPr>
        <w:t> </w:t>
      </w:r>
      <w:r>
        <w:rPr/>
        <w:t>further</w:t>
      </w:r>
      <w:r>
        <w:rPr>
          <w:spacing w:val="-3"/>
        </w:rPr>
        <w:t> </w:t>
      </w:r>
      <w:r>
        <w:rPr/>
        <w:t>revealed that</w:t>
      </w:r>
      <w:r>
        <w:rPr>
          <w:spacing w:val="-1"/>
        </w:rPr>
        <w:t> </w:t>
      </w:r>
      <w:r>
        <w:rPr/>
        <w:t>there exists a</w:t>
      </w:r>
      <w:r>
        <w:rPr>
          <w:spacing w:val="-2"/>
        </w:rPr>
        <w:t> </w:t>
      </w:r>
      <w:r>
        <w:rPr/>
        <w:t>statistically</w:t>
      </w:r>
      <w:r>
        <w:rPr>
          <w:spacing w:val="-6"/>
        </w:rPr>
        <w:t> </w:t>
      </w:r>
      <w:r>
        <w:rPr/>
        <w:t>significant</w:t>
      </w:r>
      <w:r>
        <w:rPr>
          <w:spacing w:val="-1"/>
        </w:rPr>
        <w:t> </w:t>
      </w:r>
      <w:r>
        <w:rPr/>
        <w:t>increase in</w:t>
      </w:r>
      <w:r>
        <w:rPr>
          <w:spacing w:val="-1"/>
        </w:rPr>
        <w:t> </w:t>
      </w:r>
      <w:r>
        <w:rPr/>
        <w:t>water</w:t>
      </w:r>
      <w:r>
        <w:rPr>
          <w:spacing w:val="-3"/>
        </w:rPr>
        <w:t> </w:t>
      </w:r>
      <w:r>
        <w:rPr/>
        <w:t>poverty index of neighbourhoods within the public water mains over neighbourhoods which are partly outside the public water mains from 38.15 ± 10.06 to 41.26</w:t>
      </w:r>
      <w:r>
        <w:rPr>
          <w:spacing w:val="40"/>
        </w:rPr>
        <w:t> </w:t>
      </w:r>
      <w:r>
        <w:rPr/>
        <w:t>± 9.30 (p &lt; 0.05).</w:t>
      </w:r>
    </w:p>
    <w:p>
      <w:pPr>
        <w:pStyle w:val="BodyText"/>
        <w:spacing w:line="480" w:lineRule="auto" w:before="276"/>
        <w:ind w:left="267" w:right="105"/>
        <w:jc w:val="both"/>
      </w:pPr>
      <w:r>
        <w:rPr/>
        <w:t>A mean difference of 3.107 (8.14%) was the noticeable difference between the WPI of neighbourhoods</w:t>
      </w:r>
      <w:r>
        <w:rPr>
          <w:spacing w:val="-14"/>
        </w:rPr>
        <w:t> </w:t>
      </w:r>
      <w:r>
        <w:rPr/>
        <w:t>within</w:t>
      </w:r>
      <w:r>
        <w:rPr>
          <w:spacing w:val="-11"/>
        </w:rPr>
        <w:t> </w:t>
      </w:r>
      <w:r>
        <w:rPr/>
        <w:t>the</w:t>
      </w:r>
      <w:r>
        <w:rPr>
          <w:spacing w:val="-11"/>
        </w:rPr>
        <w:t> </w:t>
      </w:r>
      <w:r>
        <w:rPr/>
        <w:t>public</w:t>
      </w:r>
      <w:r>
        <w:rPr>
          <w:spacing w:val="-12"/>
        </w:rPr>
        <w:t> </w:t>
      </w:r>
      <w:r>
        <w:rPr/>
        <w:t>mains</w:t>
      </w:r>
      <w:r>
        <w:rPr>
          <w:spacing w:val="-11"/>
        </w:rPr>
        <w:t> </w:t>
      </w:r>
      <w:r>
        <w:rPr/>
        <w:t>and</w:t>
      </w:r>
      <w:r>
        <w:rPr>
          <w:spacing w:val="-11"/>
        </w:rPr>
        <w:t> </w:t>
      </w:r>
      <w:r>
        <w:rPr/>
        <w:t>neighbourhoods</w:t>
      </w:r>
      <w:r>
        <w:rPr>
          <w:spacing w:val="-10"/>
        </w:rPr>
        <w:t> </w:t>
      </w:r>
      <w:r>
        <w:rPr/>
        <w:t>partly</w:t>
      </w:r>
      <w:r>
        <w:rPr>
          <w:spacing w:val="-15"/>
        </w:rPr>
        <w:t> </w:t>
      </w:r>
      <w:r>
        <w:rPr/>
        <w:t>outside</w:t>
      </w:r>
      <w:r>
        <w:rPr>
          <w:spacing w:val="-12"/>
        </w:rPr>
        <w:t> </w:t>
      </w:r>
      <w:r>
        <w:rPr/>
        <w:t>the</w:t>
      </w:r>
      <w:r>
        <w:rPr>
          <w:spacing w:val="-8"/>
        </w:rPr>
        <w:t> </w:t>
      </w:r>
      <w:r>
        <w:rPr/>
        <w:t>public</w:t>
      </w:r>
      <w:r>
        <w:rPr>
          <w:spacing w:val="-11"/>
        </w:rPr>
        <w:t> </w:t>
      </w:r>
      <w:r>
        <w:rPr>
          <w:spacing w:val="-2"/>
        </w:rPr>
        <w:t>mains.</w:t>
      </w:r>
    </w:p>
    <w:p>
      <w:pPr>
        <w:spacing w:after="0" w:line="480" w:lineRule="auto"/>
        <w:jc w:val="both"/>
        <w:sectPr>
          <w:footerReference w:type="default" r:id="rId61"/>
          <w:pgSz w:w="12240" w:h="15840"/>
          <w:pgMar w:header="0" w:footer="1068" w:top="1340" w:bottom="1260" w:left="1720" w:right="1300"/>
          <w:pgNumType w:start="160"/>
        </w:sectPr>
      </w:pPr>
    </w:p>
    <w:p>
      <w:pPr>
        <w:pStyle w:val="BodyText"/>
        <w:spacing w:line="480" w:lineRule="auto" w:before="63"/>
        <w:ind w:left="267" w:right="106"/>
        <w:jc w:val="both"/>
      </w:pPr>
      <w:r>
        <w:rPr/>
        <w:t>Furthermore, as seen in the pentagram representations in figure 4.19a and figure 4.19b, this significant difference is equally noticeable in the water poverty components of the neighbourhoods within the public water mains on the one hand and those located partly outside the public water mains.</w:t>
      </w:r>
    </w:p>
    <w:p>
      <w:pPr>
        <w:pStyle w:val="BodyText"/>
        <w:spacing w:before="22"/>
        <w:rPr>
          <w:sz w:val="20"/>
        </w:rPr>
      </w:pPr>
      <w:r>
        <w:rPr/>
        <mc:AlternateContent>
          <mc:Choice Requires="wps">
            <w:drawing>
              <wp:anchor distT="0" distB="0" distL="0" distR="0" allowOverlap="1" layoutInCell="1" locked="0" behindDoc="1" simplePos="0" relativeHeight="487615488">
                <wp:simplePos x="0" y="0"/>
                <wp:positionH relativeFrom="page">
                  <wp:posOffset>1257300</wp:posOffset>
                </wp:positionH>
                <wp:positionV relativeFrom="paragraph">
                  <wp:posOffset>176014</wp:posOffset>
                </wp:positionV>
                <wp:extent cx="5474335" cy="4269105"/>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5474335" cy="4269105"/>
                          <a:chExt cx="5474335" cy="4269105"/>
                        </a:xfrm>
                      </wpg:grpSpPr>
                      <wps:wsp>
                        <wps:cNvPr id="141" name="Graphic 141"/>
                        <wps:cNvSpPr/>
                        <wps:spPr>
                          <a:xfrm>
                            <a:off x="1261872" y="752855"/>
                            <a:ext cx="3007360" cy="2860675"/>
                          </a:xfrm>
                          <a:custGeom>
                            <a:avLst/>
                            <a:gdLst/>
                            <a:ahLst/>
                            <a:cxnLst/>
                            <a:rect l="l" t="t" r="r" b="b"/>
                            <a:pathLst>
                              <a:path w="3007360" h="2860675">
                                <a:moveTo>
                                  <a:pt x="1502664" y="1264920"/>
                                </a:moveTo>
                                <a:lnTo>
                                  <a:pt x="1804415" y="1482852"/>
                                </a:lnTo>
                                <a:lnTo>
                                  <a:pt x="1688591" y="1836420"/>
                                </a:lnTo>
                                <a:lnTo>
                                  <a:pt x="1318260" y="1836420"/>
                                </a:lnTo>
                                <a:lnTo>
                                  <a:pt x="1202436" y="1482852"/>
                                </a:lnTo>
                                <a:lnTo>
                                  <a:pt x="1502664" y="1264920"/>
                                </a:lnTo>
                              </a:path>
                              <a:path w="3007360" h="2860675">
                                <a:moveTo>
                                  <a:pt x="1502664" y="949452"/>
                                </a:moveTo>
                                <a:lnTo>
                                  <a:pt x="2104643" y="1385316"/>
                                </a:lnTo>
                                <a:lnTo>
                                  <a:pt x="1874519" y="2092452"/>
                                </a:lnTo>
                                <a:lnTo>
                                  <a:pt x="1132331" y="2092452"/>
                                </a:lnTo>
                                <a:lnTo>
                                  <a:pt x="902207" y="1385316"/>
                                </a:lnTo>
                                <a:lnTo>
                                  <a:pt x="1502664" y="949452"/>
                                </a:lnTo>
                              </a:path>
                              <a:path w="3007360" h="2860675">
                                <a:moveTo>
                                  <a:pt x="1502664" y="632460"/>
                                </a:moveTo>
                                <a:lnTo>
                                  <a:pt x="2404872" y="1287780"/>
                                </a:lnTo>
                                <a:lnTo>
                                  <a:pt x="2060448" y="2348484"/>
                                </a:lnTo>
                                <a:lnTo>
                                  <a:pt x="946403" y="2348484"/>
                                </a:lnTo>
                                <a:lnTo>
                                  <a:pt x="601979" y="1287780"/>
                                </a:lnTo>
                                <a:lnTo>
                                  <a:pt x="1502664" y="632460"/>
                                </a:lnTo>
                              </a:path>
                              <a:path w="3007360" h="2860675">
                                <a:moveTo>
                                  <a:pt x="1502664" y="316992"/>
                                </a:moveTo>
                                <a:lnTo>
                                  <a:pt x="2706624" y="1190244"/>
                                </a:lnTo>
                                <a:lnTo>
                                  <a:pt x="2246376" y="2604516"/>
                                </a:lnTo>
                                <a:lnTo>
                                  <a:pt x="760476" y="2604516"/>
                                </a:lnTo>
                                <a:lnTo>
                                  <a:pt x="300227" y="1190244"/>
                                </a:lnTo>
                                <a:lnTo>
                                  <a:pt x="1502664" y="316992"/>
                                </a:lnTo>
                              </a:path>
                              <a:path w="3007360" h="2860675">
                                <a:moveTo>
                                  <a:pt x="1502664" y="0"/>
                                </a:moveTo>
                                <a:lnTo>
                                  <a:pt x="3006852" y="1092708"/>
                                </a:lnTo>
                                <a:lnTo>
                                  <a:pt x="2432304" y="2860548"/>
                                </a:lnTo>
                                <a:lnTo>
                                  <a:pt x="574547" y="2860548"/>
                                </a:lnTo>
                                <a:lnTo>
                                  <a:pt x="0" y="1092708"/>
                                </a:lnTo>
                                <a:lnTo>
                                  <a:pt x="1502664" y="0"/>
                                </a:lnTo>
                              </a:path>
                            </a:pathLst>
                          </a:custGeom>
                          <a:ln w="9144">
                            <a:solidFill>
                              <a:srgbClr val="D9D9D9"/>
                            </a:solidFill>
                            <a:prstDash val="solid"/>
                          </a:ln>
                        </wps:spPr>
                        <wps:bodyPr wrap="square" lIns="0" tIns="0" rIns="0" bIns="0" rtlCol="0">
                          <a:prstTxWarp prst="textNoShape">
                            <a:avLst/>
                          </a:prstTxWarp>
                          <a:noAutofit/>
                        </wps:bodyPr>
                      </wps:wsp>
                      <wps:wsp>
                        <wps:cNvPr id="142" name="Graphic 142"/>
                        <wps:cNvSpPr/>
                        <wps:spPr>
                          <a:xfrm>
                            <a:off x="1921001" y="1584197"/>
                            <a:ext cx="1559560" cy="1313815"/>
                          </a:xfrm>
                          <a:custGeom>
                            <a:avLst/>
                            <a:gdLst/>
                            <a:ahLst/>
                            <a:cxnLst/>
                            <a:rect l="l" t="t" r="r" b="b"/>
                            <a:pathLst>
                              <a:path w="1559560" h="1313815">
                                <a:moveTo>
                                  <a:pt x="0" y="475488"/>
                                </a:moveTo>
                                <a:lnTo>
                                  <a:pt x="844296" y="0"/>
                                </a:lnTo>
                                <a:lnTo>
                                  <a:pt x="1559052" y="516636"/>
                                </a:lnTo>
                                <a:lnTo>
                                  <a:pt x="1254252" y="1313688"/>
                                </a:lnTo>
                                <a:lnTo>
                                  <a:pt x="725424" y="914400"/>
                                </a:lnTo>
                                <a:lnTo>
                                  <a:pt x="0" y="475488"/>
                                </a:lnTo>
                              </a:path>
                            </a:pathLst>
                          </a:custGeom>
                          <a:ln w="25908">
                            <a:solidFill>
                              <a:srgbClr val="4471C4"/>
                            </a:solidFill>
                            <a:prstDash val="dot"/>
                          </a:ln>
                        </wps:spPr>
                        <wps:bodyPr wrap="square" lIns="0" tIns="0" rIns="0" bIns="0" rtlCol="0">
                          <a:prstTxWarp prst="textNoShape">
                            <a:avLst/>
                          </a:prstTxWarp>
                          <a:noAutofit/>
                        </wps:bodyPr>
                      </wps:wsp>
                      <pic:pic>
                        <pic:nvPicPr>
                          <pic:cNvPr id="143" name="Image 143"/>
                          <pic:cNvPicPr/>
                        </pic:nvPicPr>
                        <pic:blipFill>
                          <a:blip r:embed="rId62" cstate="print"/>
                          <a:stretch>
                            <a:fillRect/>
                          </a:stretch>
                        </pic:blipFill>
                        <pic:spPr>
                          <a:xfrm>
                            <a:off x="2726308" y="1546605"/>
                            <a:ext cx="76200" cy="76200"/>
                          </a:xfrm>
                          <a:prstGeom prst="rect">
                            <a:avLst/>
                          </a:prstGeom>
                        </pic:spPr>
                      </pic:pic>
                      <pic:pic>
                        <pic:nvPicPr>
                          <pic:cNvPr id="144" name="Image 144"/>
                          <pic:cNvPicPr/>
                        </pic:nvPicPr>
                        <pic:blipFill>
                          <a:blip r:embed="rId62" cstate="print"/>
                          <a:stretch>
                            <a:fillRect/>
                          </a:stretch>
                        </pic:blipFill>
                        <pic:spPr>
                          <a:xfrm>
                            <a:off x="3442589" y="2063242"/>
                            <a:ext cx="76200" cy="76200"/>
                          </a:xfrm>
                          <a:prstGeom prst="rect">
                            <a:avLst/>
                          </a:prstGeom>
                        </pic:spPr>
                      </pic:pic>
                      <pic:pic>
                        <pic:nvPicPr>
                          <pic:cNvPr id="145" name="Image 145"/>
                          <pic:cNvPicPr/>
                        </pic:nvPicPr>
                        <pic:blipFill>
                          <a:blip r:embed="rId62" cstate="print"/>
                          <a:stretch>
                            <a:fillRect/>
                          </a:stretch>
                        </pic:blipFill>
                        <pic:spPr>
                          <a:xfrm>
                            <a:off x="3136264" y="2858770"/>
                            <a:ext cx="76200" cy="76200"/>
                          </a:xfrm>
                          <a:prstGeom prst="rect">
                            <a:avLst/>
                          </a:prstGeom>
                        </pic:spPr>
                      </pic:pic>
                      <pic:pic>
                        <pic:nvPicPr>
                          <pic:cNvPr id="146" name="Image 146"/>
                          <pic:cNvPicPr/>
                        </pic:nvPicPr>
                        <pic:blipFill>
                          <a:blip r:embed="rId62" cstate="print"/>
                          <a:stretch>
                            <a:fillRect/>
                          </a:stretch>
                        </pic:blipFill>
                        <pic:spPr>
                          <a:xfrm>
                            <a:off x="2607436" y="2459482"/>
                            <a:ext cx="76200" cy="76200"/>
                          </a:xfrm>
                          <a:prstGeom prst="rect">
                            <a:avLst/>
                          </a:prstGeom>
                        </pic:spPr>
                      </pic:pic>
                      <pic:pic>
                        <pic:nvPicPr>
                          <pic:cNvPr id="147" name="Image 147"/>
                          <pic:cNvPicPr/>
                        </pic:nvPicPr>
                        <pic:blipFill>
                          <a:blip r:embed="rId62" cstate="print"/>
                          <a:stretch>
                            <a:fillRect/>
                          </a:stretch>
                        </pic:blipFill>
                        <pic:spPr>
                          <a:xfrm>
                            <a:off x="1882013" y="2020570"/>
                            <a:ext cx="76200" cy="76200"/>
                          </a:xfrm>
                          <a:prstGeom prst="rect">
                            <a:avLst/>
                          </a:prstGeom>
                        </pic:spPr>
                      </pic:pic>
                      <wps:wsp>
                        <wps:cNvPr id="148" name="Graphic 148"/>
                        <wps:cNvSpPr/>
                        <wps:spPr>
                          <a:xfrm>
                            <a:off x="2155698" y="1815845"/>
                            <a:ext cx="1022985" cy="1087120"/>
                          </a:xfrm>
                          <a:custGeom>
                            <a:avLst/>
                            <a:gdLst/>
                            <a:ahLst/>
                            <a:cxnLst/>
                            <a:rect l="l" t="t" r="r" b="b"/>
                            <a:pathLst>
                              <a:path w="1022985" h="1087120">
                                <a:moveTo>
                                  <a:pt x="0" y="320039"/>
                                </a:moveTo>
                                <a:lnTo>
                                  <a:pt x="609600" y="0"/>
                                </a:lnTo>
                                <a:lnTo>
                                  <a:pt x="1013460" y="387096"/>
                                </a:lnTo>
                                <a:lnTo>
                                  <a:pt x="1022603" y="1086612"/>
                                </a:lnTo>
                                <a:lnTo>
                                  <a:pt x="432815" y="760476"/>
                                </a:lnTo>
                                <a:lnTo>
                                  <a:pt x="0" y="320039"/>
                                </a:lnTo>
                              </a:path>
                            </a:pathLst>
                          </a:custGeom>
                          <a:ln w="25908">
                            <a:solidFill>
                              <a:srgbClr val="EC7C30"/>
                            </a:solidFill>
                            <a:prstDash val="dot"/>
                          </a:ln>
                        </wps:spPr>
                        <wps:bodyPr wrap="square" lIns="0" tIns="0" rIns="0" bIns="0" rtlCol="0">
                          <a:prstTxWarp prst="textNoShape">
                            <a:avLst/>
                          </a:prstTxWarp>
                          <a:noAutofit/>
                        </wps:bodyPr>
                      </wps:wsp>
                      <pic:pic>
                        <pic:nvPicPr>
                          <pic:cNvPr id="149" name="Image 149"/>
                          <pic:cNvPicPr/>
                        </pic:nvPicPr>
                        <pic:blipFill>
                          <a:blip r:embed="rId63" cstate="print"/>
                          <a:stretch>
                            <a:fillRect/>
                          </a:stretch>
                        </pic:blipFill>
                        <pic:spPr>
                          <a:xfrm>
                            <a:off x="2726308" y="1776729"/>
                            <a:ext cx="76200" cy="76200"/>
                          </a:xfrm>
                          <a:prstGeom prst="rect">
                            <a:avLst/>
                          </a:prstGeom>
                        </pic:spPr>
                      </pic:pic>
                      <pic:pic>
                        <pic:nvPicPr>
                          <pic:cNvPr id="150" name="Image 150"/>
                          <pic:cNvPicPr/>
                        </pic:nvPicPr>
                        <pic:blipFill>
                          <a:blip r:embed="rId63" cstate="print"/>
                          <a:stretch>
                            <a:fillRect/>
                          </a:stretch>
                        </pic:blipFill>
                        <pic:spPr>
                          <a:xfrm>
                            <a:off x="3131692" y="2163826"/>
                            <a:ext cx="76200" cy="76200"/>
                          </a:xfrm>
                          <a:prstGeom prst="rect">
                            <a:avLst/>
                          </a:prstGeom>
                        </pic:spPr>
                      </pic:pic>
                      <pic:pic>
                        <pic:nvPicPr>
                          <pic:cNvPr id="151" name="Image 151"/>
                          <pic:cNvPicPr/>
                        </pic:nvPicPr>
                        <pic:blipFill>
                          <a:blip r:embed="rId63" cstate="print"/>
                          <a:stretch>
                            <a:fillRect/>
                          </a:stretch>
                        </pic:blipFill>
                        <pic:spPr>
                          <a:xfrm>
                            <a:off x="3139313" y="2863342"/>
                            <a:ext cx="76200" cy="76200"/>
                          </a:xfrm>
                          <a:prstGeom prst="rect">
                            <a:avLst/>
                          </a:prstGeom>
                        </pic:spPr>
                      </pic:pic>
                      <pic:pic>
                        <pic:nvPicPr>
                          <pic:cNvPr id="152" name="Image 152"/>
                          <pic:cNvPicPr/>
                        </pic:nvPicPr>
                        <pic:blipFill>
                          <a:blip r:embed="rId63" cstate="print"/>
                          <a:stretch>
                            <a:fillRect/>
                          </a:stretch>
                        </pic:blipFill>
                        <pic:spPr>
                          <a:xfrm>
                            <a:off x="2551048" y="2538729"/>
                            <a:ext cx="76200" cy="76200"/>
                          </a:xfrm>
                          <a:prstGeom prst="rect">
                            <a:avLst/>
                          </a:prstGeom>
                        </pic:spPr>
                      </pic:pic>
                      <pic:pic>
                        <pic:nvPicPr>
                          <pic:cNvPr id="153" name="Image 153"/>
                          <pic:cNvPicPr/>
                        </pic:nvPicPr>
                        <pic:blipFill>
                          <a:blip r:embed="rId63" cstate="print"/>
                          <a:stretch>
                            <a:fillRect/>
                          </a:stretch>
                        </pic:blipFill>
                        <pic:spPr>
                          <a:xfrm>
                            <a:off x="2118232" y="2098294"/>
                            <a:ext cx="76200" cy="76200"/>
                          </a:xfrm>
                          <a:prstGeom prst="rect">
                            <a:avLst/>
                          </a:prstGeom>
                        </pic:spPr>
                      </pic:pic>
                      <wps:wsp>
                        <wps:cNvPr id="154" name="Graphic 154"/>
                        <wps:cNvSpPr/>
                        <wps:spPr>
                          <a:xfrm>
                            <a:off x="2158745" y="1611630"/>
                            <a:ext cx="1289685" cy="1367155"/>
                          </a:xfrm>
                          <a:custGeom>
                            <a:avLst/>
                            <a:gdLst/>
                            <a:ahLst/>
                            <a:cxnLst/>
                            <a:rect l="l" t="t" r="r" b="b"/>
                            <a:pathLst>
                              <a:path w="1289685" h="1367155">
                                <a:moveTo>
                                  <a:pt x="0" y="525779"/>
                                </a:moveTo>
                                <a:lnTo>
                                  <a:pt x="606551" y="0"/>
                                </a:lnTo>
                                <a:lnTo>
                                  <a:pt x="1289303" y="499872"/>
                                </a:lnTo>
                                <a:lnTo>
                                  <a:pt x="1074419" y="1367027"/>
                                </a:lnTo>
                                <a:lnTo>
                                  <a:pt x="437388" y="955548"/>
                                </a:lnTo>
                                <a:lnTo>
                                  <a:pt x="0" y="525779"/>
                                </a:lnTo>
                              </a:path>
                            </a:pathLst>
                          </a:custGeom>
                          <a:ln w="25908">
                            <a:solidFill>
                              <a:srgbClr val="A4A4A4"/>
                            </a:solidFill>
                            <a:prstDash val="dot"/>
                          </a:ln>
                        </wps:spPr>
                        <wps:bodyPr wrap="square" lIns="0" tIns="0" rIns="0" bIns="0" rtlCol="0">
                          <a:prstTxWarp prst="textNoShape">
                            <a:avLst/>
                          </a:prstTxWarp>
                          <a:noAutofit/>
                        </wps:bodyPr>
                      </wps:wsp>
                      <pic:pic>
                        <pic:nvPicPr>
                          <pic:cNvPr id="155" name="Image 155"/>
                          <pic:cNvPicPr/>
                        </pic:nvPicPr>
                        <pic:blipFill>
                          <a:blip r:embed="rId64" cstate="print"/>
                          <a:stretch>
                            <a:fillRect/>
                          </a:stretch>
                        </pic:blipFill>
                        <pic:spPr>
                          <a:xfrm>
                            <a:off x="2726308" y="1574038"/>
                            <a:ext cx="76200" cy="76200"/>
                          </a:xfrm>
                          <a:prstGeom prst="rect">
                            <a:avLst/>
                          </a:prstGeom>
                        </pic:spPr>
                      </pic:pic>
                      <pic:pic>
                        <pic:nvPicPr>
                          <pic:cNvPr id="156" name="Image 156"/>
                          <pic:cNvPicPr/>
                        </pic:nvPicPr>
                        <pic:blipFill>
                          <a:blip r:embed="rId64" cstate="print"/>
                          <a:stretch>
                            <a:fillRect/>
                          </a:stretch>
                        </pic:blipFill>
                        <pic:spPr>
                          <a:xfrm>
                            <a:off x="3410584" y="2073910"/>
                            <a:ext cx="76200" cy="76200"/>
                          </a:xfrm>
                          <a:prstGeom prst="rect">
                            <a:avLst/>
                          </a:prstGeom>
                        </pic:spPr>
                      </pic:pic>
                      <pic:pic>
                        <pic:nvPicPr>
                          <pic:cNvPr id="157" name="Image 157"/>
                          <pic:cNvPicPr/>
                        </pic:nvPicPr>
                        <pic:blipFill>
                          <a:blip r:embed="rId64" cstate="print"/>
                          <a:stretch>
                            <a:fillRect/>
                          </a:stretch>
                        </pic:blipFill>
                        <pic:spPr>
                          <a:xfrm>
                            <a:off x="3195701" y="2939542"/>
                            <a:ext cx="76200" cy="76200"/>
                          </a:xfrm>
                          <a:prstGeom prst="rect">
                            <a:avLst/>
                          </a:prstGeom>
                        </pic:spPr>
                      </pic:pic>
                      <pic:pic>
                        <pic:nvPicPr>
                          <pic:cNvPr id="158" name="Image 158"/>
                          <pic:cNvPicPr/>
                        </pic:nvPicPr>
                        <pic:blipFill>
                          <a:blip r:embed="rId64" cstate="print"/>
                          <a:stretch>
                            <a:fillRect/>
                          </a:stretch>
                        </pic:blipFill>
                        <pic:spPr>
                          <a:xfrm>
                            <a:off x="2557145" y="2528061"/>
                            <a:ext cx="76200" cy="76200"/>
                          </a:xfrm>
                          <a:prstGeom prst="rect">
                            <a:avLst/>
                          </a:prstGeom>
                        </pic:spPr>
                      </pic:pic>
                      <pic:pic>
                        <pic:nvPicPr>
                          <pic:cNvPr id="159" name="Image 159"/>
                          <pic:cNvPicPr/>
                        </pic:nvPicPr>
                        <pic:blipFill>
                          <a:blip r:embed="rId64" cstate="print"/>
                          <a:stretch>
                            <a:fillRect/>
                          </a:stretch>
                        </pic:blipFill>
                        <pic:spPr>
                          <a:xfrm>
                            <a:off x="2119757" y="2098294"/>
                            <a:ext cx="76200" cy="76200"/>
                          </a:xfrm>
                          <a:prstGeom prst="rect">
                            <a:avLst/>
                          </a:prstGeom>
                        </pic:spPr>
                      </pic:pic>
                      <wps:wsp>
                        <wps:cNvPr id="160" name="Graphic 160"/>
                        <wps:cNvSpPr/>
                        <wps:spPr>
                          <a:xfrm>
                            <a:off x="1753361" y="1526286"/>
                            <a:ext cx="1632585" cy="1412875"/>
                          </a:xfrm>
                          <a:custGeom>
                            <a:avLst/>
                            <a:gdLst/>
                            <a:ahLst/>
                            <a:cxnLst/>
                            <a:rect l="l" t="t" r="r" b="b"/>
                            <a:pathLst>
                              <a:path w="1632585" h="1412875">
                                <a:moveTo>
                                  <a:pt x="0" y="478536"/>
                                </a:moveTo>
                                <a:lnTo>
                                  <a:pt x="1011936" y="0"/>
                                </a:lnTo>
                                <a:lnTo>
                                  <a:pt x="1632203" y="606551"/>
                                </a:lnTo>
                                <a:lnTo>
                                  <a:pt x="1450848" y="1412748"/>
                                </a:lnTo>
                                <a:lnTo>
                                  <a:pt x="871727" y="1001268"/>
                                </a:lnTo>
                                <a:lnTo>
                                  <a:pt x="0" y="478536"/>
                                </a:lnTo>
                              </a:path>
                            </a:pathLst>
                          </a:custGeom>
                          <a:ln w="25908">
                            <a:solidFill>
                              <a:srgbClr val="FFC000"/>
                            </a:solidFill>
                            <a:prstDash val="dot"/>
                          </a:ln>
                        </wps:spPr>
                        <wps:bodyPr wrap="square" lIns="0" tIns="0" rIns="0" bIns="0" rtlCol="0">
                          <a:prstTxWarp prst="textNoShape">
                            <a:avLst/>
                          </a:prstTxWarp>
                          <a:noAutofit/>
                        </wps:bodyPr>
                      </wps:wsp>
                      <pic:pic>
                        <pic:nvPicPr>
                          <pic:cNvPr id="161" name="Image 161"/>
                          <pic:cNvPicPr/>
                        </pic:nvPicPr>
                        <pic:blipFill>
                          <a:blip r:embed="rId65" cstate="print"/>
                          <a:stretch>
                            <a:fillRect/>
                          </a:stretch>
                        </pic:blipFill>
                        <pic:spPr>
                          <a:xfrm>
                            <a:off x="2726308" y="1488694"/>
                            <a:ext cx="76200" cy="76200"/>
                          </a:xfrm>
                          <a:prstGeom prst="rect">
                            <a:avLst/>
                          </a:prstGeom>
                        </pic:spPr>
                      </pic:pic>
                      <pic:pic>
                        <pic:nvPicPr>
                          <pic:cNvPr id="162" name="Image 162"/>
                          <pic:cNvPicPr/>
                        </pic:nvPicPr>
                        <pic:blipFill>
                          <a:blip r:embed="rId65" cstate="print"/>
                          <a:stretch>
                            <a:fillRect/>
                          </a:stretch>
                        </pic:blipFill>
                        <pic:spPr>
                          <a:xfrm>
                            <a:off x="3346577" y="2093722"/>
                            <a:ext cx="76200" cy="76200"/>
                          </a:xfrm>
                          <a:prstGeom prst="rect">
                            <a:avLst/>
                          </a:prstGeom>
                        </pic:spPr>
                      </pic:pic>
                      <pic:pic>
                        <pic:nvPicPr>
                          <pic:cNvPr id="163" name="Image 163"/>
                          <pic:cNvPicPr/>
                        </pic:nvPicPr>
                        <pic:blipFill>
                          <a:blip r:embed="rId65" cstate="print"/>
                          <a:stretch>
                            <a:fillRect/>
                          </a:stretch>
                        </pic:blipFill>
                        <pic:spPr>
                          <a:xfrm>
                            <a:off x="3166745" y="2901442"/>
                            <a:ext cx="76200" cy="76200"/>
                          </a:xfrm>
                          <a:prstGeom prst="rect">
                            <a:avLst/>
                          </a:prstGeom>
                        </pic:spPr>
                      </pic:pic>
                      <pic:pic>
                        <pic:nvPicPr>
                          <pic:cNvPr id="164" name="Image 164"/>
                          <pic:cNvPicPr/>
                        </pic:nvPicPr>
                        <pic:blipFill>
                          <a:blip r:embed="rId65" cstate="print"/>
                          <a:stretch>
                            <a:fillRect/>
                          </a:stretch>
                        </pic:blipFill>
                        <pic:spPr>
                          <a:xfrm>
                            <a:off x="2586101" y="2488438"/>
                            <a:ext cx="76200" cy="76200"/>
                          </a:xfrm>
                          <a:prstGeom prst="rect">
                            <a:avLst/>
                          </a:prstGeom>
                        </pic:spPr>
                      </pic:pic>
                      <pic:pic>
                        <pic:nvPicPr>
                          <pic:cNvPr id="165" name="Image 165"/>
                          <pic:cNvPicPr/>
                        </pic:nvPicPr>
                        <pic:blipFill>
                          <a:blip r:embed="rId65" cstate="print"/>
                          <a:stretch>
                            <a:fillRect/>
                          </a:stretch>
                        </pic:blipFill>
                        <pic:spPr>
                          <a:xfrm>
                            <a:off x="1714373" y="1967229"/>
                            <a:ext cx="76200" cy="76200"/>
                          </a:xfrm>
                          <a:prstGeom prst="rect">
                            <a:avLst/>
                          </a:prstGeom>
                        </pic:spPr>
                      </pic:pic>
                      <wps:wsp>
                        <wps:cNvPr id="166" name="Graphic 166"/>
                        <wps:cNvSpPr/>
                        <wps:spPr>
                          <a:xfrm>
                            <a:off x="150113" y="4048505"/>
                            <a:ext cx="320040" cy="1270"/>
                          </a:xfrm>
                          <a:custGeom>
                            <a:avLst/>
                            <a:gdLst/>
                            <a:ahLst/>
                            <a:cxnLst/>
                            <a:rect l="l" t="t" r="r" b="b"/>
                            <a:pathLst>
                              <a:path w="320040" h="0">
                                <a:moveTo>
                                  <a:pt x="0" y="0"/>
                                </a:moveTo>
                                <a:lnTo>
                                  <a:pt x="320040" y="0"/>
                                </a:lnTo>
                              </a:path>
                            </a:pathLst>
                          </a:custGeom>
                          <a:ln w="25908">
                            <a:solidFill>
                              <a:srgbClr val="4471C4"/>
                            </a:solidFill>
                            <a:prstDash val="dot"/>
                          </a:ln>
                        </wps:spPr>
                        <wps:bodyPr wrap="square" lIns="0" tIns="0" rIns="0" bIns="0" rtlCol="0">
                          <a:prstTxWarp prst="textNoShape">
                            <a:avLst/>
                          </a:prstTxWarp>
                          <a:noAutofit/>
                        </wps:bodyPr>
                      </wps:wsp>
                      <pic:pic>
                        <pic:nvPicPr>
                          <pic:cNvPr id="167" name="Image 167"/>
                          <pic:cNvPicPr/>
                        </pic:nvPicPr>
                        <pic:blipFill>
                          <a:blip r:embed="rId62" cstate="print"/>
                          <a:stretch>
                            <a:fillRect/>
                          </a:stretch>
                        </pic:blipFill>
                        <pic:spPr>
                          <a:xfrm>
                            <a:off x="271272" y="4009644"/>
                            <a:ext cx="76200" cy="76200"/>
                          </a:xfrm>
                          <a:prstGeom prst="rect">
                            <a:avLst/>
                          </a:prstGeom>
                        </pic:spPr>
                      </pic:pic>
                      <wps:wsp>
                        <wps:cNvPr id="168" name="Graphic 168"/>
                        <wps:cNvSpPr/>
                        <wps:spPr>
                          <a:xfrm>
                            <a:off x="1340358" y="4048505"/>
                            <a:ext cx="320040" cy="1270"/>
                          </a:xfrm>
                          <a:custGeom>
                            <a:avLst/>
                            <a:gdLst/>
                            <a:ahLst/>
                            <a:cxnLst/>
                            <a:rect l="l" t="t" r="r" b="b"/>
                            <a:pathLst>
                              <a:path w="320040" h="0">
                                <a:moveTo>
                                  <a:pt x="0" y="0"/>
                                </a:moveTo>
                                <a:lnTo>
                                  <a:pt x="320040" y="0"/>
                                </a:lnTo>
                              </a:path>
                            </a:pathLst>
                          </a:custGeom>
                          <a:ln w="25908">
                            <a:solidFill>
                              <a:srgbClr val="EC7C30"/>
                            </a:solidFill>
                            <a:prstDash val="dot"/>
                          </a:ln>
                        </wps:spPr>
                        <wps:bodyPr wrap="square" lIns="0" tIns="0" rIns="0" bIns="0" rtlCol="0">
                          <a:prstTxWarp prst="textNoShape">
                            <a:avLst/>
                          </a:prstTxWarp>
                          <a:noAutofit/>
                        </wps:bodyPr>
                      </wps:wsp>
                      <pic:pic>
                        <pic:nvPicPr>
                          <pic:cNvPr id="169" name="Image 169"/>
                          <pic:cNvPicPr/>
                        </pic:nvPicPr>
                        <pic:blipFill>
                          <a:blip r:embed="rId63" cstate="print"/>
                          <a:stretch>
                            <a:fillRect/>
                          </a:stretch>
                        </pic:blipFill>
                        <pic:spPr>
                          <a:xfrm>
                            <a:off x="1461516" y="4009644"/>
                            <a:ext cx="76200" cy="76200"/>
                          </a:xfrm>
                          <a:prstGeom prst="rect">
                            <a:avLst/>
                          </a:prstGeom>
                        </pic:spPr>
                      </pic:pic>
                      <wps:wsp>
                        <wps:cNvPr id="170" name="Graphic 170"/>
                        <wps:cNvSpPr/>
                        <wps:spPr>
                          <a:xfrm>
                            <a:off x="2343150" y="4048505"/>
                            <a:ext cx="320040" cy="1270"/>
                          </a:xfrm>
                          <a:custGeom>
                            <a:avLst/>
                            <a:gdLst/>
                            <a:ahLst/>
                            <a:cxnLst/>
                            <a:rect l="l" t="t" r="r" b="b"/>
                            <a:pathLst>
                              <a:path w="320040" h="0">
                                <a:moveTo>
                                  <a:pt x="0" y="0"/>
                                </a:moveTo>
                                <a:lnTo>
                                  <a:pt x="320039" y="0"/>
                                </a:lnTo>
                              </a:path>
                            </a:pathLst>
                          </a:custGeom>
                          <a:ln w="25908">
                            <a:solidFill>
                              <a:srgbClr val="A4A4A4"/>
                            </a:solidFill>
                            <a:prstDash val="dot"/>
                          </a:ln>
                        </wps:spPr>
                        <wps:bodyPr wrap="square" lIns="0" tIns="0" rIns="0" bIns="0" rtlCol="0">
                          <a:prstTxWarp prst="textNoShape">
                            <a:avLst/>
                          </a:prstTxWarp>
                          <a:noAutofit/>
                        </wps:bodyPr>
                      </wps:wsp>
                      <pic:pic>
                        <pic:nvPicPr>
                          <pic:cNvPr id="171" name="Image 171"/>
                          <pic:cNvPicPr/>
                        </pic:nvPicPr>
                        <pic:blipFill>
                          <a:blip r:embed="rId64" cstate="print"/>
                          <a:stretch>
                            <a:fillRect/>
                          </a:stretch>
                        </pic:blipFill>
                        <pic:spPr>
                          <a:xfrm>
                            <a:off x="2464307" y="4009644"/>
                            <a:ext cx="76200" cy="76200"/>
                          </a:xfrm>
                          <a:prstGeom prst="rect">
                            <a:avLst/>
                          </a:prstGeom>
                        </pic:spPr>
                      </pic:pic>
                      <wps:wsp>
                        <wps:cNvPr id="172" name="Graphic 172"/>
                        <wps:cNvSpPr/>
                        <wps:spPr>
                          <a:xfrm>
                            <a:off x="3693414" y="4048505"/>
                            <a:ext cx="320040" cy="1270"/>
                          </a:xfrm>
                          <a:custGeom>
                            <a:avLst/>
                            <a:gdLst/>
                            <a:ahLst/>
                            <a:cxnLst/>
                            <a:rect l="l" t="t" r="r" b="b"/>
                            <a:pathLst>
                              <a:path w="320040" h="0">
                                <a:moveTo>
                                  <a:pt x="0" y="0"/>
                                </a:moveTo>
                                <a:lnTo>
                                  <a:pt x="320039" y="0"/>
                                </a:lnTo>
                              </a:path>
                            </a:pathLst>
                          </a:custGeom>
                          <a:ln w="25908">
                            <a:solidFill>
                              <a:srgbClr val="FFC000"/>
                            </a:solidFill>
                            <a:prstDash val="dot"/>
                          </a:ln>
                        </wps:spPr>
                        <wps:bodyPr wrap="square" lIns="0" tIns="0" rIns="0" bIns="0" rtlCol="0">
                          <a:prstTxWarp prst="textNoShape">
                            <a:avLst/>
                          </a:prstTxWarp>
                          <a:noAutofit/>
                        </wps:bodyPr>
                      </wps:wsp>
                      <pic:pic>
                        <pic:nvPicPr>
                          <pic:cNvPr id="173" name="Image 173"/>
                          <pic:cNvPicPr/>
                        </pic:nvPicPr>
                        <pic:blipFill>
                          <a:blip r:embed="rId65" cstate="print"/>
                          <a:stretch>
                            <a:fillRect/>
                          </a:stretch>
                        </pic:blipFill>
                        <pic:spPr>
                          <a:xfrm>
                            <a:off x="3814571" y="4009644"/>
                            <a:ext cx="76200" cy="76200"/>
                          </a:xfrm>
                          <a:prstGeom prst="rect">
                            <a:avLst/>
                          </a:prstGeom>
                        </pic:spPr>
                      </pic:pic>
                      <wps:wsp>
                        <wps:cNvPr id="174" name="Graphic 174"/>
                        <wps:cNvSpPr/>
                        <wps:spPr>
                          <a:xfrm>
                            <a:off x="4572" y="4572"/>
                            <a:ext cx="5465445" cy="4259580"/>
                          </a:xfrm>
                          <a:custGeom>
                            <a:avLst/>
                            <a:gdLst/>
                            <a:ahLst/>
                            <a:cxnLst/>
                            <a:rect l="l" t="t" r="r" b="b"/>
                            <a:pathLst>
                              <a:path w="5465445" h="4259580">
                                <a:moveTo>
                                  <a:pt x="0" y="4259580"/>
                                </a:moveTo>
                                <a:lnTo>
                                  <a:pt x="5465063" y="4259580"/>
                                </a:lnTo>
                                <a:lnTo>
                                  <a:pt x="5465063" y="0"/>
                                </a:lnTo>
                                <a:lnTo>
                                  <a:pt x="0" y="0"/>
                                </a:lnTo>
                                <a:lnTo>
                                  <a:pt x="0" y="4259580"/>
                                </a:lnTo>
                                <a:close/>
                              </a:path>
                            </a:pathLst>
                          </a:custGeom>
                          <a:ln w="9144">
                            <a:solidFill>
                              <a:srgbClr val="D9D9D9"/>
                            </a:solidFill>
                            <a:prstDash val="solid"/>
                          </a:ln>
                        </wps:spPr>
                        <wps:bodyPr wrap="square" lIns="0" tIns="0" rIns="0" bIns="0" rtlCol="0">
                          <a:prstTxWarp prst="textNoShape">
                            <a:avLst/>
                          </a:prstTxWarp>
                          <a:noAutofit/>
                        </wps:bodyPr>
                      </wps:wsp>
                      <wps:wsp>
                        <wps:cNvPr id="175" name="Textbox 175"/>
                        <wps:cNvSpPr txBox="1"/>
                        <wps:spPr>
                          <a:xfrm>
                            <a:off x="2331720" y="517677"/>
                            <a:ext cx="737235" cy="1251585"/>
                          </a:xfrm>
                          <a:prstGeom prst="rect">
                            <a:avLst/>
                          </a:prstGeom>
                        </wps:spPr>
                        <wps:txbx>
                          <w:txbxContent>
                            <w:p>
                              <w:pPr>
                                <w:spacing w:line="245" w:lineRule="exact" w:before="0"/>
                                <w:ind w:left="225" w:right="0" w:firstLine="0"/>
                                <w:jc w:val="left"/>
                                <w:rPr>
                                  <w:rFonts w:ascii="Calibri"/>
                                  <w:b/>
                                  <w:sz w:val="24"/>
                                </w:rPr>
                              </w:pPr>
                              <w:r>
                                <w:rPr>
                                  <w:rFonts w:ascii="Calibri"/>
                                  <w:b/>
                                  <w:color w:val="585858"/>
                                  <w:spacing w:val="-2"/>
                                  <w:sz w:val="24"/>
                                </w:rPr>
                                <w:t>Resource</w:t>
                              </w:r>
                            </w:p>
                            <w:p>
                              <w:pPr>
                                <w:spacing w:before="16"/>
                                <w:ind w:left="0" w:right="0" w:firstLine="0"/>
                                <w:jc w:val="left"/>
                                <w:rPr>
                                  <w:rFonts w:ascii="Calibri"/>
                                  <w:sz w:val="18"/>
                                </w:rPr>
                              </w:pPr>
                              <w:r>
                                <w:rPr>
                                  <w:rFonts w:ascii="Calibri"/>
                                  <w:color w:val="585858"/>
                                  <w:spacing w:val="-2"/>
                                  <w:sz w:val="18"/>
                                </w:rPr>
                                <w:t>100.00</w:t>
                              </w:r>
                            </w:p>
                            <w:p>
                              <w:pPr>
                                <w:spacing w:line="240" w:lineRule="auto" w:before="58"/>
                                <w:rPr>
                                  <w:rFonts w:ascii="Calibri"/>
                                  <w:sz w:val="18"/>
                                </w:rPr>
                              </w:pPr>
                            </w:p>
                            <w:p>
                              <w:pPr>
                                <w:spacing w:before="0"/>
                                <w:ind w:left="91" w:right="0" w:firstLine="0"/>
                                <w:jc w:val="left"/>
                                <w:rPr>
                                  <w:rFonts w:ascii="Calibri"/>
                                  <w:sz w:val="18"/>
                                </w:rPr>
                              </w:pPr>
                              <w:r>
                                <w:rPr>
                                  <w:rFonts w:ascii="Calibri"/>
                                  <w:color w:val="585858"/>
                                  <w:spacing w:val="-2"/>
                                  <w:sz w:val="18"/>
                                </w:rPr>
                                <w:t>80.00</w:t>
                              </w:r>
                            </w:p>
                            <w:p>
                              <w:pPr>
                                <w:spacing w:line="240" w:lineRule="auto" w:before="59"/>
                                <w:rPr>
                                  <w:rFonts w:ascii="Calibri"/>
                                  <w:sz w:val="18"/>
                                </w:rPr>
                              </w:pPr>
                            </w:p>
                            <w:p>
                              <w:pPr>
                                <w:spacing w:before="0"/>
                                <w:ind w:left="91" w:right="0" w:firstLine="0"/>
                                <w:jc w:val="left"/>
                                <w:rPr>
                                  <w:rFonts w:ascii="Calibri"/>
                                  <w:sz w:val="18"/>
                                </w:rPr>
                              </w:pPr>
                              <w:r>
                                <w:rPr>
                                  <w:rFonts w:ascii="Calibri"/>
                                  <w:color w:val="585858"/>
                                  <w:spacing w:val="-2"/>
                                  <w:sz w:val="18"/>
                                </w:rPr>
                                <w:t>60.00</w:t>
                              </w:r>
                            </w:p>
                            <w:p>
                              <w:pPr>
                                <w:spacing w:line="240" w:lineRule="auto" w:before="58"/>
                                <w:rPr>
                                  <w:rFonts w:ascii="Calibri"/>
                                  <w:sz w:val="18"/>
                                </w:rPr>
                              </w:pPr>
                            </w:p>
                            <w:p>
                              <w:pPr>
                                <w:spacing w:line="216" w:lineRule="exact" w:before="0"/>
                                <w:ind w:left="91" w:right="0" w:firstLine="0"/>
                                <w:jc w:val="left"/>
                                <w:rPr>
                                  <w:rFonts w:ascii="Calibri"/>
                                  <w:sz w:val="18"/>
                                </w:rPr>
                              </w:pPr>
                              <w:r>
                                <w:rPr>
                                  <w:rFonts w:ascii="Calibri"/>
                                  <w:color w:val="585858"/>
                                  <w:spacing w:val="-2"/>
                                  <w:sz w:val="18"/>
                                </w:rPr>
                                <w:t>40.00</w:t>
                              </w:r>
                            </w:p>
                          </w:txbxContent>
                        </wps:txbx>
                        <wps:bodyPr wrap="square" lIns="0" tIns="0" rIns="0" bIns="0" rtlCol="0">
                          <a:noAutofit/>
                        </wps:bodyPr>
                      </wps:wsp>
                      <wps:wsp>
                        <wps:cNvPr id="176" name="Textbox 176"/>
                        <wps:cNvSpPr txBox="1"/>
                        <wps:spPr>
                          <a:xfrm>
                            <a:off x="383159" y="1755648"/>
                            <a:ext cx="831850"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pacing w:val="-2"/>
                                  <w:sz w:val="24"/>
                                </w:rPr>
                                <w:t>Environment</w:t>
                              </w:r>
                            </w:p>
                          </w:txbxContent>
                        </wps:txbx>
                        <wps:bodyPr wrap="square" lIns="0" tIns="0" rIns="0" bIns="0" rtlCol="0">
                          <a:noAutofit/>
                        </wps:bodyPr>
                      </wps:wsp>
                      <wps:wsp>
                        <wps:cNvPr id="177" name="Textbox 177"/>
                        <wps:cNvSpPr txBox="1"/>
                        <wps:spPr>
                          <a:xfrm>
                            <a:off x="4329938" y="1755648"/>
                            <a:ext cx="42989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pacing w:val="-2"/>
                                  <w:sz w:val="24"/>
                                </w:rPr>
                                <w:t>Access</w:t>
                              </w:r>
                            </w:p>
                          </w:txbxContent>
                        </wps:txbx>
                        <wps:bodyPr wrap="square" lIns="0" tIns="0" rIns="0" bIns="0" rtlCol="0">
                          <a:noAutofit/>
                        </wps:bodyPr>
                      </wps:wsp>
                      <wps:wsp>
                        <wps:cNvPr id="178" name="Textbox 178"/>
                        <wps:cNvSpPr txBox="1"/>
                        <wps:spPr>
                          <a:xfrm>
                            <a:off x="2389632" y="1971420"/>
                            <a:ext cx="273685" cy="430530"/>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20.00</w:t>
                              </w:r>
                            </w:p>
                            <w:p>
                              <w:pPr>
                                <w:spacing w:line="240" w:lineRule="auto" w:before="58"/>
                                <w:rPr>
                                  <w:rFonts w:ascii="Calibri"/>
                                  <w:sz w:val="18"/>
                                </w:rPr>
                              </w:pPr>
                            </w:p>
                            <w:p>
                              <w:pPr>
                                <w:spacing w:line="216" w:lineRule="exact" w:before="0"/>
                                <w:ind w:left="91" w:right="0" w:firstLine="0"/>
                                <w:jc w:val="left"/>
                                <w:rPr>
                                  <w:rFonts w:ascii="Calibri"/>
                                  <w:sz w:val="18"/>
                                </w:rPr>
                              </w:pPr>
                              <w:r>
                                <w:rPr>
                                  <w:rFonts w:ascii="Calibri"/>
                                  <w:color w:val="585858"/>
                                  <w:spacing w:val="-4"/>
                                  <w:sz w:val="18"/>
                                </w:rPr>
                                <w:t>0.00</w:t>
                              </w:r>
                            </w:p>
                          </w:txbxContent>
                        </wps:txbx>
                        <wps:bodyPr wrap="square" lIns="0" tIns="0" rIns="0" bIns="0" rtlCol="0">
                          <a:noAutofit/>
                        </wps:bodyPr>
                      </wps:wsp>
                      <wps:wsp>
                        <wps:cNvPr id="179" name="Textbox 179"/>
                        <wps:cNvSpPr txBox="1"/>
                        <wps:spPr>
                          <a:xfrm>
                            <a:off x="1562353" y="3593846"/>
                            <a:ext cx="249554"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pacing w:val="-5"/>
                                  <w:sz w:val="24"/>
                                </w:rPr>
                                <w:t>Use</w:t>
                              </w:r>
                            </w:p>
                          </w:txbxContent>
                        </wps:txbx>
                        <wps:bodyPr wrap="square" lIns="0" tIns="0" rIns="0" bIns="0" rtlCol="0">
                          <a:noAutofit/>
                        </wps:bodyPr>
                      </wps:wsp>
                      <wps:wsp>
                        <wps:cNvPr id="180" name="Textbox 180"/>
                        <wps:cNvSpPr txBox="1"/>
                        <wps:spPr>
                          <a:xfrm>
                            <a:off x="3732529" y="3593846"/>
                            <a:ext cx="551180"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pacing w:val="-2"/>
                                  <w:sz w:val="24"/>
                                </w:rPr>
                                <w:t>Capacity</w:t>
                              </w:r>
                            </w:p>
                          </w:txbxContent>
                        </wps:txbx>
                        <wps:bodyPr wrap="square" lIns="0" tIns="0" rIns="0" bIns="0" rtlCol="0">
                          <a:noAutofit/>
                        </wps:bodyPr>
                      </wps:wsp>
                      <wps:wsp>
                        <wps:cNvPr id="181" name="Textbox 181"/>
                        <wps:cNvSpPr txBox="1"/>
                        <wps:spPr>
                          <a:xfrm>
                            <a:off x="505968" y="3960706"/>
                            <a:ext cx="716280" cy="168910"/>
                          </a:xfrm>
                          <a:prstGeom prst="rect">
                            <a:avLst/>
                          </a:prstGeom>
                        </wps:spPr>
                        <wps:txbx>
                          <w:txbxContent>
                            <w:p>
                              <w:pPr>
                                <w:spacing w:line="266" w:lineRule="exact" w:before="0"/>
                                <w:ind w:left="0" w:right="0" w:firstLine="0"/>
                                <w:jc w:val="left"/>
                                <w:rPr>
                                  <w:sz w:val="24"/>
                                </w:rPr>
                              </w:pPr>
                              <w:r>
                                <w:rPr>
                                  <w:color w:val="585858"/>
                                  <w:spacing w:val="-2"/>
                                  <w:sz w:val="24"/>
                                </w:rPr>
                                <w:t>Dutsenkura</w:t>
                              </w:r>
                            </w:p>
                          </w:txbxContent>
                        </wps:txbx>
                        <wps:bodyPr wrap="square" lIns="0" tIns="0" rIns="0" bIns="0" rtlCol="0">
                          <a:noAutofit/>
                        </wps:bodyPr>
                      </wps:wsp>
                      <wps:wsp>
                        <wps:cNvPr id="182" name="Textbox 182"/>
                        <wps:cNvSpPr txBox="1"/>
                        <wps:spPr>
                          <a:xfrm>
                            <a:off x="1695957" y="3960706"/>
                            <a:ext cx="528955" cy="168910"/>
                          </a:xfrm>
                          <a:prstGeom prst="rect">
                            <a:avLst/>
                          </a:prstGeom>
                        </wps:spPr>
                        <wps:txbx>
                          <w:txbxContent>
                            <w:p>
                              <w:pPr>
                                <w:spacing w:line="266" w:lineRule="exact" w:before="0"/>
                                <w:ind w:left="0" w:right="0" w:firstLine="0"/>
                                <w:jc w:val="left"/>
                                <w:rPr>
                                  <w:sz w:val="24"/>
                                </w:rPr>
                              </w:pPr>
                              <w:r>
                                <w:rPr>
                                  <w:color w:val="585858"/>
                                  <w:sz w:val="24"/>
                                </w:rPr>
                                <w:t>F-</w:t>
                              </w:r>
                              <w:r>
                                <w:rPr>
                                  <w:color w:val="585858"/>
                                  <w:spacing w:val="-2"/>
                                  <w:sz w:val="24"/>
                                </w:rPr>
                                <w:t>layout</w:t>
                              </w:r>
                            </w:p>
                          </w:txbxContent>
                        </wps:txbx>
                        <wps:bodyPr wrap="square" lIns="0" tIns="0" rIns="0" bIns="0" rtlCol="0">
                          <a:noAutofit/>
                        </wps:bodyPr>
                      </wps:wsp>
                      <wps:wsp>
                        <wps:cNvPr id="183" name="Textbox 183"/>
                        <wps:cNvSpPr txBox="1"/>
                        <wps:spPr>
                          <a:xfrm>
                            <a:off x="2699639" y="3960706"/>
                            <a:ext cx="876300" cy="168910"/>
                          </a:xfrm>
                          <a:prstGeom prst="rect">
                            <a:avLst/>
                          </a:prstGeom>
                        </wps:spPr>
                        <wps:txbx>
                          <w:txbxContent>
                            <w:p>
                              <w:pPr>
                                <w:spacing w:line="266" w:lineRule="exact" w:before="0"/>
                                <w:ind w:left="0" w:right="0" w:firstLine="0"/>
                                <w:jc w:val="left"/>
                                <w:rPr>
                                  <w:sz w:val="24"/>
                                </w:rPr>
                              </w:pPr>
                              <w:r>
                                <w:rPr>
                                  <w:color w:val="585858"/>
                                  <w:spacing w:val="-2"/>
                                  <w:sz w:val="24"/>
                                </w:rPr>
                                <w:t>Minna-central</w:t>
                              </w:r>
                            </w:p>
                          </w:txbxContent>
                        </wps:txbx>
                        <wps:bodyPr wrap="square" lIns="0" tIns="0" rIns="0" bIns="0" rtlCol="0">
                          <a:noAutofit/>
                        </wps:bodyPr>
                      </wps:wsp>
                      <wps:wsp>
                        <wps:cNvPr id="184" name="Textbox 184"/>
                        <wps:cNvSpPr txBox="1"/>
                        <wps:spPr>
                          <a:xfrm>
                            <a:off x="4049903" y="3960706"/>
                            <a:ext cx="1113155" cy="168910"/>
                          </a:xfrm>
                          <a:prstGeom prst="rect">
                            <a:avLst/>
                          </a:prstGeom>
                        </wps:spPr>
                        <wps:txbx>
                          <w:txbxContent>
                            <w:p>
                              <w:pPr>
                                <w:spacing w:line="266" w:lineRule="exact" w:before="0"/>
                                <w:ind w:left="0" w:right="0" w:firstLine="0"/>
                                <w:jc w:val="left"/>
                                <w:rPr>
                                  <w:sz w:val="24"/>
                                </w:rPr>
                              </w:pPr>
                              <w:r>
                                <w:rPr>
                                  <w:color w:val="585858"/>
                                  <w:spacing w:val="-2"/>
                                  <w:sz w:val="24"/>
                                </w:rPr>
                                <w:t>Tudunwada-</w:t>
                              </w:r>
                              <w:r>
                                <w:rPr>
                                  <w:color w:val="585858"/>
                                  <w:spacing w:val="-4"/>
                                  <w:sz w:val="24"/>
                                </w:rPr>
                                <w:t>south</w:t>
                              </w:r>
                            </w:p>
                          </w:txbxContent>
                        </wps:txbx>
                        <wps:bodyPr wrap="square" lIns="0" tIns="0" rIns="0" bIns="0" rtlCol="0">
                          <a:noAutofit/>
                        </wps:bodyPr>
                      </wps:wsp>
                    </wpg:wgp>
                  </a:graphicData>
                </a:graphic>
              </wp:anchor>
            </w:drawing>
          </mc:Choice>
          <mc:Fallback>
            <w:pict>
              <v:group style="position:absolute;margin-left:99pt;margin-top:13.859375pt;width:431.05pt;height:336.15pt;mso-position-horizontal-relative:page;mso-position-vertical-relative:paragraph;z-index:-15700992;mso-wrap-distance-left:0;mso-wrap-distance-right:0" id="docshapegroup122" coordorigin="1980,277" coordsize="8621,6723">
                <v:shape style="position:absolute;left:3967;top:1462;width:4736;height:4505" id="docshape123" coordorigin="3967,1463" coordsize="4736,4505" path="m6334,3455l6809,3798,6626,4355,6043,4355,5861,3798,6334,3455m6334,2958l7282,3644,6919,4758,5750,4758,5388,3644,6334,2958m6334,2459l7754,3491,7212,5161,5458,5161,4915,3491,6334,2459m6334,1962l8230,3337,7505,5564,5165,5564,4440,3337,6334,1962m6334,1463l8702,3184,7798,5968,4872,5968,3967,3184,6334,1463e" filled="false" stroked="true" strokeweight=".72pt" strokecolor="#d9d9d9">
                  <v:path arrowok="t"/>
                  <v:stroke dashstyle="solid"/>
                </v:shape>
                <v:shape style="position:absolute;left:5005;top:2771;width:2456;height:2069" id="docshape124" coordorigin="5005,2772" coordsize="2456,2069" path="m5005,3521l6335,2772,7460,3586,6980,4841,6148,4212,5005,3521e" filled="false" stroked="true" strokeweight="2.04pt" strokecolor="#4471c4">
                  <v:path arrowok="t"/>
                  <v:stroke dashstyle="dot"/>
                </v:shape>
                <v:shape style="position:absolute;left:6273;top:2712;width:120;height:120" type="#_x0000_t75" id="docshape125" stroked="false">
                  <v:imagedata r:id="rId62" o:title=""/>
                </v:shape>
                <v:shape style="position:absolute;left:7401;top:3526;width:120;height:120" type="#_x0000_t75" id="docshape126" stroked="false">
                  <v:imagedata r:id="rId62" o:title=""/>
                </v:shape>
                <v:shape style="position:absolute;left:6919;top:4779;width:120;height:120" type="#_x0000_t75" id="docshape127" stroked="false">
                  <v:imagedata r:id="rId62" o:title=""/>
                </v:shape>
                <v:shape style="position:absolute;left:6086;top:4150;width:120;height:120" type="#_x0000_t75" id="docshape128" stroked="false">
                  <v:imagedata r:id="rId62" o:title=""/>
                </v:shape>
                <v:shape style="position:absolute;left:4943;top:3459;width:120;height:120" type="#_x0000_t75" id="docshape129" stroked="false">
                  <v:imagedata r:id="rId62" o:title=""/>
                </v:shape>
                <v:shape style="position:absolute;left:5374;top:3136;width:1611;height:1712" id="docshape130" coordorigin="5375,3137" coordsize="1611,1712" path="m5375,3641l6335,3137,6971,3746,6985,4848,6056,4334,5375,3641e" filled="false" stroked="true" strokeweight="2.04pt" strokecolor="#ec7c30">
                  <v:path arrowok="t"/>
                  <v:stroke dashstyle="dot"/>
                </v:shape>
                <v:shape style="position:absolute;left:6273;top:3075;width:120;height:120" type="#_x0000_t75" id="docshape131" stroked="false">
                  <v:imagedata r:id="rId63" o:title=""/>
                </v:shape>
                <v:shape style="position:absolute;left:6911;top:3684;width:120;height:120" type="#_x0000_t75" id="docshape132" stroked="false">
                  <v:imagedata r:id="rId63" o:title=""/>
                </v:shape>
                <v:shape style="position:absolute;left:6923;top:4786;width:120;height:120" type="#_x0000_t75" id="docshape133" stroked="false">
                  <v:imagedata r:id="rId63" o:title=""/>
                </v:shape>
                <v:shape style="position:absolute;left:5997;top:4275;width:120;height:120" type="#_x0000_t75" id="docshape134" stroked="false">
                  <v:imagedata r:id="rId63" o:title=""/>
                </v:shape>
                <v:shape style="position:absolute;left:5315;top:3581;width:120;height:120" type="#_x0000_t75" id="docshape135" stroked="false">
                  <v:imagedata r:id="rId63" o:title=""/>
                </v:shape>
                <v:shape style="position:absolute;left:5379;top:2815;width:2031;height:2153" id="docshape136" coordorigin="5380,2815" coordsize="2031,2153" path="m5380,3643l6335,2815,7410,3602,7072,4968,6068,4320,5380,3643e" filled="false" stroked="true" strokeweight="2.04pt" strokecolor="#a4a4a4">
                  <v:path arrowok="t"/>
                  <v:stroke dashstyle="dot"/>
                </v:shape>
                <v:shape style="position:absolute;left:6273;top:2755;width:120;height:120" type="#_x0000_t75" id="docshape137" stroked="false">
                  <v:imagedata r:id="rId64" o:title=""/>
                </v:shape>
                <v:shape style="position:absolute;left:7351;top:3543;width:120;height:120" type="#_x0000_t75" id="docshape138" stroked="false">
                  <v:imagedata r:id="rId64" o:title=""/>
                </v:shape>
                <v:shape style="position:absolute;left:7012;top:4906;width:120;height:120" type="#_x0000_t75" id="docshape139" stroked="false">
                  <v:imagedata r:id="rId64" o:title=""/>
                </v:shape>
                <v:shape style="position:absolute;left:6007;top:4258;width:120;height:120" type="#_x0000_t75" id="docshape140" stroked="false">
                  <v:imagedata r:id="rId64" o:title=""/>
                </v:shape>
                <v:shape style="position:absolute;left:5318;top:3581;width:120;height:120" type="#_x0000_t75" id="docshape141" stroked="false">
                  <v:imagedata r:id="rId64" o:title=""/>
                </v:shape>
                <v:shape style="position:absolute;left:4741;top:2680;width:2571;height:2225" id="docshape142" coordorigin="4741,2681" coordsize="2571,2225" path="m4741,3434l6335,2681,7312,3636,7026,4906,6114,4258,4741,3434e" filled="false" stroked="true" strokeweight="2.04pt" strokecolor="#ffc000">
                  <v:path arrowok="t"/>
                  <v:stroke dashstyle="dot"/>
                </v:shape>
                <v:shape style="position:absolute;left:6273;top:2621;width:120;height:120" type="#_x0000_t75" id="docshape143" stroked="false">
                  <v:imagedata r:id="rId65" o:title=""/>
                </v:shape>
                <v:shape style="position:absolute;left:7250;top:3574;width:120;height:120" type="#_x0000_t75" id="docshape144" stroked="false">
                  <v:imagedata r:id="rId65" o:title=""/>
                </v:shape>
                <v:shape style="position:absolute;left:6967;top:4846;width:120;height:120" type="#_x0000_t75" id="docshape145" stroked="false">
                  <v:imagedata r:id="rId65" o:title=""/>
                </v:shape>
                <v:shape style="position:absolute;left:6052;top:4195;width:120;height:120" type="#_x0000_t75" id="docshape146" stroked="false">
                  <v:imagedata r:id="rId65" o:title=""/>
                </v:shape>
                <v:shape style="position:absolute;left:4679;top:3375;width:120;height:120" type="#_x0000_t75" id="docshape147" stroked="false">
                  <v:imagedata r:id="rId65" o:title=""/>
                </v:shape>
                <v:line style="position:absolute" from="2216,6653" to="2720,6653" stroked="true" strokeweight="2.04pt" strokecolor="#4471c4">
                  <v:stroke dashstyle="dot"/>
                </v:line>
                <v:shape style="position:absolute;left:2407;top:6591;width:120;height:120" type="#_x0000_t75" id="docshape148" stroked="false">
                  <v:imagedata r:id="rId62" o:title=""/>
                </v:shape>
                <v:line style="position:absolute" from="4091,6653" to="4595,6653" stroked="true" strokeweight="2.04pt" strokecolor="#ec7c30">
                  <v:stroke dashstyle="dot"/>
                </v:line>
                <v:shape style="position:absolute;left:4281;top:6591;width:120;height:120" type="#_x0000_t75" id="docshape149" stroked="false">
                  <v:imagedata r:id="rId63" o:title=""/>
                </v:shape>
                <v:line style="position:absolute" from="5670,6653" to="6174,6653" stroked="true" strokeweight="2.04pt" strokecolor="#a4a4a4">
                  <v:stroke dashstyle="dot"/>
                </v:line>
                <v:shape style="position:absolute;left:5860;top:6591;width:120;height:120" type="#_x0000_t75" id="docshape150" stroked="false">
                  <v:imagedata r:id="rId64" o:title=""/>
                </v:shape>
                <v:line style="position:absolute" from="7796,6653" to="8300,6653" stroked="true" strokeweight="2.04pt" strokecolor="#ffc000">
                  <v:stroke dashstyle="dot"/>
                </v:line>
                <v:shape style="position:absolute;left:7987;top:6591;width:120;height:120" type="#_x0000_t75" id="docshape151" stroked="false">
                  <v:imagedata r:id="rId65" o:title=""/>
                </v:shape>
                <v:rect style="position:absolute;left:1987;top:284;width:8607;height:6708" id="docshape152" filled="false" stroked="true" strokeweight=".72pt" strokecolor="#d9d9d9">
                  <v:stroke dashstyle="solid"/>
                </v:rect>
                <v:shape style="position:absolute;left:5652;top:1092;width:1161;height:1971" type="#_x0000_t202" id="docshape153" filled="false" stroked="false">
                  <v:textbox inset="0,0,0,0">
                    <w:txbxContent>
                      <w:p>
                        <w:pPr>
                          <w:spacing w:line="245" w:lineRule="exact" w:before="0"/>
                          <w:ind w:left="225" w:right="0" w:firstLine="0"/>
                          <w:jc w:val="left"/>
                          <w:rPr>
                            <w:rFonts w:ascii="Calibri"/>
                            <w:b/>
                            <w:sz w:val="24"/>
                          </w:rPr>
                        </w:pPr>
                        <w:r>
                          <w:rPr>
                            <w:rFonts w:ascii="Calibri"/>
                            <w:b/>
                            <w:color w:val="585858"/>
                            <w:spacing w:val="-2"/>
                            <w:sz w:val="24"/>
                          </w:rPr>
                          <w:t>Resource</w:t>
                        </w:r>
                      </w:p>
                      <w:p>
                        <w:pPr>
                          <w:spacing w:before="16"/>
                          <w:ind w:left="0" w:right="0" w:firstLine="0"/>
                          <w:jc w:val="left"/>
                          <w:rPr>
                            <w:rFonts w:ascii="Calibri"/>
                            <w:sz w:val="18"/>
                          </w:rPr>
                        </w:pPr>
                        <w:r>
                          <w:rPr>
                            <w:rFonts w:ascii="Calibri"/>
                            <w:color w:val="585858"/>
                            <w:spacing w:val="-2"/>
                            <w:sz w:val="18"/>
                          </w:rPr>
                          <w:t>100.00</w:t>
                        </w:r>
                      </w:p>
                      <w:p>
                        <w:pPr>
                          <w:spacing w:line="240" w:lineRule="auto" w:before="58"/>
                          <w:rPr>
                            <w:rFonts w:ascii="Calibri"/>
                            <w:sz w:val="18"/>
                          </w:rPr>
                        </w:pPr>
                      </w:p>
                      <w:p>
                        <w:pPr>
                          <w:spacing w:before="0"/>
                          <w:ind w:left="91" w:right="0" w:firstLine="0"/>
                          <w:jc w:val="left"/>
                          <w:rPr>
                            <w:rFonts w:ascii="Calibri"/>
                            <w:sz w:val="18"/>
                          </w:rPr>
                        </w:pPr>
                        <w:r>
                          <w:rPr>
                            <w:rFonts w:ascii="Calibri"/>
                            <w:color w:val="585858"/>
                            <w:spacing w:val="-2"/>
                            <w:sz w:val="18"/>
                          </w:rPr>
                          <w:t>80.00</w:t>
                        </w:r>
                      </w:p>
                      <w:p>
                        <w:pPr>
                          <w:spacing w:line="240" w:lineRule="auto" w:before="59"/>
                          <w:rPr>
                            <w:rFonts w:ascii="Calibri"/>
                            <w:sz w:val="18"/>
                          </w:rPr>
                        </w:pPr>
                      </w:p>
                      <w:p>
                        <w:pPr>
                          <w:spacing w:before="0"/>
                          <w:ind w:left="91" w:right="0" w:firstLine="0"/>
                          <w:jc w:val="left"/>
                          <w:rPr>
                            <w:rFonts w:ascii="Calibri"/>
                            <w:sz w:val="18"/>
                          </w:rPr>
                        </w:pPr>
                        <w:r>
                          <w:rPr>
                            <w:rFonts w:ascii="Calibri"/>
                            <w:color w:val="585858"/>
                            <w:spacing w:val="-2"/>
                            <w:sz w:val="18"/>
                          </w:rPr>
                          <w:t>60.00</w:t>
                        </w:r>
                      </w:p>
                      <w:p>
                        <w:pPr>
                          <w:spacing w:line="240" w:lineRule="auto" w:before="58"/>
                          <w:rPr>
                            <w:rFonts w:ascii="Calibri"/>
                            <w:sz w:val="18"/>
                          </w:rPr>
                        </w:pPr>
                      </w:p>
                      <w:p>
                        <w:pPr>
                          <w:spacing w:line="216" w:lineRule="exact" w:before="0"/>
                          <w:ind w:left="91" w:right="0" w:firstLine="0"/>
                          <w:jc w:val="left"/>
                          <w:rPr>
                            <w:rFonts w:ascii="Calibri"/>
                            <w:sz w:val="18"/>
                          </w:rPr>
                        </w:pPr>
                        <w:r>
                          <w:rPr>
                            <w:rFonts w:ascii="Calibri"/>
                            <w:color w:val="585858"/>
                            <w:spacing w:val="-2"/>
                            <w:sz w:val="18"/>
                          </w:rPr>
                          <w:t>40.00</w:t>
                        </w:r>
                      </w:p>
                    </w:txbxContent>
                  </v:textbox>
                  <w10:wrap type="none"/>
                </v:shape>
                <v:shape style="position:absolute;left:2583;top:3041;width:1310;height:240" type="#_x0000_t202" id="docshape154" filled="false" stroked="false">
                  <v:textbox inset="0,0,0,0">
                    <w:txbxContent>
                      <w:p>
                        <w:pPr>
                          <w:spacing w:line="240" w:lineRule="exact" w:before="0"/>
                          <w:ind w:left="0" w:right="0" w:firstLine="0"/>
                          <w:jc w:val="left"/>
                          <w:rPr>
                            <w:rFonts w:ascii="Calibri"/>
                            <w:b/>
                            <w:sz w:val="24"/>
                          </w:rPr>
                        </w:pPr>
                        <w:r>
                          <w:rPr>
                            <w:rFonts w:ascii="Calibri"/>
                            <w:b/>
                            <w:color w:val="585858"/>
                            <w:spacing w:val="-2"/>
                            <w:sz w:val="24"/>
                          </w:rPr>
                          <w:t>Environment</w:t>
                        </w:r>
                      </w:p>
                    </w:txbxContent>
                  </v:textbox>
                  <w10:wrap type="none"/>
                </v:shape>
                <v:shape style="position:absolute;left:8798;top:3041;width:677;height:240" type="#_x0000_t202" id="docshape155" filled="false" stroked="false">
                  <v:textbox inset="0,0,0,0">
                    <w:txbxContent>
                      <w:p>
                        <w:pPr>
                          <w:spacing w:line="240" w:lineRule="exact" w:before="0"/>
                          <w:ind w:left="0" w:right="0" w:firstLine="0"/>
                          <w:jc w:val="left"/>
                          <w:rPr>
                            <w:rFonts w:ascii="Calibri"/>
                            <w:b/>
                            <w:sz w:val="24"/>
                          </w:rPr>
                        </w:pPr>
                        <w:r>
                          <w:rPr>
                            <w:rFonts w:ascii="Calibri"/>
                            <w:b/>
                            <w:color w:val="585858"/>
                            <w:spacing w:val="-2"/>
                            <w:sz w:val="24"/>
                          </w:rPr>
                          <w:t>Access</w:t>
                        </w:r>
                      </w:p>
                    </w:txbxContent>
                  </v:textbox>
                  <w10:wrap type="none"/>
                </v:shape>
                <v:shape style="position:absolute;left:5743;top:3381;width:431;height:678" type="#_x0000_t202" id="docshape156"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20.00</w:t>
                        </w:r>
                      </w:p>
                      <w:p>
                        <w:pPr>
                          <w:spacing w:line="240" w:lineRule="auto" w:before="58"/>
                          <w:rPr>
                            <w:rFonts w:ascii="Calibri"/>
                            <w:sz w:val="18"/>
                          </w:rPr>
                        </w:pPr>
                      </w:p>
                      <w:p>
                        <w:pPr>
                          <w:spacing w:line="216" w:lineRule="exact" w:before="0"/>
                          <w:ind w:left="91" w:right="0" w:firstLine="0"/>
                          <w:jc w:val="left"/>
                          <w:rPr>
                            <w:rFonts w:ascii="Calibri"/>
                            <w:sz w:val="18"/>
                          </w:rPr>
                        </w:pPr>
                        <w:r>
                          <w:rPr>
                            <w:rFonts w:ascii="Calibri"/>
                            <w:color w:val="585858"/>
                            <w:spacing w:val="-4"/>
                            <w:sz w:val="18"/>
                          </w:rPr>
                          <w:t>0.00</w:t>
                        </w:r>
                      </w:p>
                    </w:txbxContent>
                  </v:textbox>
                  <w10:wrap type="none"/>
                </v:shape>
                <v:shape style="position:absolute;left:4440;top:5936;width:393;height:240" type="#_x0000_t202" id="docshape157" filled="false" stroked="false">
                  <v:textbox inset="0,0,0,0">
                    <w:txbxContent>
                      <w:p>
                        <w:pPr>
                          <w:spacing w:line="240" w:lineRule="exact" w:before="0"/>
                          <w:ind w:left="0" w:right="0" w:firstLine="0"/>
                          <w:jc w:val="left"/>
                          <w:rPr>
                            <w:rFonts w:ascii="Calibri"/>
                            <w:b/>
                            <w:sz w:val="24"/>
                          </w:rPr>
                        </w:pPr>
                        <w:r>
                          <w:rPr>
                            <w:rFonts w:ascii="Calibri"/>
                            <w:b/>
                            <w:color w:val="585858"/>
                            <w:spacing w:val="-5"/>
                            <w:sz w:val="24"/>
                          </w:rPr>
                          <w:t>Use</w:t>
                        </w:r>
                      </w:p>
                    </w:txbxContent>
                  </v:textbox>
                  <w10:wrap type="none"/>
                </v:shape>
                <v:shape style="position:absolute;left:7858;top:5936;width:868;height:240" type="#_x0000_t202" id="docshape158" filled="false" stroked="false">
                  <v:textbox inset="0,0,0,0">
                    <w:txbxContent>
                      <w:p>
                        <w:pPr>
                          <w:spacing w:line="240" w:lineRule="exact" w:before="0"/>
                          <w:ind w:left="0" w:right="0" w:firstLine="0"/>
                          <w:jc w:val="left"/>
                          <w:rPr>
                            <w:rFonts w:ascii="Calibri"/>
                            <w:b/>
                            <w:sz w:val="24"/>
                          </w:rPr>
                        </w:pPr>
                        <w:r>
                          <w:rPr>
                            <w:rFonts w:ascii="Calibri"/>
                            <w:b/>
                            <w:color w:val="585858"/>
                            <w:spacing w:val="-2"/>
                            <w:sz w:val="24"/>
                          </w:rPr>
                          <w:t>Capacity</w:t>
                        </w:r>
                      </w:p>
                    </w:txbxContent>
                  </v:textbox>
                  <w10:wrap type="none"/>
                </v:shape>
                <v:shape style="position:absolute;left:2776;top:6514;width:1128;height:266" type="#_x0000_t202" id="docshape159" filled="false" stroked="false">
                  <v:textbox inset="0,0,0,0">
                    <w:txbxContent>
                      <w:p>
                        <w:pPr>
                          <w:spacing w:line="266" w:lineRule="exact" w:before="0"/>
                          <w:ind w:left="0" w:right="0" w:firstLine="0"/>
                          <w:jc w:val="left"/>
                          <w:rPr>
                            <w:sz w:val="24"/>
                          </w:rPr>
                        </w:pPr>
                        <w:r>
                          <w:rPr>
                            <w:color w:val="585858"/>
                            <w:spacing w:val="-2"/>
                            <w:sz w:val="24"/>
                          </w:rPr>
                          <w:t>Dutsenkura</w:t>
                        </w:r>
                      </w:p>
                    </w:txbxContent>
                  </v:textbox>
                  <w10:wrap type="none"/>
                </v:shape>
                <v:shape style="position:absolute;left:4650;top:6514;width:833;height:266" type="#_x0000_t202" id="docshape160" filled="false" stroked="false">
                  <v:textbox inset="0,0,0,0">
                    <w:txbxContent>
                      <w:p>
                        <w:pPr>
                          <w:spacing w:line="266" w:lineRule="exact" w:before="0"/>
                          <w:ind w:left="0" w:right="0" w:firstLine="0"/>
                          <w:jc w:val="left"/>
                          <w:rPr>
                            <w:sz w:val="24"/>
                          </w:rPr>
                        </w:pPr>
                        <w:r>
                          <w:rPr>
                            <w:color w:val="585858"/>
                            <w:sz w:val="24"/>
                          </w:rPr>
                          <w:t>F-</w:t>
                        </w:r>
                        <w:r>
                          <w:rPr>
                            <w:color w:val="585858"/>
                            <w:spacing w:val="-2"/>
                            <w:sz w:val="24"/>
                          </w:rPr>
                          <w:t>layout</w:t>
                        </w:r>
                      </w:p>
                    </w:txbxContent>
                  </v:textbox>
                  <w10:wrap type="none"/>
                </v:shape>
                <v:shape style="position:absolute;left:6231;top:6514;width:1380;height:266" type="#_x0000_t202" id="docshape161" filled="false" stroked="false">
                  <v:textbox inset="0,0,0,0">
                    <w:txbxContent>
                      <w:p>
                        <w:pPr>
                          <w:spacing w:line="266" w:lineRule="exact" w:before="0"/>
                          <w:ind w:left="0" w:right="0" w:firstLine="0"/>
                          <w:jc w:val="left"/>
                          <w:rPr>
                            <w:sz w:val="24"/>
                          </w:rPr>
                        </w:pPr>
                        <w:r>
                          <w:rPr>
                            <w:color w:val="585858"/>
                            <w:spacing w:val="-2"/>
                            <w:sz w:val="24"/>
                          </w:rPr>
                          <w:t>Minna-central</w:t>
                        </w:r>
                      </w:p>
                    </w:txbxContent>
                  </v:textbox>
                  <w10:wrap type="none"/>
                </v:shape>
                <v:shape style="position:absolute;left:8357;top:6514;width:1753;height:266" type="#_x0000_t202" id="docshape162" filled="false" stroked="false">
                  <v:textbox inset="0,0,0,0">
                    <w:txbxContent>
                      <w:p>
                        <w:pPr>
                          <w:spacing w:line="266" w:lineRule="exact" w:before="0"/>
                          <w:ind w:left="0" w:right="0" w:firstLine="0"/>
                          <w:jc w:val="left"/>
                          <w:rPr>
                            <w:sz w:val="24"/>
                          </w:rPr>
                        </w:pPr>
                        <w:r>
                          <w:rPr>
                            <w:color w:val="585858"/>
                            <w:spacing w:val="-2"/>
                            <w:sz w:val="24"/>
                          </w:rPr>
                          <w:t>Tudunwada-</w:t>
                        </w:r>
                        <w:r>
                          <w:rPr>
                            <w:color w:val="585858"/>
                            <w:spacing w:val="-4"/>
                            <w:sz w:val="24"/>
                          </w:rPr>
                          <w:t>south</w:t>
                        </w:r>
                      </w:p>
                    </w:txbxContent>
                  </v:textbox>
                  <w10:wrap type="none"/>
                </v:shape>
                <w10:wrap type="topAndBottom"/>
              </v:group>
            </w:pict>
          </mc:Fallback>
        </mc:AlternateContent>
      </w:r>
    </w:p>
    <w:p>
      <w:pPr>
        <w:pStyle w:val="Heading1"/>
        <w:spacing w:line="274" w:lineRule="exact" w:before="3"/>
        <w:jc w:val="both"/>
      </w:pPr>
      <w:r>
        <w:rPr/>
        <w:t>Figure</w:t>
      </w:r>
      <w:r>
        <w:rPr>
          <w:spacing w:val="-3"/>
        </w:rPr>
        <w:t> </w:t>
      </w:r>
      <w:r>
        <w:rPr/>
        <w:t>4.14a:</w:t>
      </w:r>
      <w:r>
        <w:rPr>
          <w:spacing w:val="-1"/>
        </w:rPr>
        <w:t> </w:t>
      </w:r>
      <w:r>
        <w:rPr/>
        <w:t>Pentagram</w:t>
      </w:r>
      <w:r>
        <w:rPr>
          <w:spacing w:val="-5"/>
        </w:rPr>
        <w:t> </w:t>
      </w:r>
      <w:r>
        <w:rPr/>
        <w:t>of</w:t>
      </w:r>
      <w:r>
        <w:rPr>
          <w:spacing w:val="-1"/>
        </w:rPr>
        <w:t> </w:t>
      </w:r>
      <w:r>
        <w:rPr/>
        <w:t>Neighbourhoods</w:t>
      </w:r>
      <w:r>
        <w:rPr>
          <w:spacing w:val="-1"/>
        </w:rPr>
        <w:t> </w:t>
      </w:r>
      <w:r>
        <w:rPr/>
        <w:t>within</w:t>
      </w:r>
      <w:r>
        <w:rPr>
          <w:spacing w:val="-2"/>
        </w:rPr>
        <w:t> </w:t>
      </w:r>
      <w:r>
        <w:rPr/>
        <w:t>the</w:t>
      </w:r>
      <w:r>
        <w:rPr>
          <w:spacing w:val="-1"/>
        </w:rPr>
        <w:t> </w:t>
      </w:r>
      <w:r>
        <w:rPr/>
        <w:t>Public</w:t>
      </w:r>
      <w:r>
        <w:rPr>
          <w:spacing w:val="-3"/>
        </w:rPr>
        <w:t> </w:t>
      </w:r>
      <w:r>
        <w:rPr/>
        <w:t>Water </w:t>
      </w:r>
      <w:r>
        <w:rPr>
          <w:spacing w:val="-2"/>
        </w:rPr>
        <w:t>Mains</w:t>
      </w:r>
    </w:p>
    <w:p>
      <w:pPr>
        <w:pStyle w:val="BodyText"/>
        <w:spacing w:line="274" w:lineRule="exact"/>
        <w:ind w:left="267"/>
        <w:jc w:val="both"/>
      </w:pPr>
      <w:r>
        <w:rPr/>
        <w:t>Source:</w:t>
      </w:r>
      <w:r>
        <w:rPr>
          <w:spacing w:val="-4"/>
        </w:rPr>
        <w:t> </w:t>
      </w:r>
      <w:r>
        <w:rPr/>
        <w:t>Author’s</w:t>
      </w:r>
      <w:r>
        <w:rPr>
          <w:spacing w:val="-3"/>
        </w:rPr>
        <w:t> </w:t>
      </w:r>
      <w:r>
        <w:rPr/>
        <w:t>Analysis</w:t>
      </w:r>
      <w:r>
        <w:rPr>
          <w:spacing w:val="-2"/>
        </w:rPr>
        <w:t> (2021)</w:t>
      </w:r>
    </w:p>
    <w:p>
      <w:pPr>
        <w:spacing w:after="0" w:line="274" w:lineRule="exact"/>
        <w:jc w:val="both"/>
        <w:sectPr>
          <w:pgSz w:w="12240" w:h="15840"/>
          <w:pgMar w:header="0" w:footer="1068" w:top="1340" w:bottom="1260" w:left="1720" w:right="1300"/>
        </w:sectPr>
      </w:pPr>
    </w:p>
    <w:p>
      <w:pPr>
        <w:pStyle w:val="BodyText"/>
        <w:ind w:left="259"/>
        <w:rPr>
          <w:sz w:val="20"/>
        </w:rPr>
      </w:pPr>
      <w:r>
        <w:rPr>
          <w:sz w:val="20"/>
        </w:rPr>
        <mc:AlternateContent>
          <mc:Choice Requires="wps">
            <w:drawing>
              <wp:inline distT="0" distB="0" distL="0" distR="0">
                <wp:extent cx="5485130" cy="3461385"/>
                <wp:effectExtent l="0" t="0" r="0" b="5714"/>
                <wp:docPr id="185" name="Group 185"/>
                <wp:cNvGraphicFramePr>
                  <a:graphicFrameLocks/>
                </wp:cNvGraphicFramePr>
                <a:graphic>
                  <a:graphicData uri="http://schemas.microsoft.com/office/word/2010/wordprocessingGroup">
                    <wpg:wgp>
                      <wpg:cNvPr id="185" name="Group 185"/>
                      <wpg:cNvGrpSpPr/>
                      <wpg:grpSpPr>
                        <a:xfrm>
                          <a:off x="0" y="0"/>
                          <a:ext cx="5485130" cy="3461385"/>
                          <a:chExt cx="5485130" cy="3461385"/>
                        </a:xfrm>
                      </wpg:grpSpPr>
                      <wps:wsp>
                        <wps:cNvPr id="186" name="Graphic 186"/>
                        <wps:cNvSpPr/>
                        <wps:spPr>
                          <a:xfrm>
                            <a:off x="1252727" y="315468"/>
                            <a:ext cx="2750820" cy="2616835"/>
                          </a:xfrm>
                          <a:custGeom>
                            <a:avLst/>
                            <a:gdLst/>
                            <a:ahLst/>
                            <a:cxnLst/>
                            <a:rect l="l" t="t" r="r" b="b"/>
                            <a:pathLst>
                              <a:path w="2750820" h="2616835">
                                <a:moveTo>
                                  <a:pt x="1374648" y="1156716"/>
                                </a:moveTo>
                                <a:lnTo>
                                  <a:pt x="1650492" y="1356360"/>
                                </a:lnTo>
                                <a:lnTo>
                                  <a:pt x="1545336" y="1680972"/>
                                </a:lnTo>
                                <a:lnTo>
                                  <a:pt x="1205484" y="1680972"/>
                                </a:lnTo>
                                <a:lnTo>
                                  <a:pt x="1100327" y="1356360"/>
                                </a:lnTo>
                                <a:lnTo>
                                  <a:pt x="1374648" y="1156716"/>
                                </a:lnTo>
                              </a:path>
                              <a:path w="2750820" h="2616835">
                                <a:moveTo>
                                  <a:pt x="1374648" y="867156"/>
                                </a:moveTo>
                                <a:lnTo>
                                  <a:pt x="1924812" y="1267968"/>
                                </a:lnTo>
                                <a:lnTo>
                                  <a:pt x="1716024" y="1914144"/>
                                </a:lnTo>
                                <a:lnTo>
                                  <a:pt x="1034796" y="1914144"/>
                                </a:lnTo>
                                <a:lnTo>
                                  <a:pt x="824484" y="1267968"/>
                                </a:lnTo>
                                <a:lnTo>
                                  <a:pt x="1374648" y="867156"/>
                                </a:lnTo>
                              </a:path>
                              <a:path w="2750820" h="2616835">
                                <a:moveTo>
                                  <a:pt x="1374648" y="577596"/>
                                </a:moveTo>
                                <a:lnTo>
                                  <a:pt x="2200656" y="1178052"/>
                                </a:lnTo>
                                <a:lnTo>
                                  <a:pt x="1885188" y="2148840"/>
                                </a:lnTo>
                                <a:lnTo>
                                  <a:pt x="865632" y="2148840"/>
                                </a:lnTo>
                                <a:lnTo>
                                  <a:pt x="550164" y="1178052"/>
                                </a:lnTo>
                                <a:lnTo>
                                  <a:pt x="1374648" y="577596"/>
                                </a:lnTo>
                              </a:path>
                              <a:path w="2750820" h="2616835">
                                <a:moveTo>
                                  <a:pt x="1374648" y="289560"/>
                                </a:moveTo>
                                <a:lnTo>
                                  <a:pt x="2476500" y="1088136"/>
                                </a:lnTo>
                                <a:lnTo>
                                  <a:pt x="2055876" y="2382012"/>
                                </a:lnTo>
                                <a:lnTo>
                                  <a:pt x="694944" y="2382012"/>
                                </a:lnTo>
                                <a:lnTo>
                                  <a:pt x="274320" y="1088136"/>
                                </a:lnTo>
                                <a:lnTo>
                                  <a:pt x="1374648" y="289560"/>
                                </a:lnTo>
                              </a:path>
                              <a:path w="2750820" h="2616835">
                                <a:moveTo>
                                  <a:pt x="1374648" y="0"/>
                                </a:moveTo>
                                <a:lnTo>
                                  <a:pt x="2750820" y="999744"/>
                                </a:lnTo>
                                <a:lnTo>
                                  <a:pt x="2225040" y="2616708"/>
                                </a:lnTo>
                                <a:lnTo>
                                  <a:pt x="524256" y="2616708"/>
                                </a:lnTo>
                                <a:lnTo>
                                  <a:pt x="0" y="999744"/>
                                </a:lnTo>
                                <a:lnTo>
                                  <a:pt x="1374648" y="0"/>
                                </a:lnTo>
                              </a:path>
                            </a:pathLst>
                          </a:custGeom>
                          <a:ln w="9144">
                            <a:solidFill>
                              <a:srgbClr val="D9D9D9"/>
                            </a:solidFill>
                            <a:prstDash val="solid"/>
                          </a:ln>
                        </wps:spPr>
                        <wps:bodyPr wrap="square" lIns="0" tIns="0" rIns="0" bIns="0" rtlCol="0">
                          <a:prstTxWarp prst="textNoShape">
                            <a:avLst/>
                          </a:prstTxWarp>
                          <a:noAutofit/>
                        </wps:bodyPr>
                      </wps:wsp>
                      <wps:wsp>
                        <wps:cNvPr id="187" name="Graphic 187"/>
                        <wps:cNvSpPr/>
                        <wps:spPr>
                          <a:xfrm>
                            <a:off x="1991105" y="1091946"/>
                            <a:ext cx="1127760" cy="1344295"/>
                          </a:xfrm>
                          <a:custGeom>
                            <a:avLst/>
                            <a:gdLst/>
                            <a:ahLst/>
                            <a:cxnLst/>
                            <a:rect l="l" t="t" r="r" b="b"/>
                            <a:pathLst>
                              <a:path w="1127760" h="1344295">
                                <a:moveTo>
                                  <a:pt x="0" y="463296"/>
                                </a:moveTo>
                                <a:lnTo>
                                  <a:pt x="637032" y="0"/>
                                </a:lnTo>
                                <a:lnTo>
                                  <a:pt x="1028699" y="542544"/>
                                </a:lnTo>
                                <a:lnTo>
                                  <a:pt x="1127759" y="1344168"/>
                                </a:lnTo>
                                <a:lnTo>
                                  <a:pt x="576071" y="752856"/>
                                </a:lnTo>
                                <a:lnTo>
                                  <a:pt x="0" y="463296"/>
                                </a:lnTo>
                              </a:path>
                            </a:pathLst>
                          </a:custGeom>
                          <a:ln w="25908">
                            <a:solidFill>
                              <a:srgbClr val="4471C4"/>
                            </a:solidFill>
                            <a:prstDash val="dot"/>
                          </a:ln>
                        </wps:spPr>
                        <wps:bodyPr wrap="square" lIns="0" tIns="0" rIns="0" bIns="0" rtlCol="0">
                          <a:prstTxWarp prst="textNoShape">
                            <a:avLst/>
                          </a:prstTxWarp>
                          <a:noAutofit/>
                        </wps:bodyPr>
                      </wps:wsp>
                      <pic:pic>
                        <pic:nvPicPr>
                          <pic:cNvPr id="188" name="Image 188"/>
                          <pic:cNvPicPr/>
                        </pic:nvPicPr>
                        <pic:blipFill>
                          <a:blip r:embed="rId62" cstate="print"/>
                          <a:stretch>
                            <a:fillRect/>
                          </a:stretch>
                        </pic:blipFill>
                        <pic:spPr>
                          <a:xfrm>
                            <a:off x="2589148" y="1054480"/>
                            <a:ext cx="76200" cy="76200"/>
                          </a:xfrm>
                          <a:prstGeom prst="rect">
                            <a:avLst/>
                          </a:prstGeom>
                        </pic:spPr>
                      </pic:pic>
                      <pic:pic>
                        <pic:nvPicPr>
                          <pic:cNvPr id="189" name="Image 189"/>
                          <pic:cNvPicPr/>
                        </pic:nvPicPr>
                        <pic:blipFill>
                          <a:blip r:embed="rId62" cstate="print"/>
                          <a:stretch>
                            <a:fillRect/>
                          </a:stretch>
                        </pic:blipFill>
                        <pic:spPr>
                          <a:xfrm>
                            <a:off x="2982341" y="1595500"/>
                            <a:ext cx="76200" cy="76200"/>
                          </a:xfrm>
                          <a:prstGeom prst="rect">
                            <a:avLst/>
                          </a:prstGeom>
                        </pic:spPr>
                      </pic:pic>
                      <pic:pic>
                        <pic:nvPicPr>
                          <pic:cNvPr id="190" name="Image 190"/>
                          <pic:cNvPicPr/>
                        </pic:nvPicPr>
                        <pic:blipFill>
                          <a:blip r:embed="rId62" cstate="print"/>
                          <a:stretch>
                            <a:fillRect/>
                          </a:stretch>
                        </pic:blipFill>
                        <pic:spPr>
                          <a:xfrm>
                            <a:off x="3079876" y="2398648"/>
                            <a:ext cx="76200" cy="76200"/>
                          </a:xfrm>
                          <a:prstGeom prst="rect">
                            <a:avLst/>
                          </a:prstGeom>
                        </pic:spPr>
                      </pic:pic>
                      <pic:pic>
                        <pic:nvPicPr>
                          <pic:cNvPr id="191" name="Image 191"/>
                          <pic:cNvPicPr/>
                        </pic:nvPicPr>
                        <pic:blipFill>
                          <a:blip r:embed="rId62" cstate="print"/>
                          <a:stretch>
                            <a:fillRect/>
                          </a:stretch>
                        </pic:blipFill>
                        <pic:spPr>
                          <a:xfrm>
                            <a:off x="2528189" y="1807336"/>
                            <a:ext cx="76200" cy="76200"/>
                          </a:xfrm>
                          <a:prstGeom prst="rect">
                            <a:avLst/>
                          </a:prstGeom>
                        </pic:spPr>
                      </pic:pic>
                      <pic:pic>
                        <pic:nvPicPr>
                          <pic:cNvPr id="192" name="Image 192"/>
                          <pic:cNvPicPr/>
                        </pic:nvPicPr>
                        <pic:blipFill>
                          <a:blip r:embed="rId62" cstate="print"/>
                          <a:stretch>
                            <a:fillRect/>
                          </a:stretch>
                        </pic:blipFill>
                        <pic:spPr>
                          <a:xfrm>
                            <a:off x="1953641" y="1516252"/>
                            <a:ext cx="76199" cy="76200"/>
                          </a:xfrm>
                          <a:prstGeom prst="rect">
                            <a:avLst/>
                          </a:prstGeom>
                        </pic:spPr>
                      </pic:pic>
                      <wps:wsp>
                        <wps:cNvPr id="193" name="Graphic 193"/>
                        <wps:cNvSpPr/>
                        <wps:spPr>
                          <a:xfrm>
                            <a:off x="1998726" y="1061466"/>
                            <a:ext cx="1160145" cy="1271270"/>
                          </a:xfrm>
                          <a:custGeom>
                            <a:avLst/>
                            <a:gdLst/>
                            <a:ahLst/>
                            <a:cxnLst/>
                            <a:rect l="l" t="t" r="r" b="b"/>
                            <a:pathLst>
                              <a:path w="1160145" h="1271270">
                                <a:moveTo>
                                  <a:pt x="0" y="495300"/>
                                </a:moveTo>
                                <a:lnTo>
                                  <a:pt x="629412" y="0"/>
                                </a:lnTo>
                                <a:lnTo>
                                  <a:pt x="1159764" y="527303"/>
                                </a:lnTo>
                                <a:lnTo>
                                  <a:pt x="1043939" y="1271016"/>
                                </a:lnTo>
                                <a:lnTo>
                                  <a:pt x="548639" y="810768"/>
                                </a:lnTo>
                                <a:lnTo>
                                  <a:pt x="0" y="495300"/>
                                </a:lnTo>
                              </a:path>
                            </a:pathLst>
                          </a:custGeom>
                          <a:ln w="25908">
                            <a:solidFill>
                              <a:srgbClr val="EC7C30"/>
                            </a:solidFill>
                            <a:prstDash val="dot"/>
                          </a:ln>
                        </wps:spPr>
                        <wps:bodyPr wrap="square" lIns="0" tIns="0" rIns="0" bIns="0" rtlCol="0">
                          <a:prstTxWarp prst="textNoShape">
                            <a:avLst/>
                          </a:prstTxWarp>
                          <a:noAutofit/>
                        </wps:bodyPr>
                      </wps:wsp>
                      <pic:pic>
                        <pic:nvPicPr>
                          <pic:cNvPr id="194" name="Image 194"/>
                          <pic:cNvPicPr/>
                        </pic:nvPicPr>
                        <pic:blipFill>
                          <a:blip r:embed="rId63" cstate="print"/>
                          <a:stretch>
                            <a:fillRect/>
                          </a:stretch>
                        </pic:blipFill>
                        <pic:spPr>
                          <a:xfrm>
                            <a:off x="2589148" y="1022477"/>
                            <a:ext cx="76200" cy="76200"/>
                          </a:xfrm>
                          <a:prstGeom prst="rect">
                            <a:avLst/>
                          </a:prstGeom>
                        </pic:spPr>
                      </pic:pic>
                      <pic:pic>
                        <pic:nvPicPr>
                          <pic:cNvPr id="195" name="Image 195"/>
                          <pic:cNvPicPr/>
                        </pic:nvPicPr>
                        <pic:blipFill>
                          <a:blip r:embed="rId63" cstate="print"/>
                          <a:stretch>
                            <a:fillRect/>
                          </a:stretch>
                        </pic:blipFill>
                        <pic:spPr>
                          <a:xfrm>
                            <a:off x="3121025" y="1551305"/>
                            <a:ext cx="76200" cy="76200"/>
                          </a:xfrm>
                          <a:prstGeom prst="rect">
                            <a:avLst/>
                          </a:prstGeom>
                        </pic:spPr>
                      </pic:pic>
                      <pic:pic>
                        <pic:nvPicPr>
                          <pic:cNvPr id="196" name="Image 196"/>
                          <pic:cNvPicPr/>
                        </pic:nvPicPr>
                        <pic:blipFill>
                          <a:blip r:embed="rId63" cstate="print"/>
                          <a:stretch>
                            <a:fillRect/>
                          </a:stretch>
                        </pic:blipFill>
                        <pic:spPr>
                          <a:xfrm>
                            <a:off x="3003676" y="2293492"/>
                            <a:ext cx="76200" cy="76200"/>
                          </a:xfrm>
                          <a:prstGeom prst="rect">
                            <a:avLst/>
                          </a:prstGeom>
                        </pic:spPr>
                      </pic:pic>
                      <pic:pic>
                        <pic:nvPicPr>
                          <pic:cNvPr id="197" name="Image 197"/>
                          <pic:cNvPicPr/>
                        </pic:nvPicPr>
                        <pic:blipFill>
                          <a:blip r:embed="rId63" cstate="print"/>
                          <a:stretch>
                            <a:fillRect/>
                          </a:stretch>
                        </pic:blipFill>
                        <pic:spPr>
                          <a:xfrm>
                            <a:off x="2509901" y="1833245"/>
                            <a:ext cx="76200" cy="76200"/>
                          </a:xfrm>
                          <a:prstGeom prst="rect">
                            <a:avLst/>
                          </a:prstGeom>
                        </pic:spPr>
                      </pic:pic>
                      <pic:pic>
                        <pic:nvPicPr>
                          <pic:cNvPr id="198" name="Image 198"/>
                          <pic:cNvPicPr/>
                        </pic:nvPicPr>
                        <pic:blipFill>
                          <a:blip r:embed="rId63" cstate="print"/>
                          <a:stretch>
                            <a:fillRect/>
                          </a:stretch>
                        </pic:blipFill>
                        <pic:spPr>
                          <a:xfrm>
                            <a:off x="1959736" y="1519300"/>
                            <a:ext cx="76200" cy="76200"/>
                          </a:xfrm>
                          <a:prstGeom prst="rect">
                            <a:avLst/>
                          </a:prstGeom>
                        </pic:spPr>
                      </pic:pic>
                      <wps:wsp>
                        <wps:cNvPr id="199" name="Graphic 199"/>
                        <wps:cNvSpPr/>
                        <wps:spPr>
                          <a:xfrm>
                            <a:off x="2042922" y="1201674"/>
                            <a:ext cx="1114425" cy="1193800"/>
                          </a:xfrm>
                          <a:custGeom>
                            <a:avLst/>
                            <a:gdLst/>
                            <a:ahLst/>
                            <a:cxnLst/>
                            <a:rect l="l" t="t" r="r" b="b"/>
                            <a:pathLst>
                              <a:path w="1114425" h="1193800">
                                <a:moveTo>
                                  <a:pt x="0" y="370331"/>
                                </a:moveTo>
                                <a:lnTo>
                                  <a:pt x="585215" y="0"/>
                                </a:lnTo>
                                <a:lnTo>
                                  <a:pt x="1114043" y="388619"/>
                                </a:lnTo>
                                <a:lnTo>
                                  <a:pt x="1043939" y="1193291"/>
                                </a:lnTo>
                                <a:lnTo>
                                  <a:pt x="376427" y="847343"/>
                                </a:lnTo>
                                <a:lnTo>
                                  <a:pt x="0" y="370331"/>
                                </a:lnTo>
                              </a:path>
                            </a:pathLst>
                          </a:custGeom>
                          <a:ln w="25908">
                            <a:solidFill>
                              <a:srgbClr val="FFC000"/>
                            </a:solidFill>
                            <a:prstDash val="dot"/>
                          </a:ln>
                        </wps:spPr>
                        <wps:bodyPr wrap="square" lIns="0" tIns="0" rIns="0" bIns="0" rtlCol="0">
                          <a:prstTxWarp prst="textNoShape">
                            <a:avLst/>
                          </a:prstTxWarp>
                          <a:noAutofit/>
                        </wps:bodyPr>
                      </wps:wsp>
                      <pic:pic>
                        <pic:nvPicPr>
                          <pic:cNvPr id="200" name="Image 200"/>
                          <pic:cNvPicPr/>
                        </pic:nvPicPr>
                        <pic:blipFill>
                          <a:blip r:embed="rId65" cstate="print"/>
                          <a:stretch>
                            <a:fillRect/>
                          </a:stretch>
                        </pic:blipFill>
                        <pic:spPr>
                          <a:xfrm>
                            <a:off x="2589148" y="1162685"/>
                            <a:ext cx="76200" cy="76200"/>
                          </a:xfrm>
                          <a:prstGeom prst="rect">
                            <a:avLst/>
                          </a:prstGeom>
                        </pic:spPr>
                      </pic:pic>
                      <pic:pic>
                        <pic:nvPicPr>
                          <pic:cNvPr id="201" name="Image 201"/>
                          <pic:cNvPicPr/>
                        </pic:nvPicPr>
                        <pic:blipFill>
                          <a:blip r:embed="rId65" cstate="print"/>
                          <a:stretch>
                            <a:fillRect/>
                          </a:stretch>
                        </pic:blipFill>
                        <pic:spPr>
                          <a:xfrm>
                            <a:off x="3119501" y="1551305"/>
                            <a:ext cx="76200" cy="76200"/>
                          </a:xfrm>
                          <a:prstGeom prst="rect">
                            <a:avLst/>
                          </a:prstGeom>
                        </pic:spPr>
                      </pic:pic>
                      <pic:pic>
                        <pic:nvPicPr>
                          <pic:cNvPr id="202" name="Image 202"/>
                          <pic:cNvPicPr/>
                        </pic:nvPicPr>
                        <pic:blipFill>
                          <a:blip r:embed="rId65" cstate="print"/>
                          <a:stretch>
                            <a:fillRect/>
                          </a:stretch>
                        </pic:blipFill>
                        <pic:spPr>
                          <a:xfrm>
                            <a:off x="3049397" y="2355976"/>
                            <a:ext cx="76200" cy="76200"/>
                          </a:xfrm>
                          <a:prstGeom prst="rect">
                            <a:avLst/>
                          </a:prstGeom>
                        </pic:spPr>
                      </pic:pic>
                      <pic:pic>
                        <pic:nvPicPr>
                          <pic:cNvPr id="203" name="Image 203"/>
                          <pic:cNvPicPr/>
                        </pic:nvPicPr>
                        <pic:blipFill>
                          <a:blip r:embed="rId65" cstate="print"/>
                          <a:stretch>
                            <a:fillRect/>
                          </a:stretch>
                        </pic:blipFill>
                        <pic:spPr>
                          <a:xfrm>
                            <a:off x="2380360" y="2011552"/>
                            <a:ext cx="76200" cy="76200"/>
                          </a:xfrm>
                          <a:prstGeom prst="rect">
                            <a:avLst/>
                          </a:prstGeom>
                        </pic:spPr>
                      </pic:pic>
                      <pic:pic>
                        <pic:nvPicPr>
                          <pic:cNvPr id="204" name="Image 204"/>
                          <pic:cNvPicPr/>
                        </pic:nvPicPr>
                        <pic:blipFill>
                          <a:blip r:embed="rId65" cstate="print"/>
                          <a:stretch>
                            <a:fillRect/>
                          </a:stretch>
                        </pic:blipFill>
                        <pic:spPr>
                          <a:xfrm>
                            <a:off x="2005457" y="1533016"/>
                            <a:ext cx="76200" cy="76200"/>
                          </a:xfrm>
                          <a:prstGeom prst="rect">
                            <a:avLst/>
                          </a:prstGeom>
                        </pic:spPr>
                      </pic:pic>
                      <wps:wsp>
                        <wps:cNvPr id="205" name="Graphic 205"/>
                        <wps:cNvSpPr/>
                        <wps:spPr>
                          <a:xfrm>
                            <a:off x="668273" y="3309365"/>
                            <a:ext cx="320040" cy="1270"/>
                          </a:xfrm>
                          <a:custGeom>
                            <a:avLst/>
                            <a:gdLst/>
                            <a:ahLst/>
                            <a:cxnLst/>
                            <a:rect l="l" t="t" r="r" b="b"/>
                            <a:pathLst>
                              <a:path w="320040" h="0">
                                <a:moveTo>
                                  <a:pt x="0" y="0"/>
                                </a:moveTo>
                                <a:lnTo>
                                  <a:pt x="320039" y="0"/>
                                </a:lnTo>
                              </a:path>
                            </a:pathLst>
                          </a:custGeom>
                          <a:ln w="25908">
                            <a:solidFill>
                              <a:srgbClr val="4471C4"/>
                            </a:solidFill>
                            <a:prstDash val="dot"/>
                          </a:ln>
                        </wps:spPr>
                        <wps:bodyPr wrap="square" lIns="0" tIns="0" rIns="0" bIns="0" rtlCol="0">
                          <a:prstTxWarp prst="textNoShape">
                            <a:avLst/>
                          </a:prstTxWarp>
                          <a:noAutofit/>
                        </wps:bodyPr>
                      </wps:wsp>
                      <pic:pic>
                        <pic:nvPicPr>
                          <pic:cNvPr id="206" name="Image 206"/>
                          <pic:cNvPicPr/>
                        </pic:nvPicPr>
                        <pic:blipFill>
                          <a:blip r:embed="rId62" cstate="print"/>
                          <a:stretch>
                            <a:fillRect/>
                          </a:stretch>
                        </pic:blipFill>
                        <pic:spPr>
                          <a:xfrm>
                            <a:off x="789431" y="3270503"/>
                            <a:ext cx="76200" cy="76200"/>
                          </a:xfrm>
                          <a:prstGeom prst="rect">
                            <a:avLst/>
                          </a:prstGeom>
                        </pic:spPr>
                      </pic:pic>
                      <wps:wsp>
                        <wps:cNvPr id="207" name="Graphic 207"/>
                        <wps:cNvSpPr/>
                        <wps:spPr>
                          <a:xfrm>
                            <a:off x="2210561" y="3309365"/>
                            <a:ext cx="320040" cy="1270"/>
                          </a:xfrm>
                          <a:custGeom>
                            <a:avLst/>
                            <a:gdLst/>
                            <a:ahLst/>
                            <a:cxnLst/>
                            <a:rect l="l" t="t" r="r" b="b"/>
                            <a:pathLst>
                              <a:path w="320040" h="0">
                                <a:moveTo>
                                  <a:pt x="0" y="0"/>
                                </a:moveTo>
                                <a:lnTo>
                                  <a:pt x="320039" y="0"/>
                                </a:lnTo>
                              </a:path>
                            </a:pathLst>
                          </a:custGeom>
                          <a:ln w="25908">
                            <a:solidFill>
                              <a:srgbClr val="EC7C30"/>
                            </a:solidFill>
                            <a:prstDash val="dot"/>
                          </a:ln>
                        </wps:spPr>
                        <wps:bodyPr wrap="square" lIns="0" tIns="0" rIns="0" bIns="0" rtlCol="0">
                          <a:prstTxWarp prst="textNoShape">
                            <a:avLst/>
                          </a:prstTxWarp>
                          <a:noAutofit/>
                        </wps:bodyPr>
                      </wps:wsp>
                      <pic:pic>
                        <pic:nvPicPr>
                          <pic:cNvPr id="208" name="Image 208"/>
                          <pic:cNvPicPr/>
                        </pic:nvPicPr>
                        <pic:blipFill>
                          <a:blip r:embed="rId63" cstate="print"/>
                          <a:stretch>
                            <a:fillRect/>
                          </a:stretch>
                        </pic:blipFill>
                        <pic:spPr>
                          <a:xfrm>
                            <a:off x="2331720" y="3270503"/>
                            <a:ext cx="76200" cy="76200"/>
                          </a:xfrm>
                          <a:prstGeom prst="rect">
                            <a:avLst/>
                          </a:prstGeom>
                        </pic:spPr>
                      </pic:pic>
                      <wps:wsp>
                        <wps:cNvPr id="209" name="Graphic 209"/>
                        <wps:cNvSpPr/>
                        <wps:spPr>
                          <a:xfrm>
                            <a:off x="3719321" y="3309365"/>
                            <a:ext cx="320040" cy="1270"/>
                          </a:xfrm>
                          <a:custGeom>
                            <a:avLst/>
                            <a:gdLst/>
                            <a:ahLst/>
                            <a:cxnLst/>
                            <a:rect l="l" t="t" r="r" b="b"/>
                            <a:pathLst>
                              <a:path w="320040" h="0">
                                <a:moveTo>
                                  <a:pt x="0" y="0"/>
                                </a:moveTo>
                                <a:lnTo>
                                  <a:pt x="320039" y="0"/>
                                </a:lnTo>
                              </a:path>
                            </a:pathLst>
                          </a:custGeom>
                          <a:ln w="25908">
                            <a:solidFill>
                              <a:srgbClr val="FFC000"/>
                            </a:solidFill>
                            <a:prstDash val="dot"/>
                          </a:ln>
                        </wps:spPr>
                        <wps:bodyPr wrap="square" lIns="0" tIns="0" rIns="0" bIns="0" rtlCol="0">
                          <a:prstTxWarp prst="textNoShape">
                            <a:avLst/>
                          </a:prstTxWarp>
                          <a:noAutofit/>
                        </wps:bodyPr>
                      </wps:wsp>
                      <pic:pic>
                        <pic:nvPicPr>
                          <pic:cNvPr id="210" name="Image 210"/>
                          <pic:cNvPicPr/>
                        </pic:nvPicPr>
                        <pic:blipFill>
                          <a:blip r:embed="rId65" cstate="print"/>
                          <a:stretch>
                            <a:fillRect/>
                          </a:stretch>
                        </pic:blipFill>
                        <pic:spPr>
                          <a:xfrm>
                            <a:off x="3840479" y="3270503"/>
                            <a:ext cx="76200" cy="76200"/>
                          </a:xfrm>
                          <a:prstGeom prst="rect">
                            <a:avLst/>
                          </a:prstGeom>
                        </pic:spPr>
                      </pic:pic>
                      <wps:wsp>
                        <wps:cNvPr id="211" name="Graphic 211"/>
                        <wps:cNvSpPr/>
                        <wps:spPr>
                          <a:xfrm>
                            <a:off x="4572" y="4572"/>
                            <a:ext cx="5476240" cy="3451860"/>
                          </a:xfrm>
                          <a:custGeom>
                            <a:avLst/>
                            <a:gdLst/>
                            <a:ahLst/>
                            <a:cxnLst/>
                            <a:rect l="l" t="t" r="r" b="b"/>
                            <a:pathLst>
                              <a:path w="5476240" h="3451860">
                                <a:moveTo>
                                  <a:pt x="0" y="3451860"/>
                                </a:moveTo>
                                <a:lnTo>
                                  <a:pt x="5475732" y="3451860"/>
                                </a:lnTo>
                                <a:lnTo>
                                  <a:pt x="5475732" y="0"/>
                                </a:lnTo>
                                <a:lnTo>
                                  <a:pt x="0" y="0"/>
                                </a:lnTo>
                                <a:lnTo>
                                  <a:pt x="0" y="3451860"/>
                                </a:lnTo>
                                <a:close/>
                              </a:path>
                            </a:pathLst>
                          </a:custGeom>
                          <a:ln w="9144">
                            <a:solidFill>
                              <a:srgbClr val="D9D9D9"/>
                            </a:solidFill>
                            <a:prstDash val="solid"/>
                          </a:ln>
                        </wps:spPr>
                        <wps:bodyPr wrap="square" lIns="0" tIns="0" rIns="0" bIns="0" rtlCol="0">
                          <a:prstTxWarp prst="textNoShape">
                            <a:avLst/>
                          </a:prstTxWarp>
                          <a:noAutofit/>
                        </wps:bodyPr>
                      </wps:wsp>
                      <wps:wsp>
                        <wps:cNvPr id="212" name="Textbox 212"/>
                        <wps:cNvSpPr txBox="1"/>
                        <wps:spPr>
                          <a:xfrm>
                            <a:off x="4075176" y="3221566"/>
                            <a:ext cx="767080" cy="168910"/>
                          </a:xfrm>
                          <a:prstGeom prst="rect">
                            <a:avLst/>
                          </a:prstGeom>
                        </wps:spPr>
                        <wps:txbx>
                          <w:txbxContent>
                            <w:p>
                              <w:pPr>
                                <w:spacing w:line="266" w:lineRule="exact" w:before="0"/>
                                <w:ind w:left="0" w:right="0" w:firstLine="0"/>
                                <w:jc w:val="left"/>
                                <w:rPr>
                                  <w:sz w:val="24"/>
                                </w:rPr>
                              </w:pPr>
                              <w:r>
                                <w:rPr>
                                  <w:color w:val="585858"/>
                                  <w:spacing w:val="-2"/>
                                  <w:sz w:val="24"/>
                                </w:rPr>
                                <w:t>Tudunfulani</w:t>
                              </w:r>
                            </w:p>
                          </w:txbxContent>
                        </wps:txbx>
                        <wps:bodyPr wrap="square" lIns="0" tIns="0" rIns="0" bIns="0" rtlCol="0">
                          <a:noAutofit/>
                        </wps:bodyPr>
                      </wps:wsp>
                      <wps:wsp>
                        <wps:cNvPr id="213" name="Textbox 213"/>
                        <wps:cNvSpPr txBox="1"/>
                        <wps:spPr>
                          <a:xfrm>
                            <a:off x="2566670" y="3221566"/>
                            <a:ext cx="614045" cy="168910"/>
                          </a:xfrm>
                          <a:prstGeom prst="rect">
                            <a:avLst/>
                          </a:prstGeom>
                        </wps:spPr>
                        <wps:txbx>
                          <w:txbxContent>
                            <w:p>
                              <w:pPr>
                                <w:spacing w:line="266" w:lineRule="exact" w:before="0"/>
                                <w:ind w:left="0" w:right="0" w:firstLine="0"/>
                                <w:jc w:val="left"/>
                                <w:rPr>
                                  <w:sz w:val="24"/>
                                </w:rPr>
                              </w:pPr>
                              <w:r>
                                <w:rPr>
                                  <w:color w:val="585858"/>
                                  <w:spacing w:val="-2"/>
                                  <w:sz w:val="24"/>
                                </w:rPr>
                                <w:t>Maitumbi</w:t>
                              </w:r>
                            </w:p>
                          </w:txbxContent>
                        </wps:txbx>
                        <wps:bodyPr wrap="square" lIns="0" tIns="0" rIns="0" bIns="0" rtlCol="0">
                          <a:noAutofit/>
                        </wps:bodyPr>
                      </wps:wsp>
                      <wps:wsp>
                        <wps:cNvPr id="214" name="Textbox 214"/>
                        <wps:cNvSpPr txBox="1"/>
                        <wps:spPr>
                          <a:xfrm>
                            <a:off x="1024763" y="3221566"/>
                            <a:ext cx="648335" cy="168910"/>
                          </a:xfrm>
                          <a:prstGeom prst="rect">
                            <a:avLst/>
                          </a:prstGeom>
                        </wps:spPr>
                        <wps:txbx>
                          <w:txbxContent>
                            <w:p>
                              <w:pPr>
                                <w:spacing w:line="266" w:lineRule="exact" w:before="0"/>
                                <w:ind w:left="0" w:right="0" w:firstLine="0"/>
                                <w:jc w:val="left"/>
                                <w:rPr>
                                  <w:sz w:val="24"/>
                                </w:rPr>
                              </w:pPr>
                              <w:r>
                                <w:rPr>
                                  <w:color w:val="585858"/>
                                  <w:spacing w:val="-2"/>
                                  <w:sz w:val="24"/>
                                </w:rPr>
                                <w:t>Kpakungu</w:t>
                              </w:r>
                            </w:p>
                          </w:txbxContent>
                        </wps:txbx>
                        <wps:bodyPr wrap="square" lIns="0" tIns="0" rIns="0" bIns="0" rtlCol="0">
                          <a:noAutofit/>
                        </wps:bodyPr>
                      </wps:wsp>
                      <wps:wsp>
                        <wps:cNvPr id="215" name="Textbox 215"/>
                        <wps:cNvSpPr txBox="1"/>
                        <wps:spPr>
                          <a:xfrm>
                            <a:off x="3513073" y="2890604"/>
                            <a:ext cx="596900" cy="168910"/>
                          </a:xfrm>
                          <a:prstGeom prst="rect">
                            <a:avLst/>
                          </a:prstGeom>
                        </wps:spPr>
                        <wps:txbx>
                          <w:txbxContent>
                            <w:p>
                              <w:pPr>
                                <w:spacing w:line="266" w:lineRule="exact" w:before="0"/>
                                <w:ind w:left="0" w:right="0" w:firstLine="0"/>
                                <w:jc w:val="left"/>
                                <w:rPr>
                                  <w:b/>
                                  <w:sz w:val="24"/>
                                </w:rPr>
                              </w:pPr>
                              <w:r>
                                <w:rPr>
                                  <w:b/>
                                  <w:color w:val="585858"/>
                                  <w:spacing w:val="-2"/>
                                  <w:sz w:val="24"/>
                                </w:rPr>
                                <w:t>Capacity</w:t>
                              </w:r>
                            </w:p>
                          </w:txbxContent>
                        </wps:txbx>
                        <wps:bodyPr wrap="square" lIns="0" tIns="0" rIns="0" bIns="0" rtlCol="0">
                          <a:noAutofit/>
                        </wps:bodyPr>
                      </wps:wsp>
                      <wps:wsp>
                        <wps:cNvPr id="216" name="Textbox 216"/>
                        <wps:cNvSpPr txBox="1"/>
                        <wps:spPr>
                          <a:xfrm>
                            <a:off x="1507236" y="2890604"/>
                            <a:ext cx="250190" cy="168910"/>
                          </a:xfrm>
                          <a:prstGeom prst="rect">
                            <a:avLst/>
                          </a:prstGeom>
                        </wps:spPr>
                        <wps:txbx>
                          <w:txbxContent>
                            <w:p>
                              <w:pPr>
                                <w:spacing w:line="266" w:lineRule="exact" w:before="0"/>
                                <w:ind w:left="0" w:right="0" w:firstLine="0"/>
                                <w:jc w:val="left"/>
                                <w:rPr>
                                  <w:b/>
                                  <w:sz w:val="24"/>
                                </w:rPr>
                              </w:pPr>
                              <w:r>
                                <w:rPr>
                                  <w:b/>
                                  <w:color w:val="585858"/>
                                  <w:spacing w:val="-5"/>
                                  <w:sz w:val="24"/>
                                </w:rPr>
                                <w:t>Use</w:t>
                              </w:r>
                            </w:p>
                          </w:txbxContent>
                        </wps:txbx>
                        <wps:bodyPr wrap="square" lIns="0" tIns="0" rIns="0" bIns="0" rtlCol="0">
                          <a:noAutofit/>
                        </wps:bodyPr>
                      </wps:wsp>
                      <wps:wsp>
                        <wps:cNvPr id="217" name="Textbox 217"/>
                        <wps:cNvSpPr txBox="1"/>
                        <wps:spPr>
                          <a:xfrm>
                            <a:off x="2252217" y="1425447"/>
                            <a:ext cx="273685" cy="403860"/>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20.00</w:t>
                              </w:r>
                            </w:p>
                            <w:p>
                              <w:pPr>
                                <w:spacing w:line="240" w:lineRule="auto" w:before="16"/>
                                <w:rPr>
                                  <w:rFonts w:ascii="Calibri"/>
                                  <w:sz w:val="18"/>
                                </w:rPr>
                              </w:pPr>
                            </w:p>
                            <w:p>
                              <w:pPr>
                                <w:spacing w:line="216" w:lineRule="exact" w:before="0"/>
                                <w:ind w:left="91" w:right="0" w:firstLine="0"/>
                                <w:jc w:val="left"/>
                                <w:rPr>
                                  <w:rFonts w:ascii="Calibri"/>
                                  <w:sz w:val="18"/>
                                </w:rPr>
                              </w:pPr>
                              <w:r>
                                <w:rPr>
                                  <w:rFonts w:ascii="Calibri"/>
                                  <w:color w:val="585858"/>
                                  <w:spacing w:val="-4"/>
                                  <w:sz w:val="18"/>
                                </w:rPr>
                                <w:t>0.00</w:t>
                              </w:r>
                            </w:p>
                          </w:txbxContent>
                        </wps:txbx>
                        <wps:bodyPr wrap="square" lIns="0" tIns="0" rIns="0" bIns="0" rtlCol="0">
                          <a:noAutofit/>
                        </wps:bodyPr>
                      </wps:wsp>
                      <wps:wsp>
                        <wps:cNvPr id="218" name="Textbox 218"/>
                        <wps:cNvSpPr txBox="1"/>
                        <wps:spPr>
                          <a:xfrm>
                            <a:off x="4059682" y="1208362"/>
                            <a:ext cx="443865" cy="168910"/>
                          </a:xfrm>
                          <a:prstGeom prst="rect">
                            <a:avLst/>
                          </a:prstGeom>
                        </wps:spPr>
                        <wps:txbx>
                          <w:txbxContent>
                            <w:p>
                              <w:pPr>
                                <w:spacing w:line="266" w:lineRule="exact" w:before="0"/>
                                <w:ind w:left="0" w:right="0" w:firstLine="0"/>
                                <w:jc w:val="left"/>
                                <w:rPr>
                                  <w:b/>
                                  <w:sz w:val="24"/>
                                </w:rPr>
                              </w:pPr>
                              <w:r>
                                <w:rPr>
                                  <w:b/>
                                  <w:color w:val="585858"/>
                                  <w:spacing w:val="-2"/>
                                  <w:sz w:val="24"/>
                                </w:rPr>
                                <w:t>Access</w:t>
                              </w:r>
                            </w:p>
                          </w:txbxContent>
                        </wps:txbx>
                        <wps:bodyPr wrap="square" lIns="0" tIns="0" rIns="0" bIns="0" rtlCol="0">
                          <a:noAutofit/>
                        </wps:bodyPr>
                      </wps:wsp>
                      <wps:wsp>
                        <wps:cNvPr id="219" name="Textbox 219"/>
                        <wps:cNvSpPr txBox="1"/>
                        <wps:spPr>
                          <a:xfrm>
                            <a:off x="2252217" y="1136269"/>
                            <a:ext cx="27368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40.00</w:t>
                              </w:r>
                            </w:p>
                          </w:txbxContent>
                        </wps:txbx>
                        <wps:bodyPr wrap="square" lIns="0" tIns="0" rIns="0" bIns="0" rtlCol="0">
                          <a:noAutofit/>
                        </wps:bodyPr>
                      </wps:wsp>
                      <wps:wsp>
                        <wps:cNvPr id="220" name="Textbox 220"/>
                        <wps:cNvSpPr txBox="1"/>
                        <wps:spPr>
                          <a:xfrm>
                            <a:off x="333756" y="1208362"/>
                            <a:ext cx="875665" cy="168910"/>
                          </a:xfrm>
                          <a:prstGeom prst="rect">
                            <a:avLst/>
                          </a:prstGeom>
                        </wps:spPr>
                        <wps:txbx>
                          <w:txbxContent>
                            <w:p>
                              <w:pPr>
                                <w:spacing w:line="266" w:lineRule="exact" w:before="0"/>
                                <w:ind w:left="0" w:right="0" w:firstLine="0"/>
                                <w:jc w:val="left"/>
                                <w:rPr>
                                  <w:b/>
                                  <w:sz w:val="24"/>
                                </w:rPr>
                              </w:pPr>
                              <w:r>
                                <w:rPr>
                                  <w:b/>
                                  <w:color w:val="585858"/>
                                  <w:spacing w:val="-2"/>
                                  <w:sz w:val="24"/>
                                </w:rPr>
                                <w:t>Environment</w:t>
                              </w:r>
                            </w:p>
                          </w:txbxContent>
                        </wps:txbx>
                        <wps:bodyPr wrap="square" lIns="0" tIns="0" rIns="0" bIns="0" rtlCol="0">
                          <a:noAutofit/>
                        </wps:bodyPr>
                      </wps:wsp>
                      <wps:wsp>
                        <wps:cNvPr id="221" name="Textbox 221"/>
                        <wps:cNvSpPr txBox="1"/>
                        <wps:spPr>
                          <a:xfrm>
                            <a:off x="2194305" y="80348"/>
                            <a:ext cx="748030" cy="880744"/>
                          </a:xfrm>
                          <a:prstGeom prst="rect">
                            <a:avLst/>
                          </a:prstGeom>
                        </wps:spPr>
                        <wps:txbx>
                          <w:txbxContent>
                            <w:p>
                              <w:pPr>
                                <w:spacing w:line="263" w:lineRule="exact" w:before="0"/>
                                <w:ind w:left="210" w:right="0" w:firstLine="0"/>
                                <w:jc w:val="left"/>
                                <w:rPr>
                                  <w:b/>
                                  <w:sz w:val="24"/>
                                </w:rPr>
                              </w:pPr>
                              <w:r>
                                <w:rPr>
                                  <w:b/>
                                  <w:color w:val="585858"/>
                                  <w:spacing w:val="-2"/>
                                  <w:sz w:val="24"/>
                                </w:rPr>
                                <w:t>Resource</w:t>
                              </w:r>
                            </w:p>
                            <w:p>
                              <w:pPr>
                                <w:spacing w:line="216" w:lineRule="exact" w:before="0"/>
                                <w:ind w:left="0" w:right="0" w:firstLine="0"/>
                                <w:jc w:val="left"/>
                                <w:rPr>
                                  <w:rFonts w:ascii="Calibri"/>
                                  <w:sz w:val="18"/>
                                </w:rPr>
                              </w:pPr>
                              <w:r>
                                <w:rPr>
                                  <w:rFonts w:ascii="Calibri"/>
                                  <w:color w:val="585858"/>
                                  <w:spacing w:val="-2"/>
                                  <w:sz w:val="18"/>
                                </w:rPr>
                                <w:t>100.00</w:t>
                              </w:r>
                            </w:p>
                            <w:p>
                              <w:pPr>
                                <w:spacing w:line="240" w:lineRule="auto" w:before="16"/>
                                <w:rPr>
                                  <w:rFonts w:ascii="Calibri"/>
                                  <w:sz w:val="18"/>
                                </w:rPr>
                              </w:pPr>
                            </w:p>
                            <w:p>
                              <w:pPr>
                                <w:spacing w:before="0"/>
                                <w:ind w:left="91" w:right="0" w:firstLine="0"/>
                                <w:jc w:val="left"/>
                                <w:rPr>
                                  <w:rFonts w:ascii="Calibri"/>
                                  <w:sz w:val="18"/>
                                </w:rPr>
                              </w:pPr>
                              <w:r>
                                <w:rPr>
                                  <w:rFonts w:ascii="Calibri"/>
                                  <w:color w:val="585858"/>
                                  <w:spacing w:val="-2"/>
                                  <w:sz w:val="18"/>
                                </w:rPr>
                                <w:t>80.00</w:t>
                              </w:r>
                            </w:p>
                            <w:p>
                              <w:pPr>
                                <w:spacing w:line="240" w:lineRule="auto" w:before="16"/>
                                <w:rPr>
                                  <w:rFonts w:ascii="Calibri"/>
                                  <w:sz w:val="18"/>
                                </w:rPr>
                              </w:pPr>
                            </w:p>
                            <w:p>
                              <w:pPr>
                                <w:spacing w:line="216" w:lineRule="exact" w:before="0"/>
                                <w:ind w:left="91" w:right="0" w:firstLine="0"/>
                                <w:jc w:val="left"/>
                                <w:rPr>
                                  <w:rFonts w:ascii="Calibri"/>
                                  <w:sz w:val="18"/>
                                </w:rPr>
                              </w:pPr>
                              <w:r>
                                <w:rPr>
                                  <w:rFonts w:ascii="Calibri"/>
                                  <w:color w:val="585858"/>
                                  <w:spacing w:val="-2"/>
                                  <w:sz w:val="18"/>
                                </w:rPr>
                                <w:t>60.00</w:t>
                              </w:r>
                            </w:p>
                          </w:txbxContent>
                        </wps:txbx>
                        <wps:bodyPr wrap="square" lIns="0" tIns="0" rIns="0" bIns="0" rtlCol="0">
                          <a:noAutofit/>
                        </wps:bodyPr>
                      </wps:wsp>
                    </wpg:wgp>
                  </a:graphicData>
                </a:graphic>
              </wp:inline>
            </w:drawing>
          </mc:Choice>
          <mc:Fallback>
            <w:pict>
              <v:group style="width:431.9pt;height:272.55pt;mso-position-horizontal-relative:char;mso-position-vertical-relative:line" id="docshapegroup163" coordorigin="0,0" coordsize="8638,5451">
                <v:shape style="position:absolute;left:1972;top:496;width:4332;height:4121" id="docshape164" coordorigin="1973,497" coordsize="4332,4121" path="m4138,2318l4572,2633,4406,3144,3871,3144,3706,2633,4138,2318m4138,1862l5004,2494,4675,3511,3602,3511,3271,2494,4138,1862m4138,1406l5438,2352,4942,3881,3336,3881,2839,2352,4138,1406m4138,953l5873,2210,5210,4248,3067,4248,2405,2210,4138,953m4138,497l6305,2071,5477,4618,2798,4618,1973,2071,4138,497e" filled="false" stroked="true" strokeweight=".72pt" strokecolor="#d9d9d9">
                  <v:path arrowok="t"/>
                  <v:stroke dashstyle="solid"/>
                </v:shape>
                <v:shape style="position:absolute;left:3135;top:1719;width:1776;height:2117" id="docshape165" coordorigin="3136,1720" coordsize="1776,2117" path="m3136,2449l4139,1720,4756,2574,4912,3836,4043,2905,3136,2449e" filled="false" stroked="true" strokeweight="2.04pt" strokecolor="#4471c4">
                  <v:path arrowok="t"/>
                  <v:stroke dashstyle="dot"/>
                </v:shape>
                <v:shape style="position:absolute;left:4077;top:1660;width:120;height:120" type="#_x0000_t75" id="docshape166" stroked="false">
                  <v:imagedata r:id="rId62" o:title=""/>
                </v:shape>
                <v:shape style="position:absolute;left:4696;top:2512;width:120;height:120" type="#_x0000_t75" id="docshape167" stroked="false">
                  <v:imagedata r:id="rId62" o:title=""/>
                </v:shape>
                <v:shape style="position:absolute;left:4850;top:3777;width:120;height:120" type="#_x0000_t75" id="docshape168" stroked="false">
                  <v:imagedata r:id="rId62" o:title=""/>
                </v:shape>
                <v:shape style="position:absolute;left:3981;top:2846;width:120;height:120" type="#_x0000_t75" id="docshape169" stroked="false">
                  <v:imagedata r:id="rId62" o:title=""/>
                </v:shape>
                <v:shape style="position:absolute;left:3076;top:2387;width:120;height:120" type="#_x0000_t75" id="docshape170" stroked="false">
                  <v:imagedata r:id="rId62" o:title=""/>
                </v:shape>
                <v:shape style="position:absolute;left:3147;top:1671;width:1827;height:2002" id="docshape171" coordorigin="3148,1672" coordsize="1827,2002" path="m3148,2452l4139,1672,4974,2502,4792,3673,4012,2948,3148,2452e" filled="false" stroked="true" strokeweight="2.04pt" strokecolor="#ec7c30">
                  <v:path arrowok="t"/>
                  <v:stroke dashstyle="dot"/>
                </v:shape>
                <v:shape style="position:absolute;left:4077;top:1610;width:120;height:120" type="#_x0000_t75" id="docshape172" stroked="false">
                  <v:imagedata r:id="rId63" o:title=""/>
                </v:shape>
                <v:shape style="position:absolute;left:4915;top:2443;width:120;height:120" type="#_x0000_t75" id="docshape173" stroked="false">
                  <v:imagedata r:id="rId63" o:title=""/>
                </v:shape>
                <v:shape style="position:absolute;left:4730;top:3611;width:120;height:120" type="#_x0000_t75" id="docshape174" stroked="false">
                  <v:imagedata r:id="rId63" o:title=""/>
                </v:shape>
                <v:shape style="position:absolute;left:3952;top:2887;width:120;height:120" type="#_x0000_t75" id="docshape175" stroked="false">
                  <v:imagedata r:id="rId63" o:title=""/>
                </v:shape>
                <v:shape style="position:absolute;left:3086;top:2392;width:120;height:120" type="#_x0000_t75" id="docshape176" stroked="false">
                  <v:imagedata r:id="rId63" o:title=""/>
                </v:shape>
                <v:shape style="position:absolute;left:3217;top:1892;width:1755;height:1880" id="docshape177" coordorigin="3217,1892" coordsize="1755,1880" path="m3217,2476l4139,1892,4972,2504,4861,3772,3810,3227,3217,2476e" filled="false" stroked="true" strokeweight="2.04pt" strokecolor="#ffc000">
                  <v:path arrowok="t"/>
                  <v:stroke dashstyle="dot"/>
                </v:shape>
                <v:shape style="position:absolute;left:4077;top:1831;width:120;height:120" type="#_x0000_t75" id="docshape178" stroked="false">
                  <v:imagedata r:id="rId65" o:title=""/>
                </v:shape>
                <v:shape style="position:absolute;left:4912;top:2443;width:120;height:120" type="#_x0000_t75" id="docshape179" stroked="false">
                  <v:imagedata r:id="rId65" o:title=""/>
                </v:shape>
                <v:shape style="position:absolute;left:4802;top:3710;width:120;height:120" type="#_x0000_t75" id="docshape180" stroked="false">
                  <v:imagedata r:id="rId65" o:title=""/>
                </v:shape>
                <v:shape style="position:absolute;left:3748;top:3167;width:120;height:120" type="#_x0000_t75" id="docshape181" stroked="false">
                  <v:imagedata r:id="rId65" o:title=""/>
                </v:shape>
                <v:shape style="position:absolute;left:3158;top:2414;width:120;height:120" type="#_x0000_t75" id="docshape182" stroked="false">
                  <v:imagedata r:id="rId65" o:title=""/>
                </v:shape>
                <v:line style="position:absolute" from="1052,5212" to="1556,5212" stroked="true" strokeweight="2.04pt" strokecolor="#4471c4">
                  <v:stroke dashstyle="dot"/>
                </v:line>
                <v:shape style="position:absolute;left:1243;top:5150;width:120;height:120" type="#_x0000_t75" id="docshape183" stroked="false">
                  <v:imagedata r:id="rId62" o:title=""/>
                </v:shape>
                <v:line style="position:absolute" from="3481,5212" to="3985,5212" stroked="true" strokeweight="2.04pt" strokecolor="#ec7c30">
                  <v:stroke dashstyle="dot"/>
                </v:line>
                <v:shape style="position:absolute;left:3672;top:5150;width:120;height:120" type="#_x0000_t75" id="docshape184" stroked="false">
                  <v:imagedata r:id="rId63" o:title=""/>
                </v:shape>
                <v:line style="position:absolute" from="5857,5212" to="6361,5212" stroked="true" strokeweight="2.04pt" strokecolor="#ffc000">
                  <v:stroke dashstyle="dot"/>
                </v:line>
                <v:shape style="position:absolute;left:6048;top:5150;width:120;height:120" type="#_x0000_t75" id="docshape185" stroked="false">
                  <v:imagedata r:id="rId65" o:title=""/>
                </v:shape>
                <v:rect style="position:absolute;left:7;top:7;width:8624;height:5436" id="docshape186" filled="false" stroked="true" strokeweight=".72pt" strokecolor="#d9d9d9">
                  <v:stroke dashstyle="solid"/>
                </v:rect>
                <v:shape style="position:absolute;left:6417;top:5073;width:1208;height:266" type="#_x0000_t202" id="docshape187" filled="false" stroked="false">
                  <v:textbox inset="0,0,0,0">
                    <w:txbxContent>
                      <w:p>
                        <w:pPr>
                          <w:spacing w:line="266" w:lineRule="exact" w:before="0"/>
                          <w:ind w:left="0" w:right="0" w:firstLine="0"/>
                          <w:jc w:val="left"/>
                          <w:rPr>
                            <w:sz w:val="24"/>
                          </w:rPr>
                        </w:pPr>
                        <w:r>
                          <w:rPr>
                            <w:color w:val="585858"/>
                            <w:spacing w:val="-2"/>
                            <w:sz w:val="24"/>
                          </w:rPr>
                          <w:t>Tudunfulani</w:t>
                        </w:r>
                      </w:p>
                    </w:txbxContent>
                  </v:textbox>
                  <w10:wrap type="none"/>
                </v:shape>
                <v:shape style="position:absolute;left:4042;top:5073;width:967;height:266" type="#_x0000_t202" id="docshape188" filled="false" stroked="false">
                  <v:textbox inset="0,0,0,0">
                    <w:txbxContent>
                      <w:p>
                        <w:pPr>
                          <w:spacing w:line="266" w:lineRule="exact" w:before="0"/>
                          <w:ind w:left="0" w:right="0" w:firstLine="0"/>
                          <w:jc w:val="left"/>
                          <w:rPr>
                            <w:sz w:val="24"/>
                          </w:rPr>
                        </w:pPr>
                        <w:r>
                          <w:rPr>
                            <w:color w:val="585858"/>
                            <w:spacing w:val="-2"/>
                            <w:sz w:val="24"/>
                          </w:rPr>
                          <w:t>Maitumbi</w:t>
                        </w:r>
                      </w:p>
                    </w:txbxContent>
                  </v:textbox>
                  <w10:wrap type="none"/>
                </v:shape>
                <v:shape style="position:absolute;left:1613;top:5073;width:1021;height:266" type="#_x0000_t202" id="docshape189" filled="false" stroked="false">
                  <v:textbox inset="0,0,0,0">
                    <w:txbxContent>
                      <w:p>
                        <w:pPr>
                          <w:spacing w:line="266" w:lineRule="exact" w:before="0"/>
                          <w:ind w:left="0" w:right="0" w:firstLine="0"/>
                          <w:jc w:val="left"/>
                          <w:rPr>
                            <w:sz w:val="24"/>
                          </w:rPr>
                        </w:pPr>
                        <w:r>
                          <w:rPr>
                            <w:color w:val="585858"/>
                            <w:spacing w:val="-2"/>
                            <w:sz w:val="24"/>
                          </w:rPr>
                          <w:t>Kpakungu</w:t>
                        </w:r>
                      </w:p>
                    </w:txbxContent>
                  </v:textbox>
                  <w10:wrap type="none"/>
                </v:shape>
                <v:shape style="position:absolute;left:5532;top:4552;width:940;height:266" type="#_x0000_t202" id="docshape190" filled="false" stroked="false">
                  <v:textbox inset="0,0,0,0">
                    <w:txbxContent>
                      <w:p>
                        <w:pPr>
                          <w:spacing w:line="266" w:lineRule="exact" w:before="0"/>
                          <w:ind w:left="0" w:right="0" w:firstLine="0"/>
                          <w:jc w:val="left"/>
                          <w:rPr>
                            <w:b/>
                            <w:sz w:val="24"/>
                          </w:rPr>
                        </w:pPr>
                        <w:r>
                          <w:rPr>
                            <w:b/>
                            <w:color w:val="585858"/>
                            <w:spacing w:val="-2"/>
                            <w:sz w:val="24"/>
                          </w:rPr>
                          <w:t>Capacity</w:t>
                        </w:r>
                      </w:p>
                    </w:txbxContent>
                  </v:textbox>
                  <w10:wrap type="none"/>
                </v:shape>
                <v:shape style="position:absolute;left:2373;top:4552;width:394;height:266" type="#_x0000_t202" id="docshape191" filled="false" stroked="false">
                  <v:textbox inset="0,0,0,0">
                    <w:txbxContent>
                      <w:p>
                        <w:pPr>
                          <w:spacing w:line="266" w:lineRule="exact" w:before="0"/>
                          <w:ind w:left="0" w:right="0" w:firstLine="0"/>
                          <w:jc w:val="left"/>
                          <w:rPr>
                            <w:b/>
                            <w:sz w:val="24"/>
                          </w:rPr>
                        </w:pPr>
                        <w:r>
                          <w:rPr>
                            <w:b/>
                            <w:color w:val="585858"/>
                            <w:spacing w:val="-5"/>
                            <w:sz w:val="24"/>
                          </w:rPr>
                          <w:t>Use</w:t>
                        </w:r>
                      </w:p>
                    </w:txbxContent>
                  </v:textbox>
                  <w10:wrap type="none"/>
                </v:shape>
                <v:shape style="position:absolute;left:3546;top:2244;width:431;height:636" type="#_x0000_t202" id="docshape192"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20.00</w:t>
                        </w:r>
                      </w:p>
                      <w:p>
                        <w:pPr>
                          <w:spacing w:line="240" w:lineRule="auto" w:before="16"/>
                          <w:rPr>
                            <w:rFonts w:ascii="Calibri"/>
                            <w:sz w:val="18"/>
                          </w:rPr>
                        </w:pPr>
                      </w:p>
                      <w:p>
                        <w:pPr>
                          <w:spacing w:line="216" w:lineRule="exact" w:before="0"/>
                          <w:ind w:left="91" w:right="0" w:firstLine="0"/>
                          <w:jc w:val="left"/>
                          <w:rPr>
                            <w:rFonts w:ascii="Calibri"/>
                            <w:sz w:val="18"/>
                          </w:rPr>
                        </w:pPr>
                        <w:r>
                          <w:rPr>
                            <w:rFonts w:ascii="Calibri"/>
                            <w:color w:val="585858"/>
                            <w:spacing w:val="-4"/>
                            <w:sz w:val="18"/>
                          </w:rPr>
                          <w:t>0.00</w:t>
                        </w:r>
                      </w:p>
                    </w:txbxContent>
                  </v:textbox>
                  <w10:wrap type="none"/>
                </v:shape>
                <v:shape style="position:absolute;left:6393;top:1902;width:699;height:266" type="#_x0000_t202" id="docshape193" filled="false" stroked="false">
                  <v:textbox inset="0,0,0,0">
                    <w:txbxContent>
                      <w:p>
                        <w:pPr>
                          <w:spacing w:line="266" w:lineRule="exact" w:before="0"/>
                          <w:ind w:left="0" w:right="0" w:firstLine="0"/>
                          <w:jc w:val="left"/>
                          <w:rPr>
                            <w:b/>
                            <w:sz w:val="24"/>
                          </w:rPr>
                        </w:pPr>
                        <w:r>
                          <w:rPr>
                            <w:b/>
                            <w:color w:val="585858"/>
                            <w:spacing w:val="-2"/>
                            <w:sz w:val="24"/>
                          </w:rPr>
                          <w:t>Access</w:t>
                        </w:r>
                      </w:p>
                    </w:txbxContent>
                  </v:textbox>
                  <w10:wrap type="none"/>
                </v:shape>
                <v:shape style="position:absolute;left:3546;top:1789;width:431;height:180" type="#_x0000_t202" id="docshape19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40.00</w:t>
                        </w:r>
                      </w:p>
                    </w:txbxContent>
                  </v:textbox>
                  <w10:wrap type="none"/>
                </v:shape>
                <v:shape style="position:absolute;left:525;top:1902;width:1379;height:266" type="#_x0000_t202" id="docshape195" filled="false" stroked="false">
                  <v:textbox inset="0,0,0,0">
                    <w:txbxContent>
                      <w:p>
                        <w:pPr>
                          <w:spacing w:line="266" w:lineRule="exact" w:before="0"/>
                          <w:ind w:left="0" w:right="0" w:firstLine="0"/>
                          <w:jc w:val="left"/>
                          <w:rPr>
                            <w:b/>
                            <w:sz w:val="24"/>
                          </w:rPr>
                        </w:pPr>
                        <w:r>
                          <w:rPr>
                            <w:b/>
                            <w:color w:val="585858"/>
                            <w:spacing w:val="-2"/>
                            <w:sz w:val="24"/>
                          </w:rPr>
                          <w:t>Environment</w:t>
                        </w:r>
                      </w:p>
                    </w:txbxContent>
                  </v:textbox>
                  <w10:wrap type="none"/>
                </v:shape>
                <v:shape style="position:absolute;left:3455;top:126;width:1178;height:1387" type="#_x0000_t202" id="docshape196" filled="false" stroked="false">
                  <v:textbox inset="0,0,0,0">
                    <w:txbxContent>
                      <w:p>
                        <w:pPr>
                          <w:spacing w:line="263" w:lineRule="exact" w:before="0"/>
                          <w:ind w:left="210" w:right="0" w:firstLine="0"/>
                          <w:jc w:val="left"/>
                          <w:rPr>
                            <w:b/>
                            <w:sz w:val="24"/>
                          </w:rPr>
                        </w:pPr>
                        <w:r>
                          <w:rPr>
                            <w:b/>
                            <w:color w:val="585858"/>
                            <w:spacing w:val="-2"/>
                            <w:sz w:val="24"/>
                          </w:rPr>
                          <w:t>Resource</w:t>
                        </w:r>
                      </w:p>
                      <w:p>
                        <w:pPr>
                          <w:spacing w:line="216" w:lineRule="exact" w:before="0"/>
                          <w:ind w:left="0" w:right="0" w:firstLine="0"/>
                          <w:jc w:val="left"/>
                          <w:rPr>
                            <w:rFonts w:ascii="Calibri"/>
                            <w:sz w:val="18"/>
                          </w:rPr>
                        </w:pPr>
                        <w:r>
                          <w:rPr>
                            <w:rFonts w:ascii="Calibri"/>
                            <w:color w:val="585858"/>
                            <w:spacing w:val="-2"/>
                            <w:sz w:val="18"/>
                          </w:rPr>
                          <w:t>100.00</w:t>
                        </w:r>
                      </w:p>
                      <w:p>
                        <w:pPr>
                          <w:spacing w:line="240" w:lineRule="auto" w:before="16"/>
                          <w:rPr>
                            <w:rFonts w:ascii="Calibri"/>
                            <w:sz w:val="18"/>
                          </w:rPr>
                        </w:pPr>
                      </w:p>
                      <w:p>
                        <w:pPr>
                          <w:spacing w:before="0"/>
                          <w:ind w:left="91" w:right="0" w:firstLine="0"/>
                          <w:jc w:val="left"/>
                          <w:rPr>
                            <w:rFonts w:ascii="Calibri"/>
                            <w:sz w:val="18"/>
                          </w:rPr>
                        </w:pPr>
                        <w:r>
                          <w:rPr>
                            <w:rFonts w:ascii="Calibri"/>
                            <w:color w:val="585858"/>
                            <w:spacing w:val="-2"/>
                            <w:sz w:val="18"/>
                          </w:rPr>
                          <w:t>80.00</w:t>
                        </w:r>
                      </w:p>
                      <w:p>
                        <w:pPr>
                          <w:spacing w:line="240" w:lineRule="auto" w:before="16"/>
                          <w:rPr>
                            <w:rFonts w:ascii="Calibri"/>
                            <w:sz w:val="18"/>
                          </w:rPr>
                        </w:pPr>
                      </w:p>
                      <w:p>
                        <w:pPr>
                          <w:spacing w:line="216" w:lineRule="exact" w:before="0"/>
                          <w:ind w:left="91" w:right="0" w:firstLine="0"/>
                          <w:jc w:val="left"/>
                          <w:rPr>
                            <w:rFonts w:ascii="Calibri"/>
                            <w:sz w:val="18"/>
                          </w:rPr>
                        </w:pPr>
                        <w:r>
                          <w:rPr>
                            <w:rFonts w:ascii="Calibri"/>
                            <w:color w:val="585858"/>
                            <w:spacing w:val="-2"/>
                            <w:sz w:val="18"/>
                          </w:rPr>
                          <w:t>60.00</w:t>
                        </w:r>
                      </w:p>
                    </w:txbxContent>
                  </v:textbox>
                  <w10:wrap type="none"/>
                </v:shape>
              </v:group>
            </w:pict>
          </mc:Fallback>
        </mc:AlternateContent>
      </w:r>
      <w:r>
        <w:rPr>
          <w:sz w:val="20"/>
        </w:rPr>
      </w:r>
    </w:p>
    <w:p>
      <w:pPr>
        <w:pStyle w:val="Heading1"/>
        <w:spacing w:line="267" w:lineRule="exact"/>
      </w:pPr>
      <w:r>
        <w:rPr/>
        <w:t>Figure</w:t>
      </w:r>
      <w:r>
        <w:rPr>
          <w:spacing w:val="-3"/>
        </w:rPr>
        <w:t> </w:t>
      </w:r>
      <w:r>
        <w:rPr/>
        <w:t>4.19b: Pentagram</w:t>
      </w:r>
      <w:r>
        <w:rPr>
          <w:spacing w:val="-6"/>
        </w:rPr>
        <w:t> </w:t>
      </w:r>
      <w:r>
        <w:rPr/>
        <w:t>of Neighbourhoods</w:t>
      </w:r>
      <w:r>
        <w:rPr>
          <w:spacing w:val="1"/>
        </w:rPr>
        <w:t> </w:t>
      </w:r>
      <w:r>
        <w:rPr/>
        <w:t>Partly</w:t>
      </w:r>
      <w:r>
        <w:rPr>
          <w:spacing w:val="-1"/>
        </w:rPr>
        <w:t> </w:t>
      </w:r>
      <w:r>
        <w:rPr/>
        <w:t>Outside</w:t>
      </w:r>
      <w:r>
        <w:rPr>
          <w:spacing w:val="-2"/>
        </w:rPr>
        <w:t> </w:t>
      </w:r>
      <w:r>
        <w:rPr/>
        <w:t>the</w:t>
      </w:r>
      <w:r>
        <w:rPr>
          <w:spacing w:val="-3"/>
        </w:rPr>
        <w:t> </w:t>
      </w:r>
      <w:r>
        <w:rPr/>
        <w:t>Public</w:t>
      </w:r>
      <w:r>
        <w:rPr>
          <w:spacing w:val="1"/>
        </w:rPr>
        <w:t> </w:t>
      </w:r>
      <w:r>
        <w:rPr/>
        <w:t>Water</w:t>
      </w:r>
      <w:r>
        <w:rPr>
          <w:spacing w:val="-2"/>
        </w:rPr>
        <w:t> Mains</w:t>
      </w:r>
    </w:p>
    <w:p>
      <w:pPr>
        <w:pStyle w:val="BodyText"/>
        <w:spacing w:line="274" w:lineRule="exact"/>
        <w:ind w:left="267"/>
      </w:pPr>
      <w:r>
        <w:rPr/>
        <w:t>Source:</w:t>
      </w:r>
      <w:r>
        <w:rPr>
          <w:spacing w:val="-4"/>
        </w:rPr>
        <w:t> </w:t>
      </w:r>
      <w:r>
        <w:rPr/>
        <w:t>Author’s</w:t>
      </w:r>
      <w:r>
        <w:rPr>
          <w:spacing w:val="-3"/>
        </w:rPr>
        <w:t> </w:t>
      </w:r>
      <w:r>
        <w:rPr/>
        <w:t>Analysis</w:t>
      </w:r>
      <w:r>
        <w:rPr>
          <w:spacing w:val="-2"/>
        </w:rPr>
        <w:t> (2021)</w:t>
      </w:r>
    </w:p>
    <w:p>
      <w:pPr>
        <w:pStyle w:val="BodyText"/>
      </w:pPr>
    </w:p>
    <w:p>
      <w:pPr>
        <w:pStyle w:val="BodyText"/>
        <w:spacing w:before="7"/>
      </w:pPr>
    </w:p>
    <w:p>
      <w:pPr>
        <w:pStyle w:val="Heading1"/>
        <w:numPr>
          <w:ilvl w:val="1"/>
          <w:numId w:val="10"/>
        </w:numPr>
        <w:tabs>
          <w:tab w:pos="987" w:val="left" w:leader="none"/>
        </w:tabs>
        <w:spacing w:line="240" w:lineRule="auto" w:before="0" w:after="0"/>
        <w:ind w:left="987" w:right="0" w:hanging="720"/>
        <w:jc w:val="left"/>
      </w:pPr>
      <w:r>
        <w:rPr/>
        <w:t>Households</w:t>
      </w:r>
      <w:r>
        <w:rPr>
          <w:spacing w:val="-2"/>
        </w:rPr>
        <w:t> </w:t>
      </w:r>
      <w:r>
        <w:rPr/>
        <w:t>Adaptation</w:t>
      </w:r>
      <w:r>
        <w:rPr>
          <w:spacing w:val="-3"/>
        </w:rPr>
        <w:t> </w:t>
      </w:r>
      <w:r>
        <w:rPr/>
        <w:t>Measures</w:t>
      </w:r>
      <w:r>
        <w:rPr>
          <w:spacing w:val="-1"/>
        </w:rPr>
        <w:t> </w:t>
      </w:r>
      <w:r>
        <w:rPr/>
        <w:t>to</w:t>
      </w:r>
      <w:r>
        <w:rPr>
          <w:spacing w:val="-2"/>
        </w:rPr>
        <w:t> </w:t>
      </w:r>
      <w:r>
        <w:rPr/>
        <w:t>Water </w:t>
      </w:r>
      <w:r>
        <w:rPr>
          <w:spacing w:val="-2"/>
        </w:rPr>
        <w:t>Poverty</w:t>
      </w:r>
    </w:p>
    <w:p>
      <w:pPr>
        <w:pStyle w:val="BodyText"/>
        <w:spacing w:before="15"/>
        <w:rPr>
          <w:b/>
        </w:rPr>
      </w:pPr>
    </w:p>
    <w:p>
      <w:pPr>
        <w:pStyle w:val="BodyText"/>
        <w:spacing w:line="480" w:lineRule="auto"/>
        <w:ind w:left="267" w:right="115"/>
        <w:jc w:val="both"/>
      </w:pPr>
      <w:r>
        <w:rPr/>
        <w:t>The</w:t>
      </w:r>
      <w:r>
        <w:rPr>
          <w:spacing w:val="-1"/>
        </w:rPr>
        <w:t> </w:t>
      </w:r>
      <w:r>
        <w:rPr/>
        <w:t>adaptation measures employed in coping</w:t>
      </w:r>
      <w:r>
        <w:rPr>
          <w:spacing w:val="-2"/>
        </w:rPr>
        <w:t> </w:t>
      </w:r>
      <w:r>
        <w:rPr/>
        <w:t>with water</w:t>
      </w:r>
      <w:r>
        <w:rPr>
          <w:spacing w:val="-1"/>
        </w:rPr>
        <w:t> </w:t>
      </w:r>
      <w:r>
        <w:rPr/>
        <w:t>poverty</w:t>
      </w:r>
      <w:r>
        <w:rPr>
          <w:spacing w:val="-5"/>
        </w:rPr>
        <w:t> </w:t>
      </w:r>
      <w:r>
        <w:rPr/>
        <w:t>and their effectiveness are presented in this section.</w:t>
      </w:r>
    </w:p>
    <w:p>
      <w:pPr>
        <w:pStyle w:val="Heading1"/>
        <w:numPr>
          <w:ilvl w:val="2"/>
          <w:numId w:val="10"/>
        </w:numPr>
        <w:tabs>
          <w:tab w:pos="987" w:val="left" w:leader="none"/>
        </w:tabs>
        <w:spacing w:line="240" w:lineRule="auto" w:before="7" w:after="0"/>
        <w:ind w:left="987" w:right="0" w:hanging="720"/>
        <w:jc w:val="left"/>
      </w:pPr>
      <w:r>
        <w:rPr/>
        <w:t>Households</w:t>
      </w:r>
      <w:r>
        <w:rPr>
          <w:spacing w:val="-1"/>
        </w:rPr>
        <w:t> </w:t>
      </w:r>
      <w:r>
        <w:rPr/>
        <w:t>adaptation</w:t>
      </w:r>
      <w:r>
        <w:rPr>
          <w:spacing w:val="-3"/>
        </w:rPr>
        <w:t> </w:t>
      </w:r>
      <w:r>
        <w:rPr/>
        <w:t>measures</w:t>
      </w:r>
      <w:r>
        <w:rPr>
          <w:spacing w:val="-2"/>
        </w:rPr>
        <w:t> </w:t>
      </w:r>
      <w:r>
        <w:rPr/>
        <w:t>to</w:t>
      </w:r>
      <w:r>
        <w:rPr>
          <w:spacing w:val="-1"/>
        </w:rPr>
        <w:t> </w:t>
      </w:r>
      <w:r>
        <w:rPr/>
        <w:t>water</w:t>
      </w:r>
      <w:r>
        <w:rPr>
          <w:spacing w:val="-3"/>
        </w:rPr>
        <w:t> </w:t>
      </w:r>
      <w:r>
        <w:rPr/>
        <w:t>poverty</w:t>
      </w:r>
      <w:r>
        <w:rPr>
          <w:spacing w:val="-1"/>
        </w:rPr>
        <w:t> </w:t>
      </w:r>
      <w:r>
        <w:rPr/>
        <w:t>and</w:t>
      </w:r>
      <w:r>
        <w:rPr>
          <w:spacing w:val="-2"/>
        </w:rPr>
        <w:t> </w:t>
      </w:r>
      <w:r>
        <w:rPr/>
        <w:t>unreliable</w:t>
      </w:r>
      <w:r>
        <w:rPr>
          <w:spacing w:val="-1"/>
        </w:rPr>
        <w:t> </w:t>
      </w:r>
      <w:r>
        <w:rPr/>
        <w:t>water</w:t>
      </w:r>
      <w:r>
        <w:rPr>
          <w:spacing w:val="-2"/>
        </w:rPr>
        <w:t> supply</w:t>
      </w:r>
    </w:p>
    <w:p>
      <w:pPr>
        <w:pStyle w:val="BodyText"/>
        <w:spacing w:before="14"/>
        <w:rPr>
          <w:b/>
        </w:rPr>
      </w:pPr>
    </w:p>
    <w:p>
      <w:pPr>
        <w:pStyle w:val="BodyText"/>
        <w:spacing w:before="1"/>
        <w:ind w:left="267"/>
        <w:jc w:val="both"/>
      </w:pPr>
      <w:r>
        <w:rPr/>
        <w:t>Figure</w:t>
      </w:r>
      <w:r>
        <w:rPr>
          <w:spacing w:val="-3"/>
        </w:rPr>
        <w:t> </w:t>
      </w:r>
      <w:r>
        <w:rPr/>
        <w:t>4.20</w:t>
      </w:r>
      <w:r>
        <w:rPr>
          <w:spacing w:val="-1"/>
        </w:rPr>
        <w:t> </w:t>
      </w:r>
      <w:r>
        <w:rPr>
          <w:spacing w:val="-2"/>
        </w:rPr>
        <w:t>presents</w:t>
      </w:r>
    </w:p>
    <w:p>
      <w:pPr>
        <w:pStyle w:val="BodyText"/>
        <w:spacing w:line="480" w:lineRule="auto" w:before="276"/>
        <w:ind w:left="267" w:right="110"/>
        <w:jc w:val="both"/>
      </w:pPr>
      <w:r>
        <w:rPr/>
        <w:t>the various adaptive measures employed by</w:t>
      </w:r>
      <w:r>
        <w:rPr>
          <w:spacing w:val="-3"/>
        </w:rPr>
        <w:t> </w:t>
      </w:r>
      <w:r>
        <w:rPr/>
        <w:t>the households in coping against water poverty and poor public water supply the study area. The analysis of responses from the study revealed</w:t>
      </w:r>
      <w:r>
        <w:rPr>
          <w:spacing w:val="-3"/>
        </w:rPr>
        <w:t> </w:t>
      </w:r>
      <w:r>
        <w:rPr/>
        <w:t>that</w:t>
      </w:r>
      <w:r>
        <w:rPr>
          <w:spacing w:val="-3"/>
        </w:rPr>
        <w:t> </w:t>
      </w:r>
      <w:r>
        <w:rPr/>
        <w:t>23.90%</w:t>
      </w:r>
      <w:r>
        <w:rPr>
          <w:spacing w:val="-4"/>
        </w:rPr>
        <w:t> </w:t>
      </w:r>
      <w:r>
        <w:rPr/>
        <w:t>of</w:t>
      </w:r>
      <w:r>
        <w:rPr>
          <w:spacing w:val="-3"/>
        </w:rPr>
        <w:t> </w:t>
      </w:r>
      <w:r>
        <w:rPr/>
        <w:t>the</w:t>
      </w:r>
      <w:r>
        <w:rPr>
          <w:spacing w:val="-4"/>
        </w:rPr>
        <w:t> </w:t>
      </w:r>
      <w:r>
        <w:rPr/>
        <w:t>respondents</w:t>
      </w:r>
      <w:r>
        <w:rPr>
          <w:spacing w:val="-3"/>
        </w:rPr>
        <w:t> </w:t>
      </w:r>
      <w:r>
        <w:rPr/>
        <w:t>utilized</w:t>
      </w:r>
      <w:r>
        <w:rPr>
          <w:spacing w:val="-3"/>
        </w:rPr>
        <w:t> </w:t>
      </w:r>
      <w:r>
        <w:rPr/>
        <w:t>store</w:t>
      </w:r>
      <w:r>
        <w:rPr>
          <w:spacing w:val="-5"/>
        </w:rPr>
        <w:t> </w:t>
      </w:r>
      <w:r>
        <w:rPr/>
        <w:t>water</w:t>
      </w:r>
      <w:r>
        <w:rPr>
          <w:spacing w:val="-3"/>
        </w:rPr>
        <w:t> </w:t>
      </w:r>
      <w:r>
        <w:rPr/>
        <w:t>in</w:t>
      </w:r>
      <w:r>
        <w:rPr>
          <w:spacing w:val="-3"/>
        </w:rPr>
        <w:t> </w:t>
      </w:r>
      <w:r>
        <w:rPr/>
        <w:t>drums</w:t>
      </w:r>
      <w:r>
        <w:rPr>
          <w:spacing w:val="-1"/>
        </w:rPr>
        <w:t> </w:t>
      </w:r>
      <w:r>
        <w:rPr/>
        <w:t>(with</w:t>
      </w:r>
      <w:r>
        <w:rPr>
          <w:spacing w:val="-3"/>
        </w:rPr>
        <w:t> </w:t>
      </w:r>
      <w:r>
        <w:rPr/>
        <w:t>storage</w:t>
      </w:r>
      <w:r>
        <w:rPr>
          <w:spacing w:val="-4"/>
        </w:rPr>
        <w:t> </w:t>
      </w:r>
      <w:r>
        <w:rPr/>
        <w:t>capacity of 100 liters and above). This result implies that storing of water in drum with storage capacity of at least 100 litres represents the most utilized coping strategy against water shortage/poverty</w:t>
      </w:r>
      <w:r>
        <w:rPr>
          <w:spacing w:val="25"/>
        </w:rPr>
        <w:t> </w:t>
      </w:r>
      <w:r>
        <w:rPr/>
        <w:t>in</w:t>
      </w:r>
      <w:r>
        <w:rPr>
          <w:spacing w:val="36"/>
        </w:rPr>
        <w:t> </w:t>
      </w:r>
      <w:r>
        <w:rPr/>
        <w:t>the</w:t>
      </w:r>
      <w:r>
        <w:rPr>
          <w:spacing w:val="35"/>
        </w:rPr>
        <w:t> </w:t>
      </w:r>
      <w:r>
        <w:rPr/>
        <w:t>study</w:t>
      </w:r>
      <w:r>
        <w:rPr>
          <w:spacing w:val="30"/>
        </w:rPr>
        <w:t> </w:t>
      </w:r>
      <w:r>
        <w:rPr/>
        <w:t>area.</w:t>
      </w:r>
      <w:r>
        <w:rPr>
          <w:spacing w:val="35"/>
        </w:rPr>
        <w:t> </w:t>
      </w:r>
      <w:r>
        <w:rPr/>
        <w:t>Similarly,</w:t>
      </w:r>
      <w:r>
        <w:rPr>
          <w:spacing w:val="35"/>
        </w:rPr>
        <w:t> </w:t>
      </w:r>
      <w:r>
        <w:rPr/>
        <w:t>the</w:t>
      </w:r>
      <w:r>
        <w:rPr>
          <w:spacing w:val="32"/>
        </w:rPr>
        <w:t> </w:t>
      </w:r>
      <w:r>
        <w:rPr/>
        <w:t>results</w:t>
      </w:r>
      <w:r>
        <w:rPr>
          <w:spacing w:val="33"/>
        </w:rPr>
        <w:t> </w:t>
      </w:r>
      <w:r>
        <w:rPr/>
        <w:t>revealed</w:t>
      </w:r>
      <w:r>
        <w:rPr>
          <w:spacing w:val="34"/>
        </w:rPr>
        <w:t> </w:t>
      </w:r>
      <w:r>
        <w:rPr/>
        <w:t>that</w:t>
      </w:r>
      <w:r>
        <w:rPr>
          <w:spacing w:val="33"/>
        </w:rPr>
        <w:t> </w:t>
      </w:r>
      <w:r>
        <w:rPr/>
        <w:t>as</w:t>
      </w:r>
      <w:r>
        <w:rPr>
          <w:spacing w:val="33"/>
        </w:rPr>
        <w:t> </w:t>
      </w:r>
      <w:r>
        <w:rPr/>
        <w:t>a</w:t>
      </w:r>
      <w:r>
        <w:rPr>
          <w:spacing w:val="32"/>
        </w:rPr>
        <w:t> </w:t>
      </w:r>
      <w:r>
        <w:rPr/>
        <w:t>water</w:t>
      </w:r>
      <w:r>
        <w:rPr>
          <w:spacing w:val="34"/>
        </w:rPr>
        <w:t> </w:t>
      </w:r>
      <w:r>
        <w:rPr>
          <w:spacing w:val="-2"/>
        </w:rPr>
        <w:t>coping</w:t>
      </w:r>
    </w:p>
    <w:p>
      <w:pPr>
        <w:pStyle w:val="BodyText"/>
        <w:ind w:left="267"/>
        <w:jc w:val="both"/>
      </w:pPr>
      <w:r>
        <w:rPr/>
        <w:t>strategy,</w:t>
      </w:r>
      <w:r>
        <w:rPr>
          <w:spacing w:val="3"/>
        </w:rPr>
        <w:t> </w:t>
      </w:r>
      <w:r>
        <w:rPr/>
        <w:t>21.40%</w:t>
      </w:r>
      <w:r>
        <w:rPr>
          <w:spacing w:val="8"/>
        </w:rPr>
        <w:t> </w:t>
      </w:r>
      <w:r>
        <w:rPr/>
        <w:t>of</w:t>
      </w:r>
      <w:r>
        <w:rPr>
          <w:spacing w:val="7"/>
        </w:rPr>
        <w:t> </w:t>
      </w:r>
      <w:r>
        <w:rPr/>
        <w:t>the</w:t>
      </w:r>
      <w:r>
        <w:rPr>
          <w:spacing w:val="8"/>
        </w:rPr>
        <w:t> </w:t>
      </w:r>
      <w:r>
        <w:rPr/>
        <w:t>respondents</w:t>
      </w:r>
      <w:r>
        <w:rPr>
          <w:spacing w:val="6"/>
        </w:rPr>
        <w:t> </w:t>
      </w:r>
      <w:r>
        <w:rPr/>
        <w:t>store</w:t>
      </w:r>
      <w:r>
        <w:rPr>
          <w:spacing w:val="8"/>
        </w:rPr>
        <w:t> </w:t>
      </w:r>
      <w:r>
        <w:rPr/>
        <w:t>water</w:t>
      </w:r>
      <w:r>
        <w:rPr>
          <w:spacing w:val="5"/>
        </w:rPr>
        <w:t> </w:t>
      </w:r>
      <w:r>
        <w:rPr/>
        <w:t>in</w:t>
      </w:r>
      <w:r>
        <w:rPr>
          <w:spacing w:val="6"/>
        </w:rPr>
        <w:t> </w:t>
      </w:r>
      <w:r>
        <w:rPr/>
        <w:t>buckets/containers</w:t>
      </w:r>
      <w:r>
        <w:rPr>
          <w:spacing w:val="5"/>
        </w:rPr>
        <w:t> </w:t>
      </w:r>
      <w:r>
        <w:rPr/>
        <w:t>with</w:t>
      </w:r>
      <w:r>
        <w:rPr>
          <w:spacing w:val="6"/>
        </w:rPr>
        <w:t> </w:t>
      </w:r>
      <w:r>
        <w:rPr/>
        <w:t>storage</w:t>
      </w:r>
      <w:r>
        <w:rPr>
          <w:spacing w:val="8"/>
        </w:rPr>
        <w:t> </w:t>
      </w:r>
      <w:r>
        <w:rPr>
          <w:spacing w:val="-2"/>
        </w:rPr>
        <w:t>capacity</w:t>
      </w:r>
    </w:p>
    <w:p>
      <w:pPr>
        <w:spacing w:after="0"/>
        <w:jc w:val="both"/>
        <w:sectPr>
          <w:pgSz w:w="12240" w:h="15840"/>
          <w:pgMar w:header="0" w:footer="1068" w:top="1400" w:bottom="1260" w:left="1720" w:right="1300"/>
        </w:sectPr>
      </w:pPr>
    </w:p>
    <w:p>
      <w:pPr>
        <w:pStyle w:val="BodyText"/>
        <w:spacing w:line="480" w:lineRule="auto" w:before="63"/>
        <w:ind w:left="267" w:right="104"/>
        <w:jc w:val="both"/>
      </w:pPr>
      <w:r>
        <w:rPr/>
        <w:t>of less than 25 litres in the study area, These findings can be considered within the context of other similar research (Nastiti </w:t>
      </w:r>
      <w:r>
        <w:rPr>
          <w:i/>
        </w:rPr>
        <w:t>et al.</w:t>
      </w:r>
      <w:r>
        <w:rPr/>
        <w:t>, 2017; Achore </w:t>
      </w:r>
      <w:r>
        <w:rPr>
          <w:i/>
        </w:rPr>
        <w:t>et al.</w:t>
      </w:r>
      <w:r>
        <w:rPr/>
        <w:t>, 2020; Venkataramanan </w:t>
      </w:r>
      <w:r>
        <w:rPr>
          <w:i/>
        </w:rPr>
        <w:t>et al.</w:t>
      </w:r>
      <w:r>
        <w:rPr/>
        <w:t>, 2020) that water storage is a well-established coping strategy employed by households in many parts of the world in improving physical access to water supply.</w:t>
      </w:r>
    </w:p>
    <w:p>
      <w:pPr>
        <w:pStyle w:val="BodyText"/>
        <w:rPr>
          <w:sz w:val="20"/>
        </w:rPr>
      </w:pPr>
    </w:p>
    <w:p>
      <w:pPr>
        <w:pStyle w:val="BodyText"/>
        <w:spacing w:before="76"/>
        <w:rPr>
          <w:sz w:val="20"/>
        </w:rPr>
      </w:pPr>
      <w:r>
        <w:rPr/>
        <w:drawing>
          <wp:anchor distT="0" distB="0" distL="0" distR="0" allowOverlap="1" layoutInCell="1" locked="0" behindDoc="1" simplePos="0" relativeHeight="487616512">
            <wp:simplePos x="0" y="0"/>
            <wp:positionH relativeFrom="page">
              <wp:posOffset>1261872</wp:posOffset>
            </wp:positionH>
            <wp:positionV relativeFrom="paragraph">
              <wp:posOffset>209808</wp:posOffset>
            </wp:positionV>
            <wp:extent cx="5399429" cy="4298060"/>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66" cstate="print"/>
                    <a:stretch>
                      <a:fillRect/>
                    </a:stretch>
                  </pic:blipFill>
                  <pic:spPr>
                    <a:xfrm>
                      <a:off x="0" y="0"/>
                      <a:ext cx="5399429" cy="4298060"/>
                    </a:xfrm>
                    <a:prstGeom prst="rect">
                      <a:avLst/>
                    </a:prstGeom>
                  </pic:spPr>
                </pic:pic>
              </a:graphicData>
            </a:graphic>
          </wp:anchor>
        </w:drawing>
      </w:r>
    </w:p>
    <w:p>
      <w:pPr>
        <w:pStyle w:val="Heading1"/>
        <w:spacing w:before="48"/>
        <w:ind w:right="113"/>
        <w:jc w:val="both"/>
      </w:pPr>
      <w:r>
        <w:rPr/>
        <w:t>Figure 4.20: Household Strategies in Coping with Water Shortage and Poor Public Water Supply</w:t>
      </w:r>
    </w:p>
    <w:p>
      <w:pPr>
        <w:pStyle w:val="BodyText"/>
        <w:spacing w:line="272" w:lineRule="exact"/>
        <w:ind w:left="267"/>
        <w:jc w:val="both"/>
      </w:pPr>
      <w:r>
        <w:rPr/>
        <w:t>Source:</w:t>
      </w:r>
      <w:r>
        <w:rPr>
          <w:spacing w:val="-4"/>
        </w:rPr>
        <w:t> </w:t>
      </w:r>
      <w:r>
        <w:rPr/>
        <w:t>Author’s</w:t>
      </w:r>
      <w:r>
        <w:rPr>
          <w:spacing w:val="-3"/>
        </w:rPr>
        <w:t> </w:t>
      </w:r>
      <w:r>
        <w:rPr/>
        <w:t>Analysis</w:t>
      </w:r>
      <w:r>
        <w:rPr>
          <w:spacing w:val="-2"/>
        </w:rPr>
        <w:t> (2021)</w:t>
      </w:r>
    </w:p>
    <w:p>
      <w:pPr>
        <w:pStyle w:val="BodyText"/>
      </w:pPr>
    </w:p>
    <w:p>
      <w:pPr>
        <w:pStyle w:val="BodyText"/>
      </w:pPr>
    </w:p>
    <w:p>
      <w:pPr>
        <w:pStyle w:val="BodyText"/>
        <w:spacing w:line="480" w:lineRule="auto"/>
        <w:ind w:left="267" w:right="104"/>
        <w:jc w:val="both"/>
      </w:pPr>
      <w:r>
        <w:rPr/>
        <w:t>In</w:t>
      </w:r>
      <w:r>
        <w:rPr>
          <w:spacing w:val="-5"/>
        </w:rPr>
        <w:t> </w:t>
      </w:r>
      <w:r>
        <w:rPr/>
        <w:t>the</w:t>
      </w:r>
      <w:r>
        <w:rPr>
          <w:spacing w:val="-8"/>
        </w:rPr>
        <w:t> </w:t>
      </w:r>
      <w:r>
        <w:rPr/>
        <w:t>study,</w:t>
      </w:r>
      <w:r>
        <w:rPr>
          <w:spacing w:val="-7"/>
        </w:rPr>
        <w:t> </w:t>
      </w:r>
      <w:r>
        <w:rPr/>
        <w:t>14.10%</w:t>
      </w:r>
      <w:r>
        <w:rPr>
          <w:spacing w:val="-8"/>
        </w:rPr>
        <w:t> </w:t>
      </w:r>
      <w:r>
        <w:rPr/>
        <w:t>of</w:t>
      </w:r>
      <w:r>
        <w:rPr>
          <w:spacing w:val="-6"/>
        </w:rPr>
        <w:t> </w:t>
      </w:r>
      <w:r>
        <w:rPr/>
        <w:t>the</w:t>
      </w:r>
      <w:r>
        <w:rPr>
          <w:spacing w:val="-8"/>
        </w:rPr>
        <w:t> </w:t>
      </w:r>
      <w:r>
        <w:rPr/>
        <w:t>respondents</w:t>
      </w:r>
      <w:r>
        <w:rPr>
          <w:spacing w:val="-5"/>
        </w:rPr>
        <w:t> </w:t>
      </w:r>
      <w:r>
        <w:rPr/>
        <w:t>were</w:t>
      </w:r>
      <w:r>
        <w:rPr>
          <w:spacing w:val="-7"/>
        </w:rPr>
        <w:t> </w:t>
      </w:r>
      <w:r>
        <w:rPr/>
        <w:t>found</w:t>
      </w:r>
      <w:r>
        <w:rPr>
          <w:spacing w:val="-7"/>
        </w:rPr>
        <w:t> </w:t>
      </w:r>
      <w:r>
        <w:rPr/>
        <w:t>to</w:t>
      </w:r>
      <w:r>
        <w:rPr>
          <w:spacing w:val="-6"/>
        </w:rPr>
        <w:t> </w:t>
      </w:r>
      <w:r>
        <w:rPr/>
        <w:t>engaged</w:t>
      </w:r>
      <w:r>
        <w:rPr>
          <w:spacing w:val="-7"/>
        </w:rPr>
        <w:t> </w:t>
      </w:r>
      <w:r>
        <w:rPr/>
        <w:t>in</w:t>
      </w:r>
      <w:r>
        <w:rPr>
          <w:spacing w:val="-4"/>
        </w:rPr>
        <w:t> </w:t>
      </w:r>
      <w:r>
        <w:rPr/>
        <w:t>rain</w:t>
      </w:r>
      <w:r>
        <w:rPr>
          <w:spacing w:val="-7"/>
        </w:rPr>
        <w:t> </w:t>
      </w:r>
      <w:r>
        <w:rPr/>
        <w:t>water</w:t>
      </w:r>
      <w:r>
        <w:rPr>
          <w:spacing w:val="-8"/>
        </w:rPr>
        <w:t> </w:t>
      </w:r>
      <w:r>
        <w:rPr/>
        <w:t>harvest</w:t>
      </w:r>
      <w:r>
        <w:rPr>
          <w:spacing w:val="-4"/>
        </w:rPr>
        <w:t> </w:t>
      </w:r>
      <w:r>
        <w:rPr/>
        <w:t>in</w:t>
      </w:r>
      <w:r>
        <w:rPr>
          <w:spacing w:val="-7"/>
        </w:rPr>
        <w:t> </w:t>
      </w:r>
      <w:r>
        <w:rPr/>
        <w:t>order to increase or conserve the quantity of water available. While this, water coping strategy is very</w:t>
      </w:r>
      <w:r>
        <w:rPr>
          <w:spacing w:val="-4"/>
        </w:rPr>
        <w:t> </w:t>
      </w:r>
      <w:r>
        <w:rPr/>
        <w:t>cheap and a free gift of nature, its availability</w:t>
      </w:r>
      <w:r>
        <w:rPr>
          <w:spacing w:val="-2"/>
        </w:rPr>
        <w:t> </w:t>
      </w:r>
      <w:r>
        <w:rPr/>
        <w:t>is contingent upon variability</w:t>
      </w:r>
      <w:r>
        <w:rPr>
          <w:spacing w:val="-7"/>
        </w:rPr>
        <w:t> </w:t>
      </w:r>
      <w:r>
        <w:rPr/>
        <w:t>in climatic conditions</w:t>
      </w:r>
      <w:r>
        <w:rPr>
          <w:spacing w:val="40"/>
        </w:rPr>
        <w:t> </w:t>
      </w:r>
      <w:r>
        <w:rPr/>
        <w:t>and</w:t>
      </w:r>
      <w:r>
        <w:rPr>
          <w:spacing w:val="41"/>
        </w:rPr>
        <w:t> </w:t>
      </w:r>
      <w:r>
        <w:rPr/>
        <w:t>the</w:t>
      </w:r>
      <w:r>
        <w:rPr>
          <w:spacing w:val="41"/>
        </w:rPr>
        <w:t> </w:t>
      </w:r>
      <w:r>
        <w:rPr/>
        <w:t>use</w:t>
      </w:r>
      <w:r>
        <w:rPr>
          <w:spacing w:val="38"/>
        </w:rPr>
        <w:t> </w:t>
      </w:r>
      <w:r>
        <w:rPr/>
        <w:t>of</w:t>
      </w:r>
      <w:r>
        <w:rPr>
          <w:spacing w:val="41"/>
        </w:rPr>
        <w:t> </w:t>
      </w:r>
      <w:r>
        <w:rPr/>
        <w:t>appropriate</w:t>
      </w:r>
      <w:r>
        <w:rPr>
          <w:spacing w:val="41"/>
        </w:rPr>
        <w:t> </w:t>
      </w:r>
      <w:r>
        <w:rPr/>
        <w:t>method</w:t>
      </w:r>
      <w:r>
        <w:rPr>
          <w:spacing w:val="41"/>
        </w:rPr>
        <w:t> </w:t>
      </w:r>
      <w:r>
        <w:rPr/>
        <w:t>of</w:t>
      </w:r>
      <w:r>
        <w:rPr>
          <w:spacing w:val="41"/>
        </w:rPr>
        <w:t> </w:t>
      </w:r>
      <w:r>
        <w:rPr/>
        <w:t>harvesting.</w:t>
      </w:r>
      <w:r>
        <w:rPr>
          <w:spacing w:val="49"/>
        </w:rPr>
        <w:t> </w:t>
      </w:r>
      <w:r>
        <w:rPr/>
        <w:t>In</w:t>
      </w:r>
      <w:r>
        <w:rPr>
          <w:spacing w:val="41"/>
        </w:rPr>
        <w:t> </w:t>
      </w:r>
      <w:r>
        <w:rPr/>
        <w:t>addition,</w:t>
      </w:r>
      <w:r>
        <w:rPr>
          <w:spacing w:val="42"/>
        </w:rPr>
        <w:t> </w:t>
      </w:r>
      <w:r>
        <w:rPr/>
        <w:t>11.90%</w:t>
      </w:r>
      <w:r>
        <w:rPr>
          <w:spacing w:val="41"/>
        </w:rPr>
        <w:t> </w:t>
      </w:r>
      <w:r>
        <w:rPr/>
        <w:t>of</w:t>
      </w:r>
      <w:r>
        <w:rPr>
          <w:spacing w:val="42"/>
        </w:rPr>
        <w:t> </w:t>
      </w:r>
      <w:r>
        <w:rPr>
          <w:spacing w:val="-5"/>
        </w:rPr>
        <w:t>the</w:t>
      </w:r>
    </w:p>
    <w:p>
      <w:pPr>
        <w:spacing w:after="0" w:line="480" w:lineRule="auto"/>
        <w:jc w:val="both"/>
        <w:sectPr>
          <w:pgSz w:w="12240" w:h="15840"/>
          <w:pgMar w:header="0" w:footer="1068" w:top="1340" w:bottom="1260" w:left="1720" w:right="1300"/>
        </w:sectPr>
      </w:pPr>
    </w:p>
    <w:p>
      <w:pPr>
        <w:pStyle w:val="BodyText"/>
        <w:spacing w:line="480" w:lineRule="auto" w:before="63"/>
        <w:ind w:left="267" w:right="107"/>
        <w:jc w:val="both"/>
      </w:pPr>
      <w:r>
        <w:rPr/>
        <w:t>surveyed respondents purchased water from water vendors. This is an expensive adaptive strategy</w:t>
      </w:r>
      <w:r>
        <w:rPr>
          <w:spacing w:val="-3"/>
        </w:rPr>
        <w:t> </w:t>
      </w:r>
      <w:r>
        <w:rPr/>
        <w:t>(Achore </w:t>
      </w:r>
      <w:r>
        <w:rPr>
          <w:i/>
        </w:rPr>
        <w:t>et al.</w:t>
      </w:r>
      <w:r>
        <w:rPr/>
        <w:t>, 2020) compared to storage of water in drums, bucket and rain water collection,</w:t>
      </w:r>
      <w:r>
        <w:rPr>
          <w:spacing w:val="-10"/>
        </w:rPr>
        <w:t> </w:t>
      </w:r>
      <w:r>
        <w:rPr/>
        <w:t>as</w:t>
      </w:r>
      <w:r>
        <w:rPr>
          <w:spacing w:val="-9"/>
        </w:rPr>
        <w:t> </w:t>
      </w:r>
      <w:r>
        <w:rPr/>
        <w:t>the</w:t>
      </w:r>
      <w:r>
        <w:rPr>
          <w:spacing w:val="-8"/>
        </w:rPr>
        <w:t> </w:t>
      </w:r>
      <w:r>
        <w:rPr/>
        <w:t>water</w:t>
      </w:r>
      <w:r>
        <w:rPr>
          <w:spacing w:val="-9"/>
        </w:rPr>
        <w:t> </w:t>
      </w:r>
      <w:r>
        <w:rPr/>
        <w:t>vendors</w:t>
      </w:r>
      <w:r>
        <w:rPr>
          <w:spacing w:val="-10"/>
        </w:rPr>
        <w:t> </w:t>
      </w:r>
      <w:r>
        <w:rPr/>
        <w:t>play</w:t>
      </w:r>
      <w:r>
        <w:rPr>
          <w:spacing w:val="-12"/>
        </w:rPr>
        <w:t> </w:t>
      </w:r>
      <w:r>
        <w:rPr/>
        <w:t>an</w:t>
      </w:r>
      <w:r>
        <w:rPr>
          <w:spacing w:val="-10"/>
        </w:rPr>
        <w:t> </w:t>
      </w:r>
      <w:r>
        <w:rPr/>
        <w:t>intermediary</w:t>
      </w:r>
      <w:r>
        <w:rPr>
          <w:spacing w:val="-14"/>
        </w:rPr>
        <w:t> </w:t>
      </w:r>
      <w:r>
        <w:rPr/>
        <w:t>role</w:t>
      </w:r>
      <w:r>
        <w:rPr>
          <w:spacing w:val="-9"/>
        </w:rPr>
        <w:t> </w:t>
      </w:r>
      <w:r>
        <w:rPr/>
        <w:t>by</w:t>
      </w:r>
      <w:r>
        <w:rPr>
          <w:spacing w:val="-14"/>
        </w:rPr>
        <w:t> </w:t>
      </w:r>
      <w:r>
        <w:rPr/>
        <w:t>reselling</w:t>
      </w:r>
      <w:r>
        <w:rPr>
          <w:spacing w:val="-12"/>
        </w:rPr>
        <w:t> </w:t>
      </w:r>
      <w:r>
        <w:rPr/>
        <w:t>the</w:t>
      </w:r>
      <w:r>
        <w:rPr>
          <w:spacing w:val="-6"/>
        </w:rPr>
        <w:t> </w:t>
      </w:r>
      <w:r>
        <w:rPr/>
        <w:t>water</w:t>
      </w:r>
      <w:r>
        <w:rPr>
          <w:spacing w:val="-7"/>
        </w:rPr>
        <w:t> </w:t>
      </w:r>
      <w:r>
        <w:rPr/>
        <w:t>fetched</w:t>
      </w:r>
      <w:r>
        <w:rPr>
          <w:spacing w:val="-10"/>
        </w:rPr>
        <w:t> </w:t>
      </w:r>
      <w:r>
        <w:rPr/>
        <w:t>from the water board or purchased from private borehole owners. Apart from being expensive, most</w:t>
      </w:r>
      <w:r>
        <w:rPr>
          <w:spacing w:val="-5"/>
        </w:rPr>
        <w:t> </w:t>
      </w:r>
      <w:r>
        <w:rPr/>
        <w:t>times</w:t>
      </w:r>
      <w:r>
        <w:rPr>
          <w:spacing w:val="-6"/>
        </w:rPr>
        <w:t> </w:t>
      </w:r>
      <w:r>
        <w:rPr/>
        <w:t>the</w:t>
      </w:r>
      <w:r>
        <w:rPr>
          <w:spacing w:val="-6"/>
        </w:rPr>
        <w:t> </w:t>
      </w:r>
      <w:r>
        <w:rPr/>
        <w:t>source</w:t>
      </w:r>
      <w:r>
        <w:rPr>
          <w:spacing w:val="-7"/>
        </w:rPr>
        <w:t> </w:t>
      </w:r>
      <w:r>
        <w:rPr/>
        <w:t>of</w:t>
      </w:r>
      <w:r>
        <w:rPr>
          <w:spacing w:val="-2"/>
        </w:rPr>
        <w:t> </w:t>
      </w:r>
      <w:r>
        <w:rPr/>
        <w:t>the</w:t>
      </w:r>
      <w:r>
        <w:rPr>
          <w:spacing w:val="-6"/>
        </w:rPr>
        <w:t> </w:t>
      </w:r>
      <w:r>
        <w:rPr/>
        <w:t>water</w:t>
      </w:r>
      <w:r>
        <w:rPr>
          <w:spacing w:val="-5"/>
        </w:rPr>
        <w:t> </w:t>
      </w:r>
      <w:r>
        <w:rPr/>
        <w:t>purchased</w:t>
      </w:r>
      <w:r>
        <w:rPr>
          <w:spacing w:val="-3"/>
        </w:rPr>
        <w:t> </w:t>
      </w:r>
      <w:r>
        <w:rPr/>
        <w:t>from</w:t>
      </w:r>
      <w:r>
        <w:rPr>
          <w:spacing w:val="-3"/>
        </w:rPr>
        <w:t> </w:t>
      </w:r>
      <w:r>
        <w:rPr/>
        <w:t>water</w:t>
      </w:r>
      <w:r>
        <w:rPr>
          <w:spacing w:val="-7"/>
        </w:rPr>
        <w:t> </w:t>
      </w:r>
      <w:r>
        <w:rPr/>
        <w:t>vendors</w:t>
      </w:r>
      <w:r>
        <w:rPr>
          <w:spacing w:val="-6"/>
        </w:rPr>
        <w:t> </w:t>
      </w:r>
      <w:r>
        <w:rPr/>
        <w:t>is</w:t>
      </w:r>
      <w:r>
        <w:rPr>
          <w:spacing w:val="-5"/>
        </w:rPr>
        <w:t> </w:t>
      </w:r>
      <w:r>
        <w:rPr/>
        <w:t>unknown</w:t>
      </w:r>
      <w:r>
        <w:rPr>
          <w:spacing w:val="-6"/>
        </w:rPr>
        <w:t> </w:t>
      </w:r>
      <w:r>
        <w:rPr/>
        <w:t>and</w:t>
      </w:r>
      <w:r>
        <w:rPr>
          <w:spacing w:val="-6"/>
        </w:rPr>
        <w:t> </w:t>
      </w:r>
      <w:r>
        <w:rPr/>
        <w:t>has</w:t>
      </w:r>
      <w:r>
        <w:rPr>
          <w:spacing w:val="-3"/>
        </w:rPr>
        <w:t> </w:t>
      </w:r>
      <w:r>
        <w:rPr/>
        <w:t>health implications on the households as such water is highly susceptible to fecal contamination/ microbial loadings and other water-related germs.</w:t>
      </w:r>
    </w:p>
    <w:p>
      <w:pPr>
        <w:pStyle w:val="BodyText"/>
        <w:spacing w:before="1"/>
      </w:pPr>
    </w:p>
    <w:p>
      <w:pPr>
        <w:pStyle w:val="BodyText"/>
        <w:spacing w:line="480" w:lineRule="auto"/>
        <w:ind w:left="267" w:right="105"/>
        <w:jc w:val="both"/>
      </w:pPr>
      <w:r>
        <w:rPr/>
        <w:t>Furthermore, 7.70% of the respondents reported adapting to water shortage and poverty by installation of storage tanks in their premises while 6.90% of the respondents engaged in water</w:t>
      </w:r>
      <w:r>
        <w:rPr>
          <w:spacing w:val="-3"/>
        </w:rPr>
        <w:t> </w:t>
      </w:r>
      <w:r>
        <w:rPr/>
        <w:t>collection</w:t>
      </w:r>
      <w:r>
        <w:rPr>
          <w:spacing w:val="-1"/>
        </w:rPr>
        <w:t> </w:t>
      </w:r>
      <w:r>
        <w:rPr/>
        <w:t>from</w:t>
      </w:r>
      <w:r>
        <w:rPr>
          <w:spacing w:val="-1"/>
        </w:rPr>
        <w:t> </w:t>
      </w:r>
      <w:r>
        <w:rPr/>
        <w:t>different</w:t>
      </w:r>
      <w:r>
        <w:rPr>
          <w:spacing w:val="-1"/>
        </w:rPr>
        <w:t> </w:t>
      </w:r>
      <w:r>
        <w:rPr/>
        <w:t>location. In</w:t>
      </w:r>
      <w:r>
        <w:rPr>
          <w:spacing w:val="-1"/>
        </w:rPr>
        <w:t> </w:t>
      </w:r>
      <w:r>
        <w:rPr/>
        <w:t>the</w:t>
      </w:r>
      <w:r>
        <w:rPr>
          <w:spacing w:val="-2"/>
        </w:rPr>
        <w:t> </w:t>
      </w:r>
      <w:r>
        <w:rPr/>
        <w:t>later</w:t>
      </w:r>
      <w:r>
        <w:rPr>
          <w:spacing w:val="-1"/>
        </w:rPr>
        <w:t> </w:t>
      </w:r>
      <w:r>
        <w:rPr/>
        <w:t>scenario,</w:t>
      </w:r>
      <w:r>
        <w:rPr>
          <w:spacing w:val="-2"/>
        </w:rPr>
        <w:t> </w:t>
      </w:r>
      <w:r>
        <w:rPr/>
        <w:t>most of</w:t>
      </w:r>
      <w:r>
        <w:rPr>
          <w:spacing w:val="-2"/>
        </w:rPr>
        <w:t> </w:t>
      </w:r>
      <w:r>
        <w:rPr/>
        <w:t>the</w:t>
      </w:r>
      <w:r>
        <w:rPr>
          <w:spacing w:val="-2"/>
        </w:rPr>
        <w:t> </w:t>
      </w:r>
      <w:r>
        <w:rPr/>
        <w:t>respondents</w:t>
      </w:r>
      <w:r>
        <w:rPr>
          <w:spacing w:val="-1"/>
        </w:rPr>
        <w:t> </w:t>
      </w:r>
      <w:r>
        <w:rPr/>
        <w:t>either go around water searching or begging and even resort to buying (Abubakar, 2018; Eichelberger,</w:t>
      </w:r>
      <w:r>
        <w:rPr>
          <w:spacing w:val="-10"/>
        </w:rPr>
        <w:t> </w:t>
      </w:r>
      <w:r>
        <w:rPr/>
        <w:t>2018).</w:t>
      </w:r>
      <w:r>
        <w:rPr>
          <w:spacing w:val="-7"/>
        </w:rPr>
        <w:t> </w:t>
      </w:r>
      <w:r>
        <w:rPr/>
        <w:t>A</w:t>
      </w:r>
      <w:r>
        <w:rPr>
          <w:spacing w:val="-9"/>
        </w:rPr>
        <w:t> </w:t>
      </w:r>
      <w:r>
        <w:rPr/>
        <w:t>further</w:t>
      </w:r>
      <w:r>
        <w:rPr>
          <w:spacing w:val="-10"/>
        </w:rPr>
        <w:t> </w:t>
      </w:r>
      <w:r>
        <w:rPr/>
        <w:t>5.10%</w:t>
      </w:r>
      <w:r>
        <w:rPr>
          <w:spacing w:val="-10"/>
        </w:rPr>
        <w:t> </w:t>
      </w:r>
      <w:r>
        <w:rPr/>
        <w:t>of</w:t>
      </w:r>
      <w:r>
        <w:rPr>
          <w:spacing w:val="-10"/>
        </w:rPr>
        <w:t> </w:t>
      </w:r>
      <w:r>
        <w:rPr/>
        <w:t>the</w:t>
      </w:r>
      <w:r>
        <w:rPr>
          <w:spacing w:val="-8"/>
        </w:rPr>
        <w:t> </w:t>
      </w:r>
      <w:r>
        <w:rPr/>
        <w:t>respondents</w:t>
      </w:r>
      <w:r>
        <w:rPr>
          <w:spacing w:val="-8"/>
        </w:rPr>
        <w:t> </w:t>
      </w:r>
      <w:r>
        <w:rPr/>
        <w:t>adapt</w:t>
      </w:r>
      <w:r>
        <w:rPr>
          <w:spacing w:val="-9"/>
        </w:rPr>
        <w:t> </w:t>
      </w:r>
      <w:r>
        <w:rPr/>
        <w:t>to</w:t>
      </w:r>
      <w:r>
        <w:rPr>
          <w:spacing w:val="-9"/>
        </w:rPr>
        <w:t> </w:t>
      </w:r>
      <w:r>
        <w:rPr/>
        <w:t>water</w:t>
      </w:r>
      <w:r>
        <w:rPr>
          <w:spacing w:val="-11"/>
        </w:rPr>
        <w:t> </w:t>
      </w:r>
      <w:r>
        <w:rPr/>
        <w:t>poverty</w:t>
      </w:r>
      <w:r>
        <w:rPr>
          <w:spacing w:val="-14"/>
        </w:rPr>
        <w:t> </w:t>
      </w:r>
      <w:r>
        <w:rPr/>
        <w:t>by</w:t>
      </w:r>
      <w:r>
        <w:rPr>
          <w:spacing w:val="-12"/>
        </w:rPr>
        <w:t> </w:t>
      </w:r>
      <w:r>
        <w:rPr/>
        <w:t>collecting water from neighbours or through share connection. As rightly noted by Abubakar (2018) water</w:t>
      </w:r>
      <w:r>
        <w:rPr>
          <w:spacing w:val="-8"/>
        </w:rPr>
        <w:t> </w:t>
      </w:r>
      <w:r>
        <w:rPr/>
        <w:t>collection</w:t>
      </w:r>
      <w:r>
        <w:rPr>
          <w:spacing w:val="-10"/>
        </w:rPr>
        <w:t> </w:t>
      </w:r>
      <w:r>
        <w:rPr/>
        <w:t>from</w:t>
      </w:r>
      <w:r>
        <w:rPr>
          <w:spacing w:val="-10"/>
        </w:rPr>
        <w:t> </w:t>
      </w:r>
      <w:r>
        <w:rPr/>
        <w:t>neighbours</w:t>
      </w:r>
      <w:r>
        <w:rPr>
          <w:spacing w:val="-7"/>
        </w:rPr>
        <w:t> </w:t>
      </w:r>
      <w:r>
        <w:rPr/>
        <w:t>or</w:t>
      </w:r>
      <w:r>
        <w:rPr>
          <w:spacing w:val="-10"/>
        </w:rPr>
        <w:t> </w:t>
      </w:r>
      <w:r>
        <w:rPr/>
        <w:t>the</w:t>
      </w:r>
      <w:r>
        <w:rPr>
          <w:spacing w:val="-8"/>
        </w:rPr>
        <w:t> </w:t>
      </w:r>
      <w:r>
        <w:rPr/>
        <w:t>use</w:t>
      </w:r>
      <w:r>
        <w:rPr>
          <w:spacing w:val="-10"/>
        </w:rPr>
        <w:t> </w:t>
      </w:r>
      <w:r>
        <w:rPr/>
        <w:t>of</w:t>
      </w:r>
      <w:r>
        <w:rPr>
          <w:spacing w:val="-10"/>
        </w:rPr>
        <w:t> </w:t>
      </w:r>
      <w:r>
        <w:rPr/>
        <w:t>share</w:t>
      </w:r>
      <w:r>
        <w:rPr>
          <w:spacing w:val="-11"/>
        </w:rPr>
        <w:t> </w:t>
      </w:r>
      <w:r>
        <w:rPr/>
        <w:t>connection</w:t>
      </w:r>
      <w:r>
        <w:rPr>
          <w:spacing w:val="-10"/>
        </w:rPr>
        <w:t> </w:t>
      </w:r>
      <w:r>
        <w:rPr/>
        <w:t>as</w:t>
      </w:r>
      <w:r>
        <w:rPr>
          <w:spacing w:val="-7"/>
        </w:rPr>
        <w:t> </w:t>
      </w:r>
      <w:r>
        <w:rPr/>
        <w:t>a</w:t>
      </w:r>
      <w:r>
        <w:rPr>
          <w:spacing w:val="-6"/>
        </w:rPr>
        <w:t> </w:t>
      </w:r>
      <w:r>
        <w:rPr/>
        <w:t>strategy</w:t>
      </w:r>
      <w:r>
        <w:rPr>
          <w:spacing w:val="-12"/>
        </w:rPr>
        <w:t> </w:t>
      </w:r>
      <w:r>
        <w:rPr/>
        <w:t>is</w:t>
      </w:r>
      <w:r>
        <w:rPr>
          <w:spacing w:val="-9"/>
        </w:rPr>
        <w:t> </w:t>
      </w:r>
      <w:r>
        <w:rPr/>
        <w:t>dependent</w:t>
      </w:r>
      <w:r>
        <w:rPr>
          <w:spacing w:val="-9"/>
        </w:rPr>
        <w:t> </w:t>
      </w:r>
      <w:r>
        <w:rPr/>
        <w:t>on the extent of one’s relationship with neighbours.</w:t>
      </w:r>
    </w:p>
    <w:p>
      <w:pPr>
        <w:pStyle w:val="BodyText"/>
        <w:spacing w:before="1"/>
      </w:pPr>
    </w:p>
    <w:p>
      <w:pPr>
        <w:pStyle w:val="BodyText"/>
        <w:spacing w:line="480" w:lineRule="auto"/>
        <w:ind w:left="267" w:right="107"/>
        <w:jc w:val="both"/>
      </w:pPr>
      <w:r>
        <w:rPr/>
        <w:t>Less than 10% of surveyed respondents however reported the buying of bottle and sachet water(2.60%), drilling</w:t>
      </w:r>
      <w:r>
        <w:rPr>
          <w:spacing w:val="-1"/>
        </w:rPr>
        <w:t> </w:t>
      </w:r>
      <w:r>
        <w:rPr/>
        <w:t>of deep wells (2.60%),</w:t>
      </w:r>
      <w:r>
        <w:rPr>
          <w:spacing w:val="40"/>
        </w:rPr>
        <w:t> </w:t>
      </w:r>
      <w:r>
        <w:rPr/>
        <w:t>treatment by</w:t>
      </w:r>
      <w:r>
        <w:rPr>
          <w:spacing w:val="-1"/>
        </w:rPr>
        <w:t> </w:t>
      </w:r>
      <w:r>
        <w:rPr/>
        <w:t>water filtration (1.00%) ground water</w:t>
      </w:r>
      <w:r>
        <w:rPr>
          <w:spacing w:val="-10"/>
        </w:rPr>
        <w:t> </w:t>
      </w:r>
      <w:r>
        <w:rPr/>
        <w:t>extraction/digging</w:t>
      </w:r>
      <w:r>
        <w:rPr>
          <w:spacing w:val="-9"/>
        </w:rPr>
        <w:t> </w:t>
      </w:r>
      <w:r>
        <w:rPr/>
        <w:t>of</w:t>
      </w:r>
      <w:r>
        <w:rPr>
          <w:spacing w:val="-10"/>
        </w:rPr>
        <w:t> </w:t>
      </w:r>
      <w:r>
        <w:rPr/>
        <w:t>shallow</w:t>
      </w:r>
      <w:r>
        <w:rPr>
          <w:spacing w:val="-10"/>
        </w:rPr>
        <w:t> </w:t>
      </w:r>
      <w:r>
        <w:rPr/>
        <w:t>wells</w:t>
      </w:r>
      <w:r>
        <w:rPr>
          <w:spacing w:val="-7"/>
        </w:rPr>
        <w:t> </w:t>
      </w:r>
      <w:r>
        <w:rPr/>
        <w:t>(0.90%),</w:t>
      </w:r>
      <w:r>
        <w:rPr>
          <w:spacing w:val="-9"/>
        </w:rPr>
        <w:t> </w:t>
      </w:r>
      <w:r>
        <w:rPr/>
        <w:t>water</w:t>
      </w:r>
      <w:r>
        <w:rPr>
          <w:spacing w:val="-10"/>
        </w:rPr>
        <w:t> </w:t>
      </w:r>
      <w:r>
        <w:rPr/>
        <w:t>boiling</w:t>
      </w:r>
      <w:r>
        <w:rPr>
          <w:spacing w:val="-8"/>
        </w:rPr>
        <w:t> </w:t>
      </w:r>
      <w:r>
        <w:rPr/>
        <w:t>(0.80%),</w:t>
      </w:r>
      <w:r>
        <w:rPr>
          <w:spacing w:val="-7"/>
        </w:rPr>
        <w:t> </w:t>
      </w:r>
      <w:r>
        <w:rPr/>
        <w:t>water</w:t>
      </w:r>
      <w:r>
        <w:rPr>
          <w:spacing w:val="-10"/>
        </w:rPr>
        <w:t> </w:t>
      </w:r>
      <w:r>
        <w:rPr/>
        <w:t>purification by adding alum/chlorine (0.80%), use of water sparingly/reduction in water consumption (0.70%),</w:t>
      </w:r>
      <w:r>
        <w:rPr>
          <w:spacing w:val="-3"/>
        </w:rPr>
        <w:t> </w:t>
      </w:r>
      <w:r>
        <w:rPr/>
        <w:t>installation</w:t>
      </w:r>
      <w:r>
        <w:rPr>
          <w:spacing w:val="-2"/>
        </w:rPr>
        <w:t> </w:t>
      </w:r>
      <w:r>
        <w:rPr/>
        <w:t>of</w:t>
      </w:r>
      <w:r>
        <w:rPr>
          <w:spacing w:val="-3"/>
        </w:rPr>
        <w:t> </w:t>
      </w:r>
      <w:r>
        <w:rPr/>
        <w:t>booster</w:t>
      </w:r>
      <w:r>
        <w:rPr>
          <w:spacing w:val="-3"/>
        </w:rPr>
        <w:t> </w:t>
      </w:r>
      <w:r>
        <w:rPr/>
        <w:t>pumps (0.50%)</w:t>
      </w:r>
      <w:r>
        <w:rPr>
          <w:spacing w:val="-3"/>
        </w:rPr>
        <w:t> </w:t>
      </w:r>
      <w:r>
        <w:rPr/>
        <w:t>and</w:t>
      </w:r>
      <w:r>
        <w:rPr>
          <w:spacing w:val="-2"/>
        </w:rPr>
        <w:t> </w:t>
      </w:r>
      <w:r>
        <w:rPr/>
        <w:t>rescheduling</w:t>
      </w:r>
      <w:r>
        <w:rPr>
          <w:spacing w:val="-5"/>
        </w:rPr>
        <w:t> </w:t>
      </w:r>
      <w:r>
        <w:rPr/>
        <w:t>activities</w:t>
      </w:r>
      <w:r>
        <w:rPr>
          <w:spacing w:val="-3"/>
        </w:rPr>
        <w:t> </w:t>
      </w:r>
      <w:r>
        <w:rPr/>
        <w:t>until</w:t>
      </w:r>
      <w:r>
        <w:rPr>
          <w:spacing w:val="-2"/>
        </w:rPr>
        <w:t> </w:t>
      </w:r>
      <w:r>
        <w:rPr/>
        <w:t>when</w:t>
      </w:r>
      <w:r>
        <w:rPr>
          <w:spacing w:val="-2"/>
        </w:rPr>
        <w:t> </w:t>
      </w:r>
      <w:r>
        <w:rPr/>
        <w:t>water is available (0.30%) as their adaptive strategies against water shortage and unreliable water </w:t>
      </w:r>
      <w:r>
        <w:rPr>
          <w:spacing w:val="-2"/>
        </w:rPr>
        <w:t>supply.</w:t>
      </w:r>
    </w:p>
    <w:p>
      <w:pPr>
        <w:spacing w:after="0" w:line="480" w:lineRule="auto"/>
        <w:jc w:val="both"/>
        <w:sectPr>
          <w:pgSz w:w="12240" w:h="15840"/>
          <w:pgMar w:header="0" w:footer="1068" w:top="1340" w:bottom="1260" w:left="1720" w:right="1300"/>
        </w:sectPr>
      </w:pPr>
    </w:p>
    <w:p>
      <w:pPr>
        <w:pStyle w:val="BodyText"/>
        <w:spacing w:line="480" w:lineRule="auto" w:before="63"/>
        <w:ind w:left="267" w:right="105"/>
        <w:jc w:val="both"/>
      </w:pPr>
      <w:r>
        <w:rPr/>
        <w:t>From these results, it can be surmised that most of the adaptive strategies utilized by households against water shortage are accommodative in nature, and geared towards improving</w:t>
      </w:r>
      <w:r>
        <w:rPr>
          <w:spacing w:val="-4"/>
        </w:rPr>
        <w:t> </w:t>
      </w:r>
      <w:r>
        <w:rPr/>
        <w:t>the</w:t>
      </w:r>
      <w:r>
        <w:rPr>
          <w:spacing w:val="-2"/>
        </w:rPr>
        <w:t> </w:t>
      </w:r>
      <w:r>
        <w:rPr/>
        <w:t>physical</w:t>
      </w:r>
      <w:r>
        <w:rPr>
          <w:spacing w:val="-1"/>
        </w:rPr>
        <w:t> </w:t>
      </w:r>
      <w:r>
        <w:rPr/>
        <w:t>access</w:t>
      </w:r>
      <w:r>
        <w:rPr>
          <w:spacing w:val="-1"/>
        </w:rPr>
        <w:t> </w:t>
      </w:r>
      <w:r>
        <w:rPr/>
        <w:t>to</w:t>
      </w:r>
      <w:r>
        <w:rPr>
          <w:spacing w:val="-1"/>
        </w:rPr>
        <w:t> </w:t>
      </w:r>
      <w:r>
        <w:rPr/>
        <w:t>water. In</w:t>
      </w:r>
      <w:r>
        <w:rPr>
          <w:spacing w:val="-1"/>
        </w:rPr>
        <w:t> </w:t>
      </w:r>
      <w:r>
        <w:rPr/>
        <w:t>other words,</w:t>
      </w:r>
      <w:r>
        <w:rPr>
          <w:spacing w:val="-1"/>
        </w:rPr>
        <w:t> </w:t>
      </w:r>
      <w:r>
        <w:rPr/>
        <w:t>these</w:t>
      </w:r>
      <w:r>
        <w:rPr>
          <w:spacing w:val="-3"/>
        </w:rPr>
        <w:t> </w:t>
      </w:r>
      <w:r>
        <w:rPr/>
        <w:t>salient</w:t>
      </w:r>
      <w:r>
        <w:rPr>
          <w:spacing w:val="-1"/>
        </w:rPr>
        <w:t> </w:t>
      </w:r>
      <w:r>
        <w:rPr/>
        <w:t>strategies</w:t>
      </w:r>
      <w:r>
        <w:rPr>
          <w:spacing w:val="-1"/>
        </w:rPr>
        <w:t> </w:t>
      </w:r>
      <w:r>
        <w:rPr/>
        <w:t>were</w:t>
      </w:r>
      <w:r>
        <w:rPr>
          <w:spacing w:val="-2"/>
        </w:rPr>
        <w:t> </w:t>
      </w:r>
      <w:r>
        <w:rPr/>
        <w:t>utilized to either increase or conserve the available water to households. Few of the households however utilized home-based water treatment strategies (water boiling, filtration and purification by adding alum or chlorination) to enhance poor water quality and strategies aimed</w:t>
      </w:r>
      <w:r>
        <w:rPr>
          <w:spacing w:val="-8"/>
        </w:rPr>
        <w:t> </w:t>
      </w:r>
      <w:r>
        <w:rPr/>
        <w:t>at</w:t>
      </w:r>
      <w:r>
        <w:rPr>
          <w:spacing w:val="-7"/>
        </w:rPr>
        <w:t> </w:t>
      </w:r>
      <w:r>
        <w:rPr/>
        <w:t>decreasing</w:t>
      </w:r>
      <w:r>
        <w:rPr>
          <w:spacing w:val="-10"/>
        </w:rPr>
        <w:t> </w:t>
      </w:r>
      <w:r>
        <w:rPr/>
        <w:t>unreliable</w:t>
      </w:r>
      <w:r>
        <w:rPr>
          <w:spacing w:val="-9"/>
        </w:rPr>
        <w:t> </w:t>
      </w:r>
      <w:r>
        <w:rPr/>
        <w:t>water</w:t>
      </w:r>
      <w:r>
        <w:rPr>
          <w:spacing w:val="-9"/>
        </w:rPr>
        <w:t> </w:t>
      </w:r>
      <w:r>
        <w:rPr/>
        <w:t>supply</w:t>
      </w:r>
      <w:r>
        <w:rPr>
          <w:spacing w:val="-13"/>
        </w:rPr>
        <w:t> </w:t>
      </w:r>
      <w:r>
        <w:rPr/>
        <w:t>(use</w:t>
      </w:r>
      <w:r>
        <w:rPr>
          <w:spacing w:val="-9"/>
        </w:rPr>
        <w:t> </w:t>
      </w:r>
      <w:r>
        <w:rPr/>
        <w:t>of</w:t>
      </w:r>
      <w:r>
        <w:rPr>
          <w:spacing w:val="-9"/>
        </w:rPr>
        <w:t> </w:t>
      </w:r>
      <w:r>
        <w:rPr/>
        <w:t>booster</w:t>
      </w:r>
      <w:r>
        <w:rPr>
          <w:spacing w:val="-9"/>
        </w:rPr>
        <w:t> </w:t>
      </w:r>
      <w:r>
        <w:rPr/>
        <w:t>pump,</w:t>
      </w:r>
      <w:r>
        <w:rPr>
          <w:spacing w:val="-5"/>
        </w:rPr>
        <w:t> </w:t>
      </w:r>
      <w:r>
        <w:rPr/>
        <w:t>rescheduling</w:t>
      </w:r>
      <w:r>
        <w:rPr>
          <w:spacing w:val="-11"/>
        </w:rPr>
        <w:t> </w:t>
      </w:r>
      <w:r>
        <w:rPr/>
        <w:t>activities</w:t>
      </w:r>
      <w:r>
        <w:rPr>
          <w:spacing w:val="-9"/>
        </w:rPr>
        <w:t> </w:t>
      </w:r>
      <w:r>
        <w:rPr/>
        <w:t>till when water is available and relocation to areas with water supply).</w:t>
      </w:r>
    </w:p>
    <w:p>
      <w:pPr>
        <w:pStyle w:val="BodyText"/>
        <w:spacing w:before="6"/>
      </w:pPr>
    </w:p>
    <w:p>
      <w:pPr>
        <w:pStyle w:val="Heading1"/>
        <w:numPr>
          <w:ilvl w:val="2"/>
          <w:numId w:val="10"/>
        </w:numPr>
        <w:tabs>
          <w:tab w:pos="987" w:val="left" w:leader="none"/>
        </w:tabs>
        <w:spacing w:line="240" w:lineRule="auto" w:before="0" w:after="0"/>
        <w:ind w:left="987" w:right="111" w:hanging="720"/>
        <w:jc w:val="both"/>
      </w:pPr>
      <w:r>
        <w:rPr/>
        <w:t>Perception of the effectiveness of adaptive strategies in coping with water </w:t>
      </w:r>
      <w:r>
        <w:rPr>
          <w:spacing w:val="-2"/>
        </w:rPr>
        <w:t>poverty</w:t>
      </w:r>
    </w:p>
    <w:p>
      <w:pPr>
        <w:pStyle w:val="BodyText"/>
        <w:spacing w:line="480" w:lineRule="auto"/>
        <w:ind w:left="267" w:right="107"/>
        <w:jc w:val="both"/>
      </w:pPr>
      <w:r>
        <w:rPr/>
        <w:t>Table</w:t>
      </w:r>
      <w:r>
        <w:rPr>
          <w:spacing w:val="-8"/>
        </w:rPr>
        <w:t> </w:t>
      </w:r>
      <w:r>
        <w:rPr/>
        <w:t>4.30</w:t>
      </w:r>
      <w:r>
        <w:rPr>
          <w:spacing w:val="-7"/>
        </w:rPr>
        <w:t> </w:t>
      </w:r>
      <w:r>
        <w:rPr/>
        <w:t>presents</w:t>
      </w:r>
      <w:r>
        <w:rPr>
          <w:spacing w:val="-7"/>
        </w:rPr>
        <w:t> </w:t>
      </w:r>
      <w:r>
        <w:rPr/>
        <w:t>the</w:t>
      </w:r>
      <w:r>
        <w:rPr>
          <w:spacing w:val="-6"/>
        </w:rPr>
        <w:t> </w:t>
      </w:r>
      <w:r>
        <w:rPr/>
        <w:t>result</w:t>
      </w:r>
      <w:r>
        <w:rPr>
          <w:spacing w:val="-6"/>
        </w:rPr>
        <w:t> </w:t>
      </w:r>
      <w:r>
        <w:rPr/>
        <w:t>of</w:t>
      </w:r>
      <w:r>
        <w:rPr>
          <w:spacing w:val="-8"/>
        </w:rPr>
        <w:t> </w:t>
      </w:r>
      <w:r>
        <w:rPr/>
        <w:t>the</w:t>
      </w:r>
      <w:r>
        <w:rPr>
          <w:spacing w:val="-8"/>
        </w:rPr>
        <w:t> </w:t>
      </w:r>
      <w:r>
        <w:rPr/>
        <w:t>perception</w:t>
      </w:r>
      <w:r>
        <w:rPr>
          <w:spacing w:val="-7"/>
        </w:rPr>
        <w:t> </w:t>
      </w:r>
      <w:r>
        <w:rPr/>
        <w:t>of</w:t>
      </w:r>
      <w:r>
        <w:rPr>
          <w:spacing w:val="-3"/>
        </w:rPr>
        <w:t> </w:t>
      </w:r>
      <w:r>
        <w:rPr/>
        <w:t>the</w:t>
      </w:r>
      <w:r>
        <w:rPr>
          <w:spacing w:val="-8"/>
        </w:rPr>
        <w:t> </w:t>
      </w:r>
      <w:r>
        <w:rPr/>
        <w:t>respondents</w:t>
      </w:r>
      <w:r>
        <w:rPr>
          <w:spacing w:val="-6"/>
        </w:rPr>
        <w:t> </w:t>
      </w:r>
      <w:r>
        <w:rPr/>
        <w:t>on</w:t>
      </w:r>
      <w:r>
        <w:rPr>
          <w:spacing w:val="-7"/>
        </w:rPr>
        <w:t> </w:t>
      </w:r>
      <w:r>
        <w:rPr/>
        <w:t>the</w:t>
      </w:r>
      <w:r>
        <w:rPr>
          <w:spacing w:val="-5"/>
        </w:rPr>
        <w:t> </w:t>
      </w:r>
      <w:r>
        <w:rPr/>
        <w:t>effectiveness</w:t>
      </w:r>
      <w:r>
        <w:rPr>
          <w:spacing w:val="-7"/>
        </w:rPr>
        <w:t> </w:t>
      </w:r>
      <w:r>
        <w:rPr/>
        <w:t>of</w:t>
      </w:r>
      <w:r>
        <w:rPr>
          <w:spacing w:val="-8"/>
        </w:rPr>
        <w:t> </w:t>
      </w:r>
      <w:r>
        <w:rPr/>
        <w:t>the nineteen (19) adaptive strategies utilized in the study area. 10 out of 19 adaptive strategies with mean scores ranging from 3.042 to 4.228 were the effective strategies used in coping with</w:t>
      </w:r>
      <w:r>
        <w:rPr>
          <w:spacing w:val="-7"/>
        </w:rPr>
        <w:t> </w:t>
      </w:r>
      <w:r>
        <w:rPr/>
        <w:t>water</w:t>
      </w:r>
      <w:r>
        <w:rPr>
          <w:spacing w:val="-8"/>
        </w:rPr>
        <w:t> </w:t>
      </w:r>
      <w:r>
        <w:rPr/>
        <w:t>scarcity</w:t>
      </w:r>
      <w:r>
        <w:rPr>
          <w:spacing w:val="-10"/>
        </w:rPr>
        <w:t> </w:t>
      </w:r>
      <w:r>
        <w:rPr/>
        <w:t>and</w:t>
      </w:r>
      <w:r>
        <w:rPr>
          <w:spacing w:val="-7"/>
        </w:rPr>
        <w:t> </w:t>
      </w:r>
      <w:r>
        <w:rPr/>
        <w:t>poverty</w:t>
      </w:r>
      <w:r>
        <w:rPr>
          <w:spacing w:val="-10"/>
        </w:rPr>
        <w:t> </w:t>
      </w:r>
      <w:r>
        <w:rPr/>
        <w:t>based</w:t>
      </w:r>
      <w:r>
        <w:rPr>
          <w:spacing w:val="-5"/>
        </w:rPr>
        <w:t> </w:t>
      </w:r>
      <w:r>
        <w:rPr/>
        <w:t>on</w:t>
      </w:r>
      <w:r>
        <w:rPr>
          <w:spacing w:val="-5"/>
        </w:rPr>
        <w:t> </w:t>
      </w:r>
      <w:r>
        <w:rPr/>
        <w:t>a</w:t>
      </w:r>
      <w:r>
        <w:rPr>
          <w:spacing w:val="-8"/>
        </w:rPr>
        <w:t> </w:t>
      </w:r>
      <w:r>
        <w:rPr/>
        <w:t>threshold</w:t>
      </w:r>
      <w:r>
        <w:rPr>
          <w:spacing w:val="-7"/>
        </w:rPr>
        <w:t> </w:t>
      </w:r>
      <w:r>
        <w:rPr/>
        <w:t>value</w:t>
      </w:r>
      <w:r>
        <w:rPr>
          <w:spacing w:val="-8"/>
        </w:rPr>
        <w:t> </w:t>
      </w:r>
      <w:r>
        <w:rPr/>
        <w:t>of</w:t>
      </w:r>
      <w:r>
        <w:rPr>
          <w:spacing w:val="-6"/>
        </w:rPr>
        <w:t> </w:t>
      </w:r>
      <w:r>
        <w:rPr/>
        <w:t>3.0</w:t>
      </w:r>
      <w:r>
        <w:rPr>
          <w:spacing w:val="-7"/>
        </w:rPr>
        <w:t> </w:t>
      </w:r>
      <w:r>
        <w:rPr/>
        <w:t>(effective</w:t>
      </w:r>
      <w:r>
        <w:rPr>
          <w:spacing w:val="-6"/>
        </w:rPr>
        <w:t> </w:t>
      </w:r>
      <w:r>
        <w:rPr/>
        <w:t>and</w:t>
      </w:r>
      <w:r>
        <w:rPr>
          <w:spacing w:val="-7"/>
        </w:rPr>
        <w:t> </w:t>
      </w:r>
      <w:r>
        <w:rPr/>
        <w:t>not</w:t>
      </w:r>
      <w:r>
        <w:rPr>
          <w:spacing w:val="-7"/>
        </w:rPr>
        <w:t> </w:t>
      </w:r>
      <w:r>
        <w:rPr/>
        <w:t>effective strategies were determined by adopting a threshold of 3.0 [(1+2+3+4+5)/5] similar to that adopted</w:t>
      </w:r>
      <w:r>
        <w:rPr>
          <w:spacing w:val="-2"/>
        </w:rPr>
        <w:t> </w:t>
      </w:r>
      <w:r>
        <w:rPr/>
        <w:t>in</w:t>
      </w:r>
      <w:r>
        <w:rPr>
          <w:spacing w:val="-1"/>
        </w:rPr>
        <w:t> </w:t>
      </w:r>
      <w:r>
        <w:rPr/>
        <w:t>Chileshe</w:t>
      </w:r>
      <w:r>
        <w:rPr>
          <w:spacing w:val="-2"/>
        </w:rPr>
        <w:t> </w:t>
      </w:r>
      <w:r>
        <w:rPr/>
        <w:t>and Kikwasi</w:t>
      </w:r>
      <w:r>
        <w:rPr>
          <w:spacing w:val="-1"/>
        </w:rPr>
        <w:t> </w:t>
      </w:r>
      <w:r>
        <w:rPr/>
        <w:t>(2014) research). In</w:t>
      </w:r>
      <w:r>
        <w:rPr>
          <w:spacing w:val="-1"/>
        </w:rPr>
        <w:t> </w:t>
      </w:r>
      <w:r>
        <w:rPr/>
        <w:t>addition,</w:t>
      </w:r>
      <w:r>
        <w:rPr>
          <w:spacing w:val="-1"/>
        </w:rPr>
        <w:t> </w:t>
      </w:r>
      <w:r>
        <w:rPr/>
        <w:t>most of</w:t>
      </w:r>
      <w:r>
        <w:rPr>
          <w:spacing w:val="-2"/>
        </w:rPr>
        <w:t> </w:t>
      </w:r>
      <w:r>
        <w:rPr/>
        <w:t>the 359</w:t>
      </w:r>
      <w:r>
        <w:rPr>
          <w:spacing w:val="-1"/>
        </w:rPr>
        <w:t> </w:t>
      </w:r>
      <w:r>
        <w:rPr/>
        <w:t>respondents in the study rated these strategies as either very effective, effective or undecided.</w:t>
      </w:r>
    </w:p>
    <w:p>
      <w:pPr>
        <w:pStyle w:val="BodyText"/>
        <w:spacing w:line="480" w:lineRule="auto" w:before="272"/>
        <w:ind w:left="267" w:right="109"/>
        <w:jc w:val="both"/>
      </w:pPr>
      <w:r>
        <w:rPr/>
        <w:t>Based</w:t>
      </w:r>
      <w:r>
        <w:rPr>
          <w:spacing w:val="-11"/>
        </w:rPr>
        <w:t> </w:t>
      </w:r>
      <w:r>
        <w:rPr/>
        <w:t>on</w:t>
      </w:r>
      <w:r>
        <w:rPr>
          <w:spacing w:val="-13"/>
        </w:rPr>
        <w:t> </w:t>
      </w:r>
      <w:r>
        <w:rPr/>
        <w:t>the</w:t>
      </w:r>
      <w:r>
        <w:rPr>
          <w:spacing w:val="-11"/>
        </w:rPr>
        <w:t> </w:t>
      </w:r>
      <w:r>
        <w:rPr/>
        <w:t>relative</w:t>
      </w:r>
      <w:r>
        <w:rPr>
          <w:spacing w:val="-14"/>
        </w:rPr>
        <w:t> </w:t>
      </w:r>
      <w:r>
        <w:rPr/>
        <w:t>importance</w:t>
      </w:r>
      <w:r>
        <w:rPr>
          <w:spacing w:val="-12"/>
        </w:rPr>
        <w:t> </w:t>
      </w:r>
      <w:r>
        <w:rPr/>
        <w:t>index,</w:t>
      </w:r>
      <w:r>
        <w:rPr>
          <w:spacing w:val="-13"/>
        </w:rPr>
        <w:t> </w:t>
      </w:r>
      <w:r>
        <w:rPr/>
        <w:t>storage</w:t>
      </w:r>
      <w:r>
        <w:rPr>
          <w:spacing w:val="-11"/>
        </w:rPr>
        <w:t> </w:t>
      </w:r>
      <w:r>
        <w:rPr/>
        <w:t>of</w:t>
      </w:r>
      <w:r>
        <w:rPr>
          <w:spacing w:val="-9"/>
        </w:rPr>
        <w:t> </w:t>
      </w:r>
      <w:r>
        <w:rPr/>
        <w:t>water</w:t>
      </w:r>
      <w:r>
        <w:rPr>
          <w:spacing w:val="-14"/>
        </w:rPr>
        <w:t> </w:t>
      </w:r>
      <w:r>
        <w:rPr/>
        <w:t>in</w:t>
      </w:r>
      <w:r>
        <w:rPr>
          <w:spacing w:val="-13"/>
        </w:rPr>
        <w:t> </w:t>
      </w:r>
      <w:r>
        <w:rPr/>
        <w:t>drums</w:t>
      </w:r>
      <w:r>
        <w:rPr>
          <w:spacing w:val="-13"/>
        </w:rPr>
        <w:t> </w:t>
      </w:r>
      <w:r>
        <w:rPr/>
        <w:t>(100</w:t>
      </w:r>
      <w:r>
        <w:rPr>
          <w:spacing w:val="-14"/>
        </w:rPr>
        <w:t> </w:t>
      </w:r>
      <w:r>
        <w:rPr/>
        <w:t>liters</w:t>
      </w:r>
      <w:r>
        <w:rPr>
          <w:spacing w:val="-11"/>
        </w:rPr>
        <w:t> </w:t>
      </w:r>
      <w:r>
        <w:rPr/>
        <w:t>and</w:t>
      </w:r>
      <w:r>
        <w:rPr>
          <w:spacing w:val="-13"/>
        </w:rPr>
        <w:t> </w:t>
      </w:r>
      <w:r>
        <w:rPr/>
        <w:t>above),</w:t>
      </w:r>
      <w:r>
        <w:rPr>
          <w:spacing w:val="-11"/>
        </w:rPr>
        <w:t> </w:t>
      </w:r>
      <w:r>
        <w:rPr/>
        <w:t>rain water harvest and installation of storage tanks with mean scores of 4.228, 3.894 and 3.889 respectively were the three (3) top ranked adaptive strategies for water poverty based on respondents’ perception in the study</w:t>
      </w:r>
      <w:r>
        <w:rPr>
          <w:spacing w:val="-1"/>
        </w:rPr>
        <w:t> </w:t>
      </w:r>
      <w:r>
        <w:rPr/>
        <w:t>area.</w:t>
      </w:r>
      <w:r>
        <w:rPr>
          <w:spacing w:val="40"/>
        </w:rPr>
        <w:t> </w:t>
      </w:r>
      <w:r>
        <w:rPr/>
        <w:t>Based on respondents’ responses, the fourth and fifth most effective</w:t>
      </w:r>
      <w:r>
        <w:rPr>
          <w:spacing w:val="-1"/>
        </w:rPr>
        <w:t> </w:t>
      </w:r>
      <w:r>
        <w:rPr/>
        <w:t>strategies with mean score</w:t>
      </w:r>
      <w:r>
        <w:rPr>
          <w:spacing w:val="-2"/>
        </w:rPr>
        <w:t> </w:t>
      </w:r>
      <w:r>
        <w:rPr/>
        <w:t>of 3.799 and 3.752 respectively</w:t>
      </w:r>
      <w:r>
        <w:rPr>
          <w:spacing w:val="-3"/>
        </w:rPr>
        <w:t> </w:t>
      </w:r>
      <w:r>
        <w:rPr/>
        <w:t>were</w:t>
      </w:r>
      <w:r>
        <w:rPr>
          <w:spacing w:val="-1"/>
        </w:rPr>
        <w:t> </w:t>
      </w:r>
      <w:r>
        <w:rPr/>
        <w:t>storage of</w:t>
      </w:r>
      <w:r>
        <w:rPr>
          <w:spacing w:val="-16"/>
        </w:rPr>
        <w:t> </w:t>
      </w:r>
      <w:r>
        <w:rPr/>
        <w:t>water</w:t>
      </w:r>
      <w:r>
        <w:rPr>
          <w:spacing w:val="-14"/>
        </w:rPr>
        <w:t> </w:t>
      </w:r>
      <w:r>
        <w:rPr/>
        <w:t>in</w:t>
      </w:r>
      <w:r>
        <w:rPr>
          <w:spacing w:val="-10"/>
        </w:rPr>
        <w:t> </w:t>
      </w:r>
      <w:r>
        <w:rPr/>
        <w:t>buckets</w:t>
      </w:r>
      <w:r>
        <w:rPr>
          <w:spacing w:val="-10"/>
        </w:rPr>
        <w:t> </w:t>
      </w:r>
      <w:r>
        <w:rPr/>
        <w:t>and</w:t>
      </w:r>
      <w:r>
        <w:rPr>
          <w:spacing w:val="-10"/>
        </w:rPr>
        <w:t> </w:t>
      </w:r>
      <w:r>
        <w:rPr/>
        <w:t>containers</w:t>
      </w:r>
      <w:r>
        <w:rPr>
          <w:spacing w:val="-14"/>
        </w:rPr>
        <w:t> </w:t>
      </w:r>
      <w:r>
        <w:rPr/>
        <w:t>(less</w:t>
      </w:r>
      <w:r>
        <w:rPr>
          <w:spacing w:val="-10"/>
        </w:rPr>
        <w:t> </w:t>
      </w:r>
      <w:r>
        <w:rPr/>
        <w:t>than</w:t>
      </w:r>
      <w:r>
        <w:rPr>
          <w:spacing w:val="-14"/>
        </w:rPr>
        <w:t> </w:t>
      </w:r>
      <w:r>
        <w:rPr/>
        <w:t>25</w:t>
      </w:r>
      <w:r>
        <w:rPr>
          <w:spacing w:val="-10"/>
        </w:rPr>
        <w:t> </w:t>
      </w:r>
      <w:r>
        <w:rPr/>
        <w:t>liters)</w:t>
      </w:r>
      <w:r>
        <w:rPr>
          <w:spacing w:val="-12"/>
        </w:rPr>
        <w:t> </w:t>
      </w:r>
      <w:r>
        <w:rPr/>
        <w:t>and</w:t>
      </w:r>
      <w:r>
        <w:rPr>
          <w:spacing w:val="-12"/>
        </w:rPr>
        <w:t> </w:t>
      </w:r>
      <w:r>
        <w:rPr/>
        <w:t>buying</w:t>
      </w:r>
      <w:r>
        <w:rPr>
          <w:spacing w:val="-15"/>
        </w:rPr>
        <w:t> </w:t>
      </w:r>
      <w:r>
        <w:rPr/>
        <w:t>of</w:t>
      </w:r>
      <w:r>
        <w:rPr>
          <w:spacing w:val="-14"/>
        </w:rPr>
        <w:t> </w:t>
      </w:r>
      <w:r>
        <w:rPr/>
        <w:t>bottled</w:t>
      </w:r>
      <w:r>
        <w:rPr>
          <w:spacing w:val="-11"/>
        </w:rPr>
        <w:t> </w:t>
      </w:r>
      <w:r>
        <w:rPr/>
        <w:t>and</w:t>
      </w:r>
      <w:r>
        <w:rPr>
          <w:spacing w:val="-13"/>
        </w:rPr>
        <w:t> </w:t>
      </w:r>
      <w:r>
        <w:rPr/>
        <w:t>sachet</w:t>
      </w:r>
      <w:r>
        <w:rPr>
          <w:spacing w:val="-10"/>
        </w:rPr>
        <w:t> </w:t>
      </w:r>
      <w:r>
        <w:rPr>
          <w:spacing w:val="-2"/>
        </w:rPr>
        <w:t>water.</w:t>
      </w:r>
    </w:p>
    <w:p>
      <w:pPr>
        <w:pStyle w:val="BodyText"/>
        <w:spacing w:line="274" w:lineRule="exact"/>
        <w:ind w:left="267"/>
        <w:jc w:val="both"/>
      </w:pPr>
      <w:r>
        <w:rPr/>
        <w:t>Findings</w:t>
      </w:r>
      <w:r>
        <w:rPr>
          <w:spacing w:val="4"/>
        </w:rPr>
        <w:t> </w:t>
      </w:r>
      <w:r>
        <w:rPr/>
        <w:t>on</w:t>
      </w:r>
      <w:r>
        <w:rPr>
          <w:spacing w:val="2"/>
        </w:rPr>
        <w:t> </w:t>
      </w:r>
      <w:r>
        <w:rPr/>
        <w:t>water storage</w:t>
      </w:r>
      <w:r>
        <w:rPr>
          <w:spacing w:val="1"/>
        </w:rPr>
        <w:t> </w:t>
      </w:r>
      <w:r>
        <w:rPr/>
        <w:t>either</w:t>
      </w:r>
      <w:r>
        <w:rPr>
          <w:spacing w:val="3"/>
        </w:rPr>
        <w:t> </w:t>
      </w:r>
      <w:r>
        <w:rPr/>
        <w:t>by</w:t>
      </w:r>
      <w:r>
        <w:rPr>
          <w:spacing w:val="-3"/>
        </w:rPr>
        <w:t> </w:t>
      </w:r>
      <w:r>
        <w:rPr/>
        <w:t>installing</w:t>
      </w:r>
      <w:r>
        <w:rPr>
          <w:spacing w:val="-1"/>
        </w:rPr>
        <w:t> </w:t>
      </w:r>
      <w:r>
        <w:rPr/>
        <w:t>tanks</w:t>
      </w:r>
      <w:r>
        <w:rPr>
          <w:spacing w:val="2"/>
        </w:rPr>
        <w:t> </w:t>
      </w:r>
      <w:r>
        <w:rPr/>
        <w:t>or</w:t>
      </w:r>
      <w:r>
        <w:rPr>
          <w:spacing w:val="1"/>
        </w:rPr>
        <w:t> </w:t>
      </w:r>
      <w:r>
        <w:rPr/>
        <w:t>the</w:t>
      </w:r>
      <w:r>
        <w:rPr>
          <w:spacing w:val="3"/>
        </w:rPr>
        <w:t> </w:t>
      </w:r>
      <w:r>
        <w:rPr/>
        <w:t>use</w:t>
      </w:r>
      <w:r>
        <w:rPr>
          <w:spacing w:val="1"/>
        </w:rPr>
        <w:t> </w:t>
      </w:r>
      <w:r>
        <w:rPr/>
        <w:t>of</w:t>
      </w:r>
      <w:r>
        <w:rPr>
          <w:spacing w:val="1"/>
        </w:rPr>
        <w:t> </w:t>
      </w:r>
      <w:r>
        <w:rPr/>
        <w:t>drums</w:t>
      </w:r>
      <w:r>
        <w:rPr>
          <w:spacing w:val="4"/>
        </w:rPr>
        <w:t> </w:t>
      </w:r>
      <w:r>
        <w:rPr/>
        <w:t>and</w:t>
      </w:r>
      <w:r>
        <w:rPr>
          <w:spacing w:val="4"/>
        </w:rPr>
        <w:t> </w:t>
      </w:r>
      <w:r>
        <w:rPr/>
        <w:t>containers</w:t>
      </w:r>
      <w:r>
        <w:rPr>
          <w:spacing w:val="4"/>
        </w:rPr>
        <w:t> </w:t>
      </w:r>
      <w:r>
        <w:rPr>
          <w:spacing w:val="-4"/>
        </w:rPr>
        <w:t>have</w:t>
      </w:r>
    </w:p>
    <w:p>
      <w:pPr>
        <w:spacing w:after="0" w:line="274" w:lineRule="exact"/>
        <w:jc w:val="both"/>
        <w:sectPr>
          <w:pgSz w:w="12240" w:h="15840"/>
          <w:pgMar w:header="0" w:footer="1068" w:top="1340" w:bottom="1260" w:left="1720" w:right="1300"/>
        </w:sectPr>
      </w:pPr>
    </w:p>
    <w:p>
      <w:pPr>
        <w:pStyle w:val="BodyText"/>
        <w:spacing w:line="480" w:lineRule="auto" w:before="63"/>
        <w:ind w:left="267" w:right="104"/>
        <w:jc w:val="both"/>
      </w:pPr>
      <w:r>
        <w:rPr/>
        <w:t>been found</w:t>
      </w:r>
      <w:r>
        <w:rPr>
          <w:spacing w:val="-1"/>
        </w:rPr>
        <w:t> </w:t>
      </w:r>
      <w:r>
        <w:rPr/>
        <w:t>to corroborate</w:t>
      </w:r>
      <w:r>
        <w:rPr>
          <w:spacing w:val="-1"/>
        </w:rPr>
        <w:t> </w:t>
      </w:r>
      <w:r>
        <w:rPr/>
        <w:t>prior</w:t>
      </w:r>
      <w:r>
        <w:rPr>
          <w:spacing w:val="-1"/>
        </w:rPr>
        <w:t> </w:t>
      </w:r>
      <w:r>
        <w:rPr/>
        <w:t>studies which showed that they</w:t>
      </w:r>
      <w:r>
        <w:rPr>
          <w:spacing w:val="-5"/>
        </w:rPr>
        <w:t> </w:t>
      </w:r>
      <w:r>
        <w:rPr/>
        <w:t>are</w:t>
      </w:r>
      <w:r>
        <w:rPr>
          <w:spacing w:val="-1"/>
        </w:rPr>
        <w:t> </w:t>
      </w:r>
      <w:r>
        <w:rPr/>
        <w:t>most common and well- established</w:t>
      </w:r>
      <w:r>
        <w:rPr>
          <w:spacing w:val="-12"/>
        </w:rPr>
        <w:t> </w:t>
      </w:r>
      <w:r>
        <w:rPr/>
        <w:t>strategies</w:t>
      </w:r>
      <w:r>
        <w:rPr>
          <w:spacing w:val="-12"/>
        </w:rPr>
        <w:t> </w:t>
      </w:r>
      <w:r>
        <w:rPr/>
        <w:t>employed</w:t>
      </w:r>
      <w:r>
        <w:rPr>
          <w:spacing w:val="-12"/>
        </w:rPr>
        <w:t> </w:t>
      </w:r>
      <w:r>
        <w:rPr/>
        <w:t>by</w:t>
      </w:r>
      <w:r>
        <w:rPr>
          <w:spacing w:val="-15"/>
        </w:rPr>
        <w:t> </w:t>
      </w:r>
      <w:r>
        <w:rPr/>
        <w:t>households</w:t>
      </w:r>
      <w:r>
        <w:rPr>
          <w:spacing w:val="-8"/>
        </w:rPr>
        <w:t> </w:t>
      </w:r>
      <w:r>
        <w:rPr/>
        <w:t>(Zerah,</w:t>
      </w:r>
      <w:r>
        <w:rPr>
          <w:spacing w:val="-12"/>
        </w:rPr>
        <w:t> </w:t>
      </w:r>
      <w:r>
        <w:rPr/>
        <w:t>2000;</w:t>
      </w:r>
      <w:r>
        <w:rPr>
          <w:spacing w:val="-11"/>
        </w:rPr>
        <w:t> </w:t>
      </w:r>
      <w:r>
        <w:rPr/>
        <w:t>Baisa</w:t>
      </w:r>
      <w:r>
        <w:rPr>
          <w:spacing w:val="-9"/>
        </w:rPr>
        <w:t> </w:t>
      </w:r>
      <w:r>
        <w:rPr>
          <w:i/>
        </w:rPr>
        <w:t>et</w:t>
      </w:r>
      <w:r>
        <w:rPr>
          <w:i/>
          <w:spacing w:val="-11"/>
        </w:rPr>
        <w:t> </w:t>
      </w:r>
      <w:r>
        <w:rPr>
          <w:i/>
        </w:rPr>
        <w:t>al.</w:t>
      </w:r>
      <w:r>
        <w:rPr/>
        <w:t>,</w:t>
      </w:r>
      <w:r>
        <w:rPr>
          <w:spacing w:val="-12"/>
        </w:rPr>
        <w:t> </w:t>
      </w:r>
      <w:r>
        <w:rPr/>
        <w:t>2010;</w:t>
      </w:r>
      <w:r>
        <w:rPr>
          <w:spacing w:val="-11"/>
        </w:rPr>
        <w:t> </w:t>
      </w:r>
      <w:r>
        <w:rPr/>
        <w:t>Nastiti</w:t>
      </w:r>
      <w:r>
        <w:rPr>
          <w:spacing w:val="-10"/>
        </w:rPr>
        <w:t> </w:t>
      </w:r>
      <w:r>
        <w:rPr>
          <w:i/>
        </w:rPr>
        <w:t>et</w:t>
      </w:r>
      <w:r>
        <w:rPr>
          <w:i/>
          <w:spacing w:val="-11"/>
        </w:rPr>
        <w:t> </w:t>
      </w:r>
      <w:r>
        <w:rPr>
          <w:i/>
        </w:rPr>
        <w:t>al.</w:t>
      </w:r>
      <w:r>
        <w:rPr/>
        <w:t>, 2017; Achore </w:t>
      </w:r>
      <w:r>
        <w:rPr>
          <w:i/>
        </w:rPr>
        <w:t>et al.</w:t>
      </w:r>
      <w:r>
        <w:rPr/>
        <w:t>, 2020).</w:t>
      </w:r>
    </w:p>
    <w:p>
      <w:pPr>
        <w:pStyle w:val="BodyText"/>
      </w:pPr>
    </w:p>
    <w:p>
      <w:pPr>
        <w:pStyle w:val="BodyText"/>
        <w:spacing w:line="480" w:lineRule="auto"/>
        <w:ind w:left="267" w:right="105"/>
        <w:jc w:val="both"/>
      </w:pPr>
      <w:r>
        <w:rPr/>
        <w:t>Purchase of water from informal vendor with a mean score of 3.717 was ranked the sixth effective strategy. However, the effectiveness of this strategy depends on the water source (Nganyanyuka </w:t>
      </w:r>
      <w:r>
        <w:rPr>
          <w:i/>
        </w:rPr>
        <w:t>et al.</w:t>
      </w:r>
      <w:r>
        <w:rPr/>
        <w:t>, 2014), ease to water access (Abubakar, 2018; Nastiti </w:t>
      </w:r>
      <w:r>
        <w:rPr>
          <w:i/>
        </w:rPr>
        <w:t>et al.</w:t>
      </w:r>
      <w:r>
        <w:rPr/>
        <w:t>, 2017) and the</w:t>
      </w:r>
      <w:r>
        <w:rPr>
          <w:spacing w:val="-10"/>
        </w:rPr>
        <w:t> </w:t>
      </w:r>
      <w:r>
        <w:rPr/>
        <w:t>water</w:t>
      </w:r>
      <w:r>
        <w:rPr>
          <w:spacing w:val="-9"/>
        </w:rPr>
        <w:t> </w:t>
      </w:r>
      <w:r>
        <w:rPr/>
        <w:t>quality</w:t>
      </w:r>
      <w:r>
        <w:rPr>
          <w:spacing w:val="-12"/>
        </w:rPr>
        <w:t> </w:t>
      </w:r>
      <w:r>
        <w:rPr/>
        <w:t>(Rosenberg</w:t>
      </w:r>
      <w:r>
        <w:rPr>
          <w:spacing w:val="-10"/>
        </w:rPr>
        <w:t> </w:t>
      </w:r>
      <w:r>
        <w:rPr>
          <w:i/>
        </w:rPr>
        <w:t>et</w:t>
      </w:r>
      <w:r>
        <w:rPr>
          <w:i/>
          <w:spacing w:val="-9"/>
        </w:rPr>
        <w:t> </w:t>
      </w:r>
      <w:r>
        <w:rPr>
          <w:i/>
        </w:rPr>
        <w:t>al.</w:t>
      </w:r>
      <w:r>
        <w:rPr/>
        <w:t>,</w:t>
      </w:r>
      <w:r>
        <w:rPr>
          <w:spacing w:val="-10"/>
        </w:rPr>
        <w:t> </w:t>
      </w:r>
      <w:r>
        <w:rPr/>
        <w:t>2008).</w:t>
      </w:r>
      <w:r>
        <w:rPr>
          <w:spacing w:val="40"/>
        </w:rPr>
        <w:t> </w:t>
      </w:r>
      <w:r>
        <w:rPr/>
        <w:t>Based</w:t>
      </w:r>
      <w:r>
        <w:rPr>
          <w:spacing w:val="-10"/>
        </w:rPr>
        <w:t> </w:t>
      </w:r>
      <w:r>
        <w:rPr/>
        <w:t>on</w:t>
      </w:r>
      <w:r>
        <w:rPr>
          <w:spacing w:val="-10"/>
        </w:rPr>
        <w:t> </w:t>
      </w:r>
      <w:r>
        <w:rPr/>
        <w:t>its</w:t>
      </w:r>
      <w:r>
        <w:rPr>
          <w:spacing w:val="-9"/>
        </w:rPr>
        <w:t> </w:t>
      </w:r>
      <w:r>
        <w:rPr/>
        <w:t>mean</w:t>
      </w:r>
      <w:r>
        <w:rPr>
          <w:spacing w:val="-10"/>
        </w:rPr>
        <w:t> </w:t>
      </w:r>
      <w:r>
        <w:rPr/>
        <w:t>score</w:t>
      </w:r>
      <w:r>
        <w:rPr>
          <w:spacing w:val="-11"/>
        </w:rPr>
        <w:t> </w:t>
      </w:r>
      <w:r>
        <w:rPr/>
        <w:t>of</w:t>
      </w:r>
      <w:r>
        <w:rPr>
          <w:spacing w:val="-10"/>
        </w:rPr>
        <w:t> </w:t>
      </w:r>
      <w:r>
        <w:rPr/>
        <w:t>3.231,</w:t>
      </w:r>
      <w:r>
        <w:rPr>
          <w:spacing w:val="-8"/>
        </w:rPr>
        <w:t> </w:t>
      </w:r>
      <w:r>
        <w:rPr/>
        <w:t>drilling</w:t>
      </w:r>
      <w:r>
        <w:rPr>
          <w:spacing w:val="-12"/>
        </w:rPr>
        <w:t> </w:t>
      </w:r>
      <w:r>
        <w:rPr/>
        <w:t>of</w:t>
      </w:r>
      <w:r>
        <w:rPr>
          <w:spacing w:val="-10"/>
        </w:rPr>
        <w:t> </w:t>
      </w:r>
      <w:r>
        <w:rPr/>
        <w:t>deep wells was the seventh most effective water adaptive strategy</w:t>
      </w:r>
      <w:r>
        <w:rPr>
          <w:spacing w:val="-4"/>
        </w:rPr>
        <w:t> </w:t>
      </w:r>
      <w:r>
        <w:rPr/>
        <w:t>in the study</w:t>
      </w:r>
      <w:r>
        <w:rPr>
          <w:spacing w:val="-2"/>
        </w:rPr>
        <w:t> </w:t>
      </w:r>
      <w:r>
        <w:rPr/>
        <w:t>area. This strategy which is usually</w:t>
      </w:r>
      <w:r>
        <w:rPr>
          <w:spacing w:val="-6"/>
        </w:rPr>
        <w:t> </w:t>
      </w:r>
      <w:r>
        <w:rPr/>
        <w:t>implemented for personal/household usage is an alternative to and at times complements</w:t>
      </w:r>
      <w:r>
        <w:rPr>
          <w:spacing w:val="-1"/>
        </w:rPr>
        <w:t> </w:t>
      </w:r>
      <w:r>
        <w:rPr/>
        <w:t>public</w:t>
      </w:r>
      <w:r>
        <w:rPr>
          <w:spacing w:val="-2"/>
        </w:rPr>
        <w:t> </w:t>
      </w:r>
      <w:r>
        <w:rPr/>
        <w:t>water</w:t>
      </w:r>
      <w:r>
        <w:rPr>
          <w:spacing w:val="-3"/>
        </w:rPr>
        <w:t> </w:t>
      </w:r>
      <w:r>
        <w:rPr/>
        <w:t>source</w:t>
      </w:r>
      <w:r>
        <w:rPr>
          <w:spacing w:val="-2"/>
        </w:rPr>
        <w:t> </w:t>
      </w:r>
      <w:r>
        <w:rPr/>
        <w:t>available</w:t>
      </w:r>
      <w:r>
        <w:rPr>
          <w:spacing w:val="-2"/>
        </w:rPr>
        <w:t> </w:t>
      </w:r>
      <w:r>
        <w:rPr/>
        <w:t>to</w:t>
      </w:r>
      <w:r>
        <w:rPr>
          <w:spacing w:val="-1"/>
        </w:rPr>
        <w:t> </w:t>
      </w:r>
      <w:r>
        <w:rPr/>
        <w:t>most</w:t>
      </w:r>
      <w:r>
        <w:rPr>
          <w:spacing w:val="-1"/>
        </w:rPr>
        <w:t> </w:t>
      </w:r>
      <w:r>
        <w:rPr/>
        <w:t>households</w:t>
      </w:r>
      <w:r>
        <w:rPr>
          <w:spacing w:val="-1"/>
        </w:rPr>
        <w:t> </w:t>
      </w:r>
      <w:r>
        <w:rPr/>
        <w:t>in</w:t>
      </w:r>
      <w:r>
        <w:rPr>
          <w:spacing w:val="-1"/>
        </w:rPr>
        <w:t> </w:t>
      </w:r>
      <w:r>
        <w:rPr/>
        <w:t>the</w:t>
      </w:r>
      <w:r>
        <w:rPr>
          <w:spacing w:val="-2"/>
        </w:rPr>
        <w:t> </w:t>
      </w:r>
      <w:r>
        <w:rPr/>
        <w:t>study</w:t>
      </w:r>
      <w:r>
        <w:rPr>
          <w:spacing w:val="-3"/>
        </w:rPr>
        <w:t> </w:t>
      </w:r>
      <w:r>
        <w:rPr/>
        <w:t>area.</w:t>
      </w:r>
      <w:r>
        <w:rPr>
          <w:spacing w:val="-1"/>
        </w:rPr>
        <w:t> </w:t>
      </w:r>
      <w:r>
        <w:rPr/>
        <w:t>Collection of water from different locations and from neighbourhoods/through share connections with mean scores of 3.175 and 3.128 were both ranked the eighth and ninth effective strategy respectively. The former strategy however is quite time consuming as it involves trekking long distance in search of water. The use of water sparingly with a mean value of 3.042 is ranked</w:t>
      </w:r>
      <w:r>
        <w:rPr>
          <w:spacing w:val="-11"/>
        </w:rPr>
        <w:t> </w:t>
      </w:r>
      <w:r>
        <w:rPr/>
        <w:t>the</w:t>
      </w:r>
      <w:r>
        <w:rPr>
          <w:spacing w:val="-11"/>
        </w:rPr>
        <w:t> </w:t>
      </w:r>
      <w:r>
        <w:rPr/>
        <w:t>least</w:t>
      </w:r>
      <w:r>
        <w:rPr>
          <w:spacing w:val="-10"/>
        </w:rPr>
        <w:t> </w:t>
      </w:r>
      <w:r>
        <w:rPr/>
        <w:t>among</w:t>
      </w:r>
      <w:r>
        <w:rPr>
          <w:spacing w:val="-13"/>
        </w:rPr>
        <w:t> </w:t>
      </w:r>
      <w:r>
        <w:rPr/>
        <w:t>the</w:t>
      </w:r>
      <w:r>
        <w:rPr>
          <w:spacing w:val="-12"/>
        </w:rPr>
        <w:t> </w:t>
      </w:r>
      <w:r>
        <w:rPr/>
        <w:t>10</w:t>
      </w:r>
      <w:r>
        <w:rPr>
          <w:spacing w:val="-11"/>
        </w:rPr>
        <w:t> </w:t>
      </w:r>
      <w:r>
        <w:rPr/>
        <w:t>effective</w:t>
      </w:r>
      <w:r>
        <w:rPr>
          <w:spacing w:val="-12"/>
        </w:rPr>
        <w:t> </w:t>
      </w:r>
      <w:r>
        <w:rPr/>
        <w:t>strategies</w:t>
      </w:r>
      <w:r>
        <w:rPr>
          <w:spacing w:val="-10"/>
        </w:rPr>
        <w:t> </w:t>
      </w:r>
      <w:r>
        <w:rPr/>
        <w:t>in</w:t>
      </w:r>
      <w:r>
        <w:rPr>
          <w:spacing w:val="-10"/>
        </w:rPr>
        <w:t> </w:t>
      </w:r>
      <w:r>
        <w:rPr/>
        <w:t>coping</w:t>
      </w:r>
      <w:r>
        <w:rPr>
          <w:spacing w:val="-13"/>
        </w:rPr>
        <w:t> </w:t>
      </w:r>
      <w:r>
        <w:rPr/>
        <w:t>with</w:t>
      </w:r>
      <w:r>
        <w:rPr>
          <w:spacing w:val="-10"/>
        </w:rPr>
        <w:t> </w:t>
      </w:r>
      <w:r>
        <w:rPr/>
        <w:t>poor</w:t>
      </w:r>
      <w:r>
        <w:rPr>
          <w:spacing w:val="-11"/>
        </w:rPr>
        <w:t> </w:t>
      </w:r>
      <w:r>
        <w:rPr/>
        <w:t>unreliable</w:t>
      </w:r>
      <w:r>
        <w:rPr>
          <w:spacing w:val="-11"/>
        </w:rPr>
        <w:t> </w:t>
      </w:r>
      <w:r>
        <w:rPr/>
        <w:t>public</w:t>
      </w:r>
      <w:r>
        <w:rPr>
          <w:spacing w:val="-12"/>
        </w:rPr>
        <w:t> </w:t>
      </w:r>
      <w:r>
        <w:rPr/>
        <w:t>water supply and water poverty in the study area based on the perception of the respondents.</w:t>
      </w:r>
    </w:p>
    <w:p>
      <w:pPr>
        <w:spacing w:after="0" w:line="480" w:lineRule="auto"/>
        <w:jc w:val="both"/>
        <w:sectPr>
          <w:pgSz w:w="12240" w:h="15840"/>
          <w:pgMar w:header="0" w:footer="1068" w:top="1340" w:bottom="1260" w:left="1720" w:right="1300"/>
        </w:sectPr>
      </w:pPr>
    </w:p>
    <w:p>
      <w:pPr>
        <w:pStyle w:val="Heading1"/>
        <w:spacing w:before="68" w:after="4"/>
        <w:ind w:left="107"/>
      </w:pPr>
      <w:r>
        <w:rPr/>
        <w:t>Table</w:t>
      </w:r>
      <w:r>
        <w:rPr>
          <w:spacing w:val="-4"/>
        </w:rPr>
        <w:t> </w:t>
      </w:r>
      <w:r>
        <w:rPr/>
        <w:t>4.30:</w:t>
      </w:r>
      <w:r>
        <w:rPr>
          <w:spacing w:val="-2"/>
        </w:rPr>
        <w:t> </w:t>
      </w:r>
      <w:r>
        <w:rPr/>
        <w:t>Respondents’</w:t>
      </w:r>
      <w:r>
        <w:rPr>
          <w:spacing w:val="-2"/>
        </w:rPr>
        <w:t> </w:t>
      </w:r>
      <w:r>
        <w:rPr/>
        <w:t>Perception</w:t>
      </w:r>
      <w:r>
        <w:rPr>
          <w:spacing w:val="-2"/>
        </w:rPr>
        <w:t> </w:t>
      </w:r>
      <w:r>
        <w:rPr/>
        <w:t>of Effectiveness</w:t>
      </w:r>
      <w:r>
        <w:rPr>
          <w:spacing w:val="-1"/>
        </w:rPr>
        <w:t> </w:t>
      </w:r>
      <w:r>
        <w:rPr/>
        <w:t>of Adaptive</w:t>
      </w:r>
      <w:r>
        <w:rPr>
          <w:spacing w:val="-4"/>
        </w:rPr>
        <w:t> </w:t>
      </w:r>
      <w:r>
        <w:rPr/>
        <w:t>Strategies</w:t>
      </w:r>
      <w:r>
        <w:rPr>
          <w:spacing w:val="-1"/>
        </w:rPr>
        <w:t> </w:t>
      </w:r>
      <w:r>
        <w:rPr/>
        <w:t>to</w:t>
      </w:r>
      <w:r>
        <w:rPr>
          <w:spacing w:val="-1"/>
        </w:rPr>
        <w:t> </w:t>
      </w:r>
      <w:r>
        <w:rPr/>
        <w:t>Water </w:t>
      </w:r>
      <w:r>
        <w:rPr>
          <w:spacing w:val="-2"/>
        </w:rPr>
        <w:t>Poverty</w: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1"/>
        <w:gridCol w:w="5557"/>
        <w:gridCol w:w="696"/>
        <w:gridCol w:w="510"/>
        <w:gridCol w:w="548"/>
        <w:gridCol w:w="546"/>
        <w:gridCol w:w="581"/>
        <w:gridCol w:w="859"/>
        <w:gridCol w:w="808"/>
        <w:gridCol w:w="1745"/>
      </w:tblGrid>
      <w:tr>
        <w:trPr>
          <w:trHeight w:val="344" w:hRule="atLeast"/>
        </w:trPr>
        <w:tc>
          <w:tcPr>
            <w:tcW w:w="611" w:type="dxa"/>
            <w:tcBorders>
              <w:top w:val="single" w:sz="8" w:space="0" w:color="000000"/>
              <w:bottom w:val="single" w:sz="8" w:space="0" w:color="000000"/>
            </w:tcBorders>
          </w:tcPr>
          <w:p>
            <w:pPr>
              <w:pStyle w:val="TableParagraph"/>
              <w:spacing w:line="228" w:lineRule="exact"/>
              <w:ind w:right="110"/>
              <w:jc w:val="right"/>
              <w:rPr>
                <w:b/>
                <w:sz w:val="20"/>
              </w:rPr>
            </w:pPr>
            <w:r>
              <w:rPr>
                <w:b/>
                <w:spacing w:val="-5"/>
                <w:sz w:val="20"/>
              </w:rPr>
              <w:t>S/N</w:t>
            </w:r>
          </w:p>
        </w:tc>
        <w:tc>
          <w:tcPr>
            <w:tcW w:w="5557" w:type="dxa"/>
            <w:tcBorders>
              <w:top w:val="single" w:sz="8" w:space="0" w:color="000000"/>
              <w:bottom w:val="single" w:sz="8" w:space="0" w:color="000000"/>
            </w:tcBorders>
          </w:tcPr>
          <w:p>
            <w:pPr>
              <w:pStyle w:val="TableParagraph"/>
              <w:tabs>
                <w:tab w:pos="2859" w:val="left" w:leader="none"/>
              </w:tabs>
              <w:spacing w:line="228" w:lineRule="exact"/>
              <w:ind w:left="106"/>
              <w:rPr>
                <w:b/>
                <w:sz w:val="20"/>
              </w:rPr>
            </w:pPr>
            <w:r>
              <w:rPr>
                <w:b/>
                <w:spacing w:val="-2"/>
                <w:sz w:val="20"/>
              </w:rPr>
              <w:t>Adaptive/Coping</w:t>
            </w:r>
            <w:r>
              <w:rPr>
                <w:b/>
                <w:spacing w:val="17"/>
                <w:sz w:val="20"/>
              </w:rPr>
              <w:t> </w:t>
            </w:r>
            <w:r>
              <w:rPr>
                <w:b/>
                <w:spacing w:val="-2"/>
                <w:sz w:val="20"/>
              </w:rPr>
              <w:t>Strategies</w:t>
            </w:r>
            <w:r>
              <w:rPr>
                <w:b/>
                <w:sz w:val="20"/>
              </w:rPr>
              <w:tab/>
            </w:r>
            <w:r>
              <w:rPr>
                <w:b/>
                <w:spacing w:val="-2"/>
                <w:sz w:val="20"/>
              </w:rPr>
              <w:t>N=359</w:t>
            </w:r>
          </w:p>
        </w:tc>
        <w:tc>
          <w:tcPr>
            <w:tcW w:w="696" w:type="dxa"/>
            <w:tcBorders>
              <w:top w:val="single" w:sz="8" w:space="0" w:color="000000"/>
              <w:bottom w:val="single" w:sz="8" w:space="0" w:color="000000"/>
            </w:tcBorders>
          </w:tcPr>
          <w:p>
            <w:pPr>
              <w:pStyle w:val="TableParagraph"/>
              <w:spacing w:line="228" w:lineRule="exact"/>
              <w:ind w:left="296"/>
              <w:rPr>
                <w:b/>
                <w:sz w:val="20"/>
              </w:rPr>
            </w:pPr>
            <w:r>
              <w:rPr>
                <w:b/>
                <w:spacing w:val="-5"/>
                <w:sz w:val="20"/>
              </w:rPr>
              <w:t>NE</w:t>
            </w:r>
          </w:p>
        </w:tc>
        <w:tc>
          <w:tcPr>
            <w:tcW w:w="510" w:type="dxa"/>
            <w:tcBorders>
              <w:top w:val="single" w:sz="8" w:space="0" w:color="000000"/>
              <w:bottom w:val="single" w:sz="8" w:space="0" w:color="000000"/>
            </w:tcBorders>
          </w:tcPr>
          <w:p>
            <w:pPr>
              <w:pStyle w:val="TableParagraph"/>
              <w:spacing w:line="228" w:lineRule="exact"/>
              <w:ind w:right="2"/>
              <w:jc w:val="center"/>
              <w:rPr>
                <w:b/>
                <w:sz w:val="20"/>
              </w:rPr>
            </w:pPr>
            <w:r>
              <w:rPr>
                <w:b/>
                <w:spacing w:val="-5"/>
                <w:sz w:val="20"/>
              </w:rPr>
              <w:t>LE</w:t>
            </w:r>
          </w:p>
        </w:tc>
        <w:tc>
          <w:tcPr>
            <w:tcW w:w="548" w:type="dxa"/>
            <w:tcBorders>
              <w:top w:val="single" w:sz="8" w:space="0" w:color="000000"/>
              <w:bottom w:val="single" w:sz="8" w:space="0" w:color="000000"/>
            </w:tcBorders>
          </w:tcPr>
          <w:p>
            <w:pPr>
              <w:pStyle w:val="TableParagraph"/>
              <w:spacing w:line="228" w:lineRule="exact"/>
              <w:ind w:right="4"/>
              <w:jc w:val="center"/>
              <w:rPr>
                <w:b/>
                <w:sz w:val="20"/>
              </w:rPr>
            </w:pPr>
            <w:r>
              <w:rPr>
                <w:b/>
                <w:spacing w:val="-5"/>
                <w:sz w:val="20"/>
              </w:rPr>
              <w:t>UD</w:t>
            </w:r>
          </w:p>
        </w:tc>
        <w:tc>
          <w:tcPr>
            <w:tcW w:w="546" w:type="dxa"/>
            <w:tcBorders>
              <w:top w:val="single" w:sz="8" w:space="0" w:color="000000"/>
              <w:bottom w:val="single" w:sz="8" w:space="0" w:color="000000"/>
            </w:tcBorders>
          </w:tcPr>
          <w:p>
            <w:pPr>
              <w:pStyle w:val="TableParagraph"/>
              <w:spacing w:line="228" w:lineRule="exact"/>
              <w:ind w:right="10"/>
              <w:jc w:val="center"/>
              <w:rPr>
                <w:b/>
                <w:sz w:val="20"/>
              </w:rPr>
            </w:pPr>
            <w:r>
              <w:rPr>
                <w:b/>
                <w:spacing w:val="-5"/>
                <w:sz w:val="20"/>
              </w:rPr>
              <w:t>EF</w:t>
            </w:r>
          </w:p>
        </w:tc>
        <w:tc>
          <w:tcPr>
            <w:tcW w:w="581" w:type="dxa"/>
            <w:tcBorders>
              <w:top w:val="single" w:sz="8" w:space="0" w:color="000000"/>
              <w:bottom w:val="single" w:sz="8" w:space="0" w:color="000000"/>
            </w:tcBorders>
          </w:tcPr>
          <w:p>
            <w:pPr>
              <w:pStyle w:val="TableParagraph"/>
              <w:spacing w:line="228" w:lineRule="exact"/>
              <w:ind w:right="174"/>
              <w:jc w:val="right"/>
              <w:rPr>
                <w:b/>
                <w:sz w:val="20"/>
              </w:rPr>
            </w:pPr>
            <w:r>
              <w:rPr>
                <w:b/>
                <w:spacing w:val="-5"/>
                <w:sz w:val="20"/>
              </w:rPr>
              <w:t>VE</w:t>
            </w:r>
          </w:p>
        </w:tc>
        <w:tc>
          <w:tcPr>
            <w:tcW w:w="859" w:type="dxa"/>
            <w:tcBorders>
              <w:top w:val="single" w:sz="8" w:space="0" w:color="000000"/>
              <w:bottom w:val="single" w:sz="8" w:space="0" w:color="000000"/>
            </w:tcBorders>
          </w:tcPr>
          <w:p>
            <w:pPr>
              <w:pStyle w:val="TableParagraph"/>
              <w:spacing w:line="228" w:lineRule="exact"/>
              <w:ind w:right="65"/>
              <w:jc w:val="center"/>
              <w:rPr>
                <w:b/>
                <w:sz w:val="20"/>
              </w:rPr>
            </w:pPr>
            <w:r>
              <w:rPr>
                <w:b/>
                <w:spacing w:val="-4"/>
                <w:sz w:val="20"/>
              </w:rPr>
              <w:t>Mean</w:t>
            </w:r>
          </w:p>
        </w:tc>
        <w:tc>
          <w:tcPr>
            <w:tcW w:w="808" w:type="dxa"/>
            <w:tcBorders>
              <w:top w:val="single" w:sz="8" w:space="0" w:color="000000"/>
              <w:bottom w:val="single" w:sz="8" w:space="0" w:color="000000"/>
            </w:tcBorders>
          </w:tcPr>
          <w:p>
            <w:pPr>
              <w:pStyle w:val="TableParagraph"/>
              <w:spacing w:line="228" w:lineRule="exact"/>
              <w:ind w:right="302"/>
              <w:jc w:val="right"/>
              <w:rPr>
                <w:b/>
                <w:sz w:val="20"/>
              </w:rPr>
            </w:pPr>
            <w:r>
              <w:rPr>
                <w:b/>
                <w:spacing w:val="-5"/>
                <w:sz w:val="20"/>
              </w:rPr>
              <w:t>RII</w:t>
            </w:r>
          </w:p>
        </w:tc>
        <w:tc>
          <w:tcPr>
            <w:tcW w:w="1745" w:type="dxa"/>
            <w:tcBorders>
              <w:top w:val="single" w:sz="8" w:space="0" w:color="000000"/>
              <w:bottom w:val="single" w:sz="8" w:space="0" w:color="000000"/>
            </w:tcBorders>
          </w:tcPr>
          <w:p>
            <w:pPr>
              <w:pStyle w:val="TableParagraph"/>
              <w:spacing w:line="228" w:lineRule="exact"/>
              <w:ind w:left="4" w:right="90"/>
              <w:jc w:val="center"/>
              <w:rPr>
                <w:b/>
                <w:sz w:val="20"/>
              </w:rPr>
            </w:pPr>
            <w:r>
              <w:rPr>
                <w:b/>
                <w:spacing w:val="-2"/>
                <w:sz w:val="20"/>
              </w:rPr>
              <w:t>Remark</w:t>
            </w:r>
          </w:p>
        </w:tc>
      </w:tr>
      <w:tr>
        <w:trPr>
          <w:trHeight w:val="287" w:hRule="atLeast"/>
        </w:trPr>
        <w:tc>
          <w:tcPr>
            <w:tcW w:w="611" w:type="dxa"/>
            <w:tcBorders>
              <w:top w:val="single" w:sz="8" w:space="0" w:color="000000"/>
            </w:tcBorders>
          </w:tcPr>
          <w:p>
            <w:pPr>
              <w:pStyle w:val="TableParagraph"/>
              <w:spacing w:line="228" w:lineRule="exact"/>
              <w:ind w:right="108"/>
              <w:jc w:val="right"/>
              <w:rPr>
                <w:b/>
                <w:sz w:val="20"/>
              </w:rPr>
            </w:pPr>
            <w:r>
              <w:rPr>
                <w:b/>
                <w:spacing w:val="-10"/>
                <w:sz w:val="20"/>
              </w:rPr>
              <w:t>1</w:t>
            </w:r>
          </w:p>
        </w:tc>
        <w:tc>
          <w:tcPr>
            <w:tcW w:w="5557" w:type="dxa"/>
            <w:tcBorders>
              <w:top w:val="single" w:sz="8" w:space="0" w:color="000000"/>
            </w:tcBorders>
          </w:tcPr>
          <w:p>
            <w:pPr>
              <w:pStyle w:val="TableParagraph"/>
              <w:spacing w:line="223" w:lineRule="exact"/>
              <w:ind w:left="106"/>
              <w:rPr>
                <w:sz w:val="20"/>
              </w:rPr>
            </w:pPr>
            <w:r>
              <w:rPr>
                <w:sz w:val="20"/>
              </w:rPr>
              <w:t>Install</w:t>
            </w:r>
            <w:r>
              <w:rPr>
                <w:spacing w:val="-7"/>
                <w:sz w:val="20"/>
              </w:rPr>
              <w:t> </w:t>
            </w:r>
            <w:r>
              <w:rPr>
                <w:sz w:val="20"/>
              </w:rPr>
              <w:t>storage</w:t>
            </w:r>
            <w:r>
              <w:rPr>
                <w:spacing w:val="-7"/>
                <w:sz w:val="20"/>
              </w:rPr>
              <w:t> </w:t>
            </w:r>
            <w:r>
              <w:rPr>
                <w:spacing w:val="-2"/>
                <w:sz w:val="20"/>
              </w:rPr>
              <w:t>tanks</w:t>
            </w:r>
          </w:p>
        </w:tc>
        <w:tc>
          <w:tcPr>
            <w:tcW w:w="696" w:type="dxa"/>
            <w:tcBorders>
              <w:top w:val="single" w:sz="8" w:space="0" w:color="000000"/>
            </w:tcBorders>
          </w:tcPr>
          <w:p>
            <w:pPr>
              <w:pStyle w:val="TableParagraph"/>
              <w:spacing w:line="223" w:lineRule="exact"/>
              <w:ind w:left="334"/>
              <w:rPr>
                <w:sz w:val="20"/>
              </w:rPr>
            </w:pPr>
            <w:r>
              <w:rPr>
                <w:spacing w:val="-5"/>
                <w:sz w:val="20"/>
              </w:rPr>
              <w:t>20</w:t>
            </w:r>
          </w:p>
        </w:tc>
        <w:tc>
          <w:tcPr>
            <w:tcW w:w="510" w:type="dxa"/>
            <w:tcBorders>
              <w:top w:val="single" w:sz="8" w:space="0" w:color="000000"/>
            </w:tcBorders>
          </w:tcPr>
          <w:p>
            <w:pPr>
              <w:pStyle w:val="TableParagraph"/>
              <w:spacing w:line="223" w:lineRule="exact"/>
              <w:ind w:left="2" w:right="2"/>
              <w:jc w:val="center"/>
              <w:rPr>
                <w:sz w:val="20"/>
              </w:rPr>
            </w:pPr>
            <w:r>
              <w:rPr>
                <w:spacing w:val="-5"/>
                <w:sz w:val="20"/>
              </w:rPr>
              <w:t>13</w:t>
            </w:r>
          </w:p>
        </w:tc>
        <w:tc>
          <w:tcPr>
            <w:tcW w:w="548" w:type="dxa"/>
            <w:tcBorders>
              <w:top w:val="single" w:sz="8" w:space="0" w:color="000000"/>
            </w:tcBorders>
          </w:tcPr>
          <w:p>
            <w:pPr>
              <w:pStyle w:val="TableParagraph"/>
              <w:spacing w:line="223" w:lineRule="exact"/>
              <w:ind w:left="3" w:right="4"/>
              <w:jc w:val="center"/>
              <w:rPr>
                <w:sz w:val="20"/>
              </w:rPr>
            </w:pPr>
            <w:r>
              <w:rPr>
                <w:spacing w:val="-5"/>
                <w:sz w:val="20"/>
              </w:rPr>
              <w:t>53</w:t>
            </w:r>
          </w:p>
        </w:tc>
        <w:tc>
          <w:tcPr>
            <w:tcW w:w="546" w:type="dxa"/>
            <w:tcBorders>
              <w:top w:val="single" w:sz="8" w:space="0" w:color="000000"/>
            </w:tcBorders>
          </w:tcPr>
          <w:p>
            <w:pPr>
              <w:pStyle w:val="TableParagraph"/>
              <w:spacing w:line="223" w:lineRule="exact"/>
              <w:ind w:left="7" w:right="10"/>
              <w:jc w:val="center"/>
              <w:rPr>
                <w:sz w:val="20"/>
              </w:rPr>
            </w:pPr>
            <w:r>
              <w:rPr>
                <w:spacing w:val="-5"/>
                <w:sz w:val="20"/>
              </w:rPr>
              <w:t>174</w:t>
            </w:r>
          </w:p>
        </w:tc>
        <w:tc>
          <w:tcPr>
            <w:tcW w:w="581" w:type="dxa"/>
            <w:tcBorders>
              <w:top w:val="single" w:sz="8" w:space="0" w:color="000000"/>
            </w:tcBorders>
          </w:tcPr>
          <w:p>
            <w:pPr>
              <w:pStyle w:val="TableParagraph"/>
              <w:spacing w:line="223" w:lineRule="exact"/>
              <w:ind w:right="209"/>
              <w:jc w:val="right"/>
              <w:rPr>
                <w:sz w:val="20"/>
              </w:rPr>
            </w:pPr>
            <w:r>
              <w:rPr>
                <w:spacing w:val="-5"/>
                <w:sz w:val="20"/>
              </w:rPr>
              <w:t>99</w:t>
            </w:r>
          </w:p>
        </w:tc>
        <w:tc>
          <w:tcPr>
            <w:tcW w:w="859" w:type="dxa"/>
            <w:tcBorders>
              <w:top w:val="single" w:sz="8" w:space="0" w:color="000000"/>
            </w:tcBorders>
          </w:tcPr>
          <w:p>
            <w:pPr>
              <w:pStyle w:val="TableParagraph"/>
              <w:spacing w:line="223" w:lineRule="exact"/>
              <w:ind w:left="1" w:right="65"/>
              <w:jc w:val="center"/>
              <w:rPr>
                <w:sz w:val="20"/>
              </w:rPr>
            </w:pPr>
            <w:r>
              <w:rPr>
                <w:spacing w:val="-2"/>
                <w:sz w:val="20"/>
              </w:rPr>
              <w:t>3.889</w:t>
            </w:r>
          </w:p>
        </w:tc>
        <w:tc>
          <w:tcPr>
            <w:tcW w:w="808" w:type="dxa"/>
            <w:tcBorders>
              <w:top w:val="single" w:sz="8" w:space="0" w:color="000000"/>
            </w:tcBorders>
          </w:tcPr>
          <w:p>
            <w:pPr>
              <w:pStyle w:val="TableParagraph"/>
              <w:spacing w:line="223" w:lineRule="exact"/>
              <w:ind w:right="403"/>
              <w:jc w:val="right"/>
              <w:rPr>
                <w:sz w:val="20"/>
              </w:rPr>
            </w:pPr>
            <w:r>
              <w:rPr>
                <w:spacing w:val="-10"/>
                <w:sz w:val="20"/>
              </w:rPr>
              <w:t>3</w:t>
            </w:r>
          </w:p>
        </w:tc>
        <w:tc>
          <w:tcPr>
            <w:tcW w:w="1745" w:type="dxa"/>
            <w:tcBorders>
              <w:top w:val="single" w:sz="8" w:space="0" w:color="000000"/>
            </w:tcBorders>
          </w:tcPr>
          <w:p>
            <w:pPr>
              <w:pStyle w:val="TableParagraph"/>
              <w:spacing w:line="223" w:lineRule="exact"/>
              <w:ind w:left="1" w:right="90"/>
              <w:jc w:val="center"/>
              <w:rPr>
                <w:sz w:val="20"/>
              </w:rPr>
            </w:pPr>
            <w:r>
              <w:rPr>
                <w:spacing w:val="-2"/>
                <w:sz w:val="20"/>
              </w:rPr>
              <w:t>Effective</w:t>
            </w:r>
          </w:p>
        </w:tc>
      </w:tr>
      <w:tr>
        <w:trPr>
          <w:trHeight w:val="345" w:hRule="atLeast"/>
        </w:trPr>
        <w:tc>
          <w:tcPr>
            <w:tcW w:w="611" w:type="dxa"/>
          </w:tcPr>
          <w:p>
            <w:pPr>
              <w:pStyle w:val="TableParagraph"/>
              <w:spacing w:before="55"/>
              <w:ind w:right="108"/>
              <w:jc w:val="right"/>
              <w:rPr>
                <w:b/>
                <w:sz w:val="20"/>
              </w:rPr>
            </w:pPr>
            <w:r>
              <w:rPr>
                <w:b/>
                <w:spacing w:val="-10"/>
                <w:sz w:val="20"/>
              </w:rPr>
              <w:t>2</w:t>
            </w:r>
          </w:p>
        </w:tc>
        <w:tc>
          <w:tcPr>
            <w:tcW w:w="5557" w:type="dxa"/>
          </w:tcPr>
          <w:p>
            <w:pPr>
              <w:pStyle w:val="TableParagraph"/>
              <w:spacing w:before="51"/>
              <w:ind w:left="106"/>
              <w:rPr>
                <w:sz w:val="20"/>
              </w:rPr>
            </w:pPr>
            <w:r>
              <w:rPr>
                <w:sz w:val="20"/>
              </w:rPr>
              <w:t>Store</w:t>
            </w:r>
            <w:r>
              <w:rPr>
                <w:spacing w:val="-3"/>
                <w:sz w:val="20"/>
              </w:rPr>
              <w:t> </w:t>
            </w:r>
            <w:r>
              <w:rPr>
                <w:sz w:val="20"/>
              </w:rPr>
              <w:t>water</w:t>
            </w:r>
            <w:r>
              <w:rPr>
                <w:spacing w:val="-3"/>
                <w:sz w:val="20"/>
              </w:rPr>
              <w:t> </w:t>
            </w:r>
            <w:r>
              <w:rPr>
                <w:sz w:val="20"/>
              </w:rPr>
              <w:t>in</w:t>
            </w:r>
            <w:r>
              <w:rPr>
                <w:spacing w:val="-5"/>
                <w:sz w:val="20"/>
              </w:rPr>
              <w:t> </w:t>
            </w:r>
            <w:r>
              <w:rPr>
                <w:sz w:val="20"/>
              </w:rPr>
              <w:t>buckets</w:t>
            </w:r>
            <w:r>
              <w:rPr>
                <w:spacing w:val="-5"/>
                <w:sz w:val="20"/>
              </w:rPr>
              <w:t> </w:t>
            </w:r>
            <w:r>
              <w:rPr>
                <w:sz w:val="20"/>
              </w:rPr>
              <w:t>and</w:t>
            </w:r>
            <w:r>
              <w:rPr>
                <w:spacing w:val="-3"/>
                <w:sz w:val="20"/>
              </w:rPr>
              <w:t> </w:t>
            </w:r>
            <w:r>
              <w:rPr>
                <w:sz w:val="20"/>
              </w:rPr>
              <w:t>containers</w:t>
            </w:r>
            <w:r>
              <w:rPr>
                <w:spacing w:val="-5"/>
                <w:sz w:val="20"/>
              </w:rPr>
              <w:t> </w:t>
            </w:r>
            <w:r>
              <w:rPr>
                <w:sz w:val="20"/>
              </w:rPr>
              <w:t>(less</w:t>
            </w:r>
            <w:r>
              <w:rPr>
                <w:spacing w:val="-5"/>
                <w:sz w:val="20"/>
              </w:rPr>
              <w:t> </w:t>
            </w:r>
            <w:r>
              <w:rPr>
                <w:sz w:val="20"/>
              </w:rPr>
              <w:t>than</w:t>
            </w:r>
            <w:r>
              <w:rPr>
                <w:spacing w:val="-5"/>
                <w:sz w:val="20"/>
              </w:rPr>
              <w:t> </w:t>
            </w:r>
            <w:r>
              <w:rPr>
                <w:sz w:val="20"/>
              </w:rPr>
              <w:t>25</w:t>
            </w:r>
            <w:r>
              <w:rPr>
                <w:spacing w:val="-3"/>
                <w:sz w:val="20"/>
              </w:rPr>
              <w:t> </w:t>
            </w:r>
            <w:r>
              <w:rPr>
                <w:spacing w:val="-2"/>
                <w:sz w:val="20"/>
              </w:rPr>
              <w:t>liters)</w:t>
            </w:r>
          </w:p>
        </w:tc>
        <w:tc>
          <w:tcPr>
            <w:tcW w:w="696" w:type="dxa"/>
          </w:tcPr>
          <w:p>
            <w:pPr>
              <w:pStyle w:val="TableParagraph"/>
              <w:spacing w:before="51"/>
              <w:ind w:left="334"/>
              <w:rPr>
                <w:sz w:val="20"/>
              </w:rPr>
            </w:pPr>
            <w:r>
              <w:rPr>
                <w:spacing w:val="-5"/>
                <w:sz w:val="20"/>
              </w:rPr>
              <w:t>22</w:t>
            </w:r>
          </w:p>
        </w:tc>
        <w:tc>
          <w:tcPr>
            <w:tcW w:w="510" w:type="dxa"/>
          </w:tcPr>
          <w:p>
            <w:pPr>
              <w:pStyle w:val="TableParagraph"/>
              <w:spacing w:before="51"/>
              <w:ind w:left="2" w:right="2"/>
              <w:jc w:val="center"/>
              <w:rPr>
                <w:sz w:val="20"/>
              </w:rPr>
            </w:pPr>
            <w:r>
              <w:rPr>
                <w:spacing w:val="-5"/>
                <w:sz w:val="20"/>
              </w:rPr>
              <w:t>36</w:t>
            </w:r>
          </w:p>
        </w:tc>
        <w:tc>
          <w:tcPr>
            <w:tcW w:w="548" w:type="dxa"/>
          </w:tcPr>
          <w:p>
            <w:pPr>
              <w:pStyle w:val="TableParagraph"/>
              <w:spacing w:before="51"/>
              <w:ind w:left="3" w:right="4"/>
              <w:jc w:val="center"/>
              <w:rPr>
                <w:sz w:val="20"/>
              </w:rPr>
            </w:pPr>
            <w:r>
              <w:rPr>
                <w:spacing w:val="-5"/>
                <w:sz w:val="20"/>
              </w:rPr>
              <w:t>39</w:t>
            </w:r>
          </w:p>
        </w:tc>
        <w:tc>
          <w:tcPr>
            <w:tcW w:w="546" w:type="dxa"/>
          </w:tcPr>
          <w:p>
            <w:pPr>
              <w:pStyle w:val="TableParagraph"/>
              <w:spacing w:before="51"/>
              <w:ind w:left="6" w:right="10"/>
              <w:jc w:val="center"/>
              <w:rPr>
                <w:sz w:val="20"/>
              </w:rPr>
            </w:pPr>
            <w:r>
              <w:rPr>
                <w:spacing w:val="-5"/>
                <w:sz w:val="20"/>
              </w:rPr>
              <w:t>157</w:t>
            </w:r>
          </w:p>
        </w:tc>
        <w:tc>
          <w:tcPr>
            <w:tcW w:w="581" w:type="dxa"/>
          </w:tcPr>
          <w:p>
            <w:pPr>
              <w:pStyle w:val="TableParagraph"/>
              <w:spacing w:before="51"/>
              <w:ind w:right="158"/>
              <w:jc w:val="right"/>
              <w:rPr>
                <w:sz w:val="20"/>
              </w:rPr>
            </w:pPr>
            <w:r>
              <w:rPr>
                <w:spacing w:val="-5"/>
                <w:sz w:val="20"/>
              </w:rPr>
              <w:t>105</w:t>
            </w:r>
          </w:p>
        </w:tc>
        <w:tc>
          <w:tcPr>
            <w:tcW w:w="859" w:type="dxa"/>
          </w:tcPr>
          <w:p>
            <w:pPr>
              <w:pStyle w:val="TableParagraph"/>
              <w:spacing w:before="51"/>
              <w:ind w:left="1" w:right="65"/>
              <w:jc w:val="center"/>
              <w:rPr>
                <w:sz w:val="20"/>
              </w:rPr>
            </w:pPr>
            <w:r>
              <w:rPr>
                <w:spacing w:val="-2"/>
                <w:sz w:val="20"/>
              </w:rPr>
              <w:t>3.799</w:t>
            </w:r>
          </w:p>
        </w:tc>
        <w:tc>
          <w:tcPr>
            <w:tcW w:w="808" w:type="dxa"/>
          </w:tcPr>
          <w:p>
            <w:pPr>
              <w:pStyle w:val="TableParagraph"/>
              <w:spacing w:before="51"/>
              <w:ind w:right="403"/>
              <w:jc w:val="right"/>
              <w:rPr>
                <w:sz w:val="20"/>
              </w:rPr>
            </w:pPr>
            <w:r>
              <w:rPr>
                <w:spacing w:val="-10"/>
                <w:sz w:val="20"/>
              </w:rPr>
              <w:t>4</w:t>
            </w:r>
          </w:p>
        </w:tc>
        <w:tc>
          <w:tcPr>
            <w:tcW w:w="1745" w:type="dxa"/>
          </w:tcPr>
          <w:p>
            <w:pPr>
              <w:pStyle w:val="TableParagraph"/>
              <w:spacing w:before="51"/>
              <w:ind w:left="1" w:right="90"/>
              <w:jc w:val="center"/>
              <w:rPr>
                <w:sz w:val="20"/>
              </w:rPr>
            </w:pPr>
            <w:r>
              <w:rPr>
                <w:spacing w:val="-2"/>
                <w:sz w:val="20"/>
              </w:rPr>
              <w:t>Effective</w:t>
            </w:r>
          </w:p>
        </w:tc>
      </w:tr>
      <w:tr>
        <w:trPr>
          <w:trHeight w:val="345" w:hRule="atLeast"/>
        </w:trPr>
        <w:tc>
          <w:tcPr>
            <w:tcW w:w="611" w:type="dxa"/>
          </w:tcPr>
          <w:p>
            <w:pPr>
              <w:pStyle w:val="TableParagraph"/>
              <w:spacing w:before="55"/>
              <w:ind w:right="108"/>
              <w:jc w:val="right"/>
              <w:rPr>
                <w:b/>
                <w:sz w:val="20"/>
              </w:rPr>
            </w:pPr>
            <w:r>
              <w:rPr>
                <w:b/>
                <w:spacing w:val="-10"/>
                <w:sz w:val="20"/>
              </w:rPr>
              <w:t>3</w:t>
            </w:r>
          </w:p>
        </w:tc>
        <w:tc>
          <w:tcPr>
            <w:tcW w:w="5557" w:type="dxa"/>
          </w:tcPr>
          <w:p>
            <w:pPr>
              <w:pStyle w:val="TableParagraph"/>
              <w:spacing w:before="51"/>
              <w:ind w:left="106"/>
              <w:rPr>
                <w:sz w:val="20"/>
              </w:rPr>
            </w:pPr>
            <w:r>
              <w:rPr>
                <w:sz w:val="20"/>
              </w:rPr>
              <w:t>Store</w:t>
            </w:r>
            <w:r>
              <w:rPr>
                <w:spacing w:val="-3"/>
                <w:sz w:val="20"/>
              </w:rPr>
              <w:t> </w:t>
            </w:r>
            <w:r>
              <w:rPr>
                <w:sz w:val="20"/>
              </w:rPr>
              <w:t>water</w:t>
            </w:r>
            <w:r>
              <w:rPr>
                <w:spacing w:val="-3"/>
                <w:sz w:val="20"/>
              </w:rPr>
              <w:t> </w:t>
            </w:r>
            <w:r>
              <w:rPr>
                <w:sz w:val="20"/>
              </w:rPr>
              <w:t>in</w:t>
            </w:r>
            <w:r>
              <w:rPr>
                <w:spacing w:val="-6"/>
                <w:sz w:val="20"/>
              </w:rPr>
              <w:t> </w:t>
            </w:r>
            <w:r>
              <w:rPr>
                <w:sz w:val="20"/>
              </w:rPr>
              <w:t>drums</w:t>
            </w:r>
            <w:r>
              <w:rPr>
                <w:spacing w:val="-4"/>
                <w:sz w:val="20"/>
              </w:rPr>
              <w:t> </w:t>
            </w:r>
            <w:r>
              <w:rPr>
                <w:sz w:val="20"/>
              </w:rPr>
              <w:t>(100</w:t>
            </w:r>
            <w:r>
              <w:rPr>
                <w:spacing w:val="-3"/>
                <w:sz w:val="20"/>
              </w:rPr>
              <w:t> </w:t>
            </w:r>
            <w:r>
              <w:rPr>
                <w:sz w:val="20"/>
              </w:rPr>
              <w:t>liters</w:t>
            </w:r>
            <w:r>
              <w:rPr>
                <w:spacing w:val="-5"/>
                <w:sz w:val="20"/>
              </w:rPr>
              <w:t> </w:t>
            </w:r>
            <w:r>
              <w:rPr>
                <w:sz w:val="20"/>
              </w:rPr>
              <w:t>and</w:t>
            </w:r>
            <w:r>
              <w:rPr>
                <w:spacing w:val="-3"/>
                <w:sz w:val="20"/>
              </w:rPr>
              <w:t> </w:t>
            </w:r>
            <w:r>
              <w:rPr>
                <w:spacing w:val="-2"/>
                <w:sz w:val="20"/>
              </w:rPr>
              <w:t>above)</w:t>
            </w:r>
          </w:p>
        </w:tc>
        <w:tc>
          <w:tcPr>
            <w:tcW w:w="696" w:type="dxa"/>
          </w:tcPr>
          <w:p>
            <w:pPr>
              <w:pStyle w:val="TableParagraph"/>
              <w:spacing w:before="51"/>
              <w:ind w:left="384"/>
              <w:rPr>
                <w:sz w:val="20"/>
              </w:rPr>
            </w:pPr>
            <w:r>
              <w:rPr>
                <w:spacing w:val="-10"/>
                <w:sz w:val="20"/>
              </w:rPr>
              <w:t>5</w:t>
            </w:r>
          </w:p>
        </w:tc>
        <w:tc>
          <w:tcPr>
            <w:tcW w:w="510" w:type="dxa"/>
          </w:tcPr>
          <w:p>
            <w:pPr>
              <w:pStyle w:val="TableParagraph"/>
              <w:spacing w:before="51"/>
              <w:ind w:left="2" w:right="2"/>
              <w:jc w:val="center"/>
              <w:rPr>
                <w:sz w:val="20"/>
              </w:rPr>
            </w:pPr>
            <w:r>
              <w:rPr>
                <w:spacing w:val="-5"/>
                <w:sz w:val="20"/>
              </w:rPr>
              <w:t>14</w:t>
            </w:r>
          </w:p>
        </w:tc>
        <w:tc>
          <w:tcPr>
            <w:tcW w:w="548" w:type="dxa"/>
          </w:tcPr>
          <w:p>
            <w:pPr>
              <w:pStyle w:val="TableParagraph"/>
              <w:spacing w:before="51"/>
              <w:ind w:left="3" w:right="4"/>
              <w:jc w:val="center"/>
              <w:rPr>
                <w:sz w:val="20"/>
              </w:rPr>
            </w:pPr>
            <w:r>
              <w:rPr>
                <w:spacing w:val="-5"/>
                <w:sz w:val="20"/>
              </w:rPr>
              <w:t>31</w:t>
            </w:r>
          </w:p>
        </w:tc>
        <w:tc>
          <w:tcPr>
            <w:tcW w:w="546" w:type="dxa"/>
          </w:tcPr>
          <w:p>
            <w:pPr>
              <w:pStyle w:val="TableParagraph"/>
              <w:spacing w:before="51"/>
              <w:ind w:left="7" w:right="10"/>
              <w:jc w:val="center"/>
              <w:rPr>
                <w:sz w:val="20"/>
              </w:rPr>
            </w:pPr>
            <w:r>
              <w:rPr>
                <w:spacing w:val="-5"/>
                <w:sz w:val="20"/>
              </w:rPr>
              <w:t>153</w:t>
            </w:r>
          </w:p>
        </w:tc>
        <w:tc>
          <w:tcPr>
            <w:tcW w:w="581" w:type="dxa"/>
          </w:tcPr>
          <w:p>
            <w:pPr>
              <w:pStyle w:val="TableParagraph"/>
              <w:spacing w:before="51"/>
              <w:ind w:right="158"/>
              <w:jc w:val="right"/>
              <w:rPr>
                <w:sz w:val="20"/>
              </w:rPr>
            </w:pPr>
            <w:r>
              <w:rPr>
                <w:spacing w:val="-5"/>
                <w:sz w:val="20"/>
              </w:rPr>
              <w:t>156</w:t>
            </w:r>
          </w:p>
        </w:tc>
        <w:tc>
          <w:tcPr>
            <w:tcW w:w="859" w:type="dxa"/>
          </w:tcPr>
          <w:p>
            <w:pPr>
              <w:pStyle w:val="TableParagraph"/>
              <w:spacing w:before="51"/>
              <w:ind w:left="1" w:right="65"/>
              <w:jc w:val="center"/>
              <w:rPr>
                <w:sz w:val="20"/>
              </w:rPr>
            </w:pPr>
            <w:r>
              <w:rPr>
                <w:spacing w:val="-2"/>
                <w:sz w:val="20"/>
              </w:rPr>
              <w:t>4.228</w:t>
            </w:r>
          </w:p>
        </w:tc>
        <w:tc>
          <w:tcPr>
            <w:tcW w:w="808" w:type="dxa"/>
          </w:tcPr>
          <w:p>
            <w:pPr>
              <w:pStyle w:val="TableParagraph"/>
              <w:spacing w:before="51"/>
              <w:ind w:right="403"/>
              <w:jc w:val="right"/>
              <w:rPr>
                <w:sz w:val="20"/>
              </w:rPr>
            </w:pPr>
            <w:r>
              <w:rPr>
                <w:spacing w:val="-10"/>
                <w:sz w:val="20"/>
              </w:rPr>
              <w:t>1</w:t>
            </w:r>
          </w:p>
        </w:tc>
        <w:tc>
          <w:tcPr>
            <w:tcW w:w="1745" w:type="dxa"/>
          </w:tcPr>
          <w:p>
            <w:pPr>
              <w:pStyle w:val="TableParagraph"/>
              <w:spacing w:before="51"/>
              <w:ind w:left="1" w:right="90"/>
              <w:jc w:val="center"/>
              <w:rPr>
                <w:sz w:val="20"/>
              </w:rPr>
            </w:pPr>
            <w:r>
              <w:rPr>
                <w:spacing w:val="-2"/>
                <w:sz w:val="20"/>
              </w:rPr>
              <w:t>Effective</w:t>
            </w:r>
          </w:p>
        </w:tc>
      </w:tr>
      <w:tr>
        <w:trPr>
          <w:trHeight w:val="344" w:hRule="atLeast"/>
        </w:trPr>
        <w:tc>
          <w:tcPr>
            <w:tcW w:w="611" w:type="dxa"/>
          </w:tcPr>
          <w:p>
            <w:pPr>
              <w:pStyle w:val="TableParagraph"/>
              <w:spacing w:before="55"/>
              <w:ind w:right="108"/>
              <w:jc w:val="right"/>
              <w:rPr>
                <w:b/>
                <w:sz w:val="20"/>
              </w:rPr>
            </w:pPr>
            <w:r>
              <w:rPr>
                <w:b/>
                <w:spacing w:val="-10"/>
                <w:sz w:val="20"/>
              </w:rPr>
              <w:t>4</w:t>
            </w:r>
          </w:p>
        </w:tc>
        <w:tc>
          <w:tcPr>
            <w:tcW w:w="5557" w:type="dxa"/>
          </w:tcPr>
          <w:p>
            <w:pPr>
              <w:pStyle w:val="TableParagraph"/>
              <w:spacing w:before="51"/>
              <w:ind w:left="106"/>
              <w:rPr>
                <w:sz w:val="20"/>
              </w:rPr>
            </w:pPr>
            <w:r>
              <w:rPr>
                <w:sz w:val="20"/>
              </w:rPr>
              <w:t>Collect</w:t>
            </w:r>
            <w:r>
              <w:rPr>
                <w:spacing w:val="-4"/>
                <w:sz w:val="20"/>
              </w:rPr>
              <w:t> </w:t>
            </w:r>
            <w:r>
              <w:rPr>
                <w:sz w:val="20"/>
              </w:rPr>
              <w:t>water</w:t>
            </w:r>
            <w:r>
              <w:rPr>
                <w:spacing w:val="-5"/>
                <w:sz w:val="20"/>
              </w:rPr>
              <w:t> </w:t>
            </w:r>
            <w:r>
              <w:rPr>
                <w:sz w:val="20"/>
              </w:rPr>
              <w:t>from</w:t>
            </w:r>
            <w:r>
              <w:rPr>
                <w:spacing w:val="-9"/>
                <w:sz w:val="20"/>
              </w:rPr>
              <w:t> </w:t>
            </w:r>
            <w:r>
              <w:rPr>
                <w:sz w:val="20"/>
              </w:rPr>
              <w:t>different</w:t>
            </w:r>
            <w:r>
              <w:rPr>
                <w:spacing w:val="-6"/>
                <w:sz w:val="20"/>
              </w:rPr>
              <w:t> </w:t>
            </w:r>
            <w:r>
              <w:rPr>
                <w:spacing w:val="-2"/>
                <w:sz w:val="20"/>
              </w:rPr>
              <w:t>locations</w:t>
            </w:r>
          </w:p>
        </w:tc>
        <w:tc>
          <w:tcPr>
            <w:tcW w:w="696" w:type="dxa"/>
          </w:tcPr>
          <w:p>
            <w:pPr>
              <w:pStyle w:val="TableParagraph"/>
              <w:spacing w:before="51"/>
              <w:ind w:left="334"/>
              <w:rPr>
                <w:sz w:val="20"/>
              </w:rPr>
            </w:pPr>
            <w:r>
              <w:rPr>
                <w:spacing w:val="-5"/>
                <w:sz w:val="20"/>
              </w:rPr>
              <w:t>14</w:t>
            </w:r>
          </w:p>
        </w:tc>
        <w:tc>
          <w:tcPr>
            <w:tcW w:w="510" w:type="dxa"/>
          </w:tcPr>
          <w:p>
            <w:pPr>
              <w:pStyle w:val="TableParagraph"/>
              <w:spacing w:before="51"/>
              <w:ind w:left="2" w:right="2"/>
              <w:jc w:val="center"/>
              <w:rPr>
                <w:sz w:val="20"/>
              </w:rPr>
            </w:pPr>
            <w:r>
              <w:rPr>
                <w:spacing w:val="-5"/>
                <w:sz w:val="20"/>
              </w:rPr>
              <w:t>39</w:t>
            </w:r>
          </w:p>
        </w:tc>
        <w:tc>
          <w:tcPr>
            <w:tcW w:w="548" w:type="dxa"/>
          </w:tcPr>
          <w:p>
            <w:pPr>
              <w:pStyle w:val="TableParagraph"/>
              <w:spacing w:before="51"/>
              <w:ind w:left="3" w:right="4"/>
              <w:jc w:val="center"/>
              <w:rPr>
                <w:sz w:val="20"/>
              </w:rPr>
            </w:pPr>
            <w:r>
              <w:rPr>
                <w:spacing w:val="-5"/>
                <w:sz w:val="20"/>
              </w:rPr>
              <w:t>211</w:t>
            </w:r>
          </w:p>
        </w:tc>
        <w:tc>
          <w:tcPr>
            <w:tcW w:w="546" w:type="dxa"/>
          </w:tcPr>
          <w:p>
            <w:pPr>
              <w:pStyle w:val="TableParagraph"/>
              <w:spacing w:before="51"/>
              <w:ind w:left="7" w:right="10"/>
              <w:jc w:val="center"/>
              <w:rPr>
                <w:sz w:val="20"/>
              </w:rPr>
            </w:pPr>
            <w:r>
              <w:rPr>
                <w:spacing w:val="-5"/>
                <w:sz w:val="20"/>
              </w:rPr>
              <w:t>60</w:t>
            </w:r>
          </w:p>
        </w:tc>
        <w:tc>
          <w:tcPr>
            <w:tcW w:w="581" w:type="dxa"/>
          </w:tcPr>
          <w:p>
            <w:pPr>
              <w:pStyle w:val="TableParagraph"/>
              <w:spacing w:before="51"/>
              <w:ind w:right="209"/>
              <w:jc w:val="right"/>
              <w:rPr>
                <w:sz w:val="20"/>
              </w:rPr>
            </w:pPr>
            <w:r>
              <w:rPr>
                <w:spacing w:val="-5"/>
                <w:sz w:val="20"/>
              </w:rPr>
              <w:t>35</w:t>
            </w:r>
          </w:p>
        </w:tc>
        <w:tc>
          <w:tcPr>
            <w:tcW w:w="859" w:type="dxa"/>
          </w:tcPr>
          <w:p>
            <w:pPr>
              <w:pStyle w:val="TableParagraph"/>
              <w:spacing w:before="51"/>
              <w:ind w:left="1" w:right="65"/>
              <w:jc w:val="center"/>
              <w:rPr>
                <w:sz w:val="20"/>
              </w:rPr>
            </w:pPr>
            <w:r>
              <w:rPr>
                <w:spacing w:val="-2"/>
                <w:sz w:val="20"/>
              </w:rPr>
              <w:t>3.175</w:t>
            </w:r>
          </w:p>
        </w:tc>
        <w:tc>
          <w:tcPr>
            <w:tcW w:w="808" w:type="dxa"/>
          </w:tcPr>
          <w:p>
            <w:pPr>
              <w:pStyle w:val="TableParagraph"/>
              <w:spacing w:before="51"/>
              <w:ind w:right="403"/>
              <w:jc w:val="right"/>
              <w:rPr>
                <w:sz w:val="20"/>
              </w:rPr>
            </w:pPr>
            <w:r>
              <w:rPr>
                <w:spacing w:val="-10"/>
                <w:sz w:val="20"/>
              </w:rPr>
              <w:t>8</w:t>
            </w:r>
          </w:p>
        </w:tc>
        <w:tc>
          <w:tcPr>
            <w:tcW w:w="1745" w:type="dxa"/>
          </w:tcPr>
          <w:p>
            <w:pPr>
              <w:pStyle w:val="TableParagraph"/>
              <w:spacing w:before="51"/>
              <w:ind w:left="1" w:right="90"/>
              <w:jc w:val="center"/>
              <w:rPr>
                <w:sz w:val="20"/>
              </w:rPr>
            </w:pPr>
            <w:r>
              <w:rPr>
                <w:spacing w:val="-2"/>
                <w:sz w:val="20"/>
              </w:rPr>
              <w:t>Effective</w:t>
            </w:r>
          </w:p>
        </w:tc>
      </w:tr>
      <w:tr>
        <w:trPr>
          <w:trHeight w:val="344" w:hRule="atLeast"/>
        </w:trPr>
        <w:tc>
          <w:tcPr>
            <w:tcW w:w="611" w:type="dxa"/>
          </w:tcPr>
          <w:p>
            <w:pPr>
              <w:pStyle w:val="TableParagraph"/>
              <w:spacing w:before="54"/>
              <w:ind w:right="108"/>
              <w:jc w:val="right"/>
              <w:rPr>
                <w:b/>
                <w:sz w:val="20"/>
              </w:rPr>
            </w:pPr>
            <w:r>
              <w:rPr>
                <w:b/>
                <w:spacing w:val="-10"/>
                <w:sz w:val="20"/>
              </w:rPr>
              <w:t>5</w:t>
            </w:r>
          </w:p>
        </w:tc>
        <w:tc>
          <w:tcPr>
            <w:tcW w:w="5557" w:type="dxa"/>
          </w:tcPr>
          <w:p>
            <w:pPr>
              <w:pStyle w:val="TableParagraph"/>
              <w:spacing w:before="49"/>
              <w:ind w:left="106"/>
              <w:rPr>
                <w:sz w:val="20"/>
              </w:rPr>
            </w:pPr>
            <w:r>
              <w:rPr>
                <w:sz w:val="20"/>
              </w:rPr>
              <w:t>Buy</w:t>
            </w:r>
            <w:r>
              <w:rPr>
                <w:spacing w:val="-9"/>
                <w:sz w:val="20"/>
              </w:rPr>
              <w:t> </w:t>
            </w:r>
            <w:r>
              <w:rPr>
                <w:sz w:val="20"/>
              </w:rPr>
              <w:t>/purchase</w:t>
            </w:r>
            <w:r>
              <w:rPr>
                <w:spacing w:val="-4"/>
                <w:sz w:val="20"/>
              </w:rPr>
              <w:t> </w:t>
            </w:r>
            <w:r>
              <w:rPr>
                <w:sz w:val="20"/>
              </w:rPr>
              <w:t>water</w:t>
            </w:r>
            <w:r>
              <w:rPr>
                <w:spacing w:val="-3"/>
                <w:sz w:val="20"/>
              </w:rPr>
              <w:t> </w:t>
            </w:r>
            <w:r>
              <w:rPr>
                <w:sz w:val="20"/>
              </w:rPr>
              <w:t>from</w:t>
            </w:r>
            <w:r>
              <w:rPr>
                <w:spacing w:val="-9"/>
                <w:sz w:val="20"/>
              </w:rPr>
              <w:t> </w:t>
            </w:r>
            <w:r>
              <w:rPr>
                <w:spacing w:val="-2"/>
                <w:sz w:val="20"/>
              </w:rPr>
              <w:t>vendors</w:t>
            </w:r>
          </w:p>
        </w:tc>
        <w:tc>
          <w:tcPr>
            <w:tcW w:w="696" w:type="dxa"/>
          </w:tcPr>
          <w:p>
            <w:pPr>
              <w:pStyle w:val="TableParagraph"/>
              <w:spacing w:before="49"/>
              <w:ind w:left="334"/>
              <w:rPr>
                <w:sz w:val="20"/>
              </w:rPr>
            </w:pPr>
            <w:r>
              <w:rPr>
                <w:spacing w:val="-5"/>
                <w:sz w:val="20"/>
              </w:rPr>
              <w:t>15</w:t>
            </w:r>
          </w:p>
        </w:tc>
        <w:tc>
          <w:tcPr>
            <w:tcW w:w="510" w:type="dxa"/>
          </w:tcPr>
          <w:p>
            <w:pPr>
              <w:pStyle w:val="TableParagraph"/>
              <w:spacing w:before="49"/>
              <w:ind w:left="2" w:right="2"/>
              <w:jc w:val="center"/>
              <w:rPr>
                <w:sz w:val="20"/>
              </w:rPr>
            </w:pPr>
            <w:r>
              <w:rPr>
                <w:spacing w:val="-5"/>
                <w:sz w:val="20"/>
              </w:rPr>
              <w:t>36</w:t>
            </w:r>
          </w:p>
        </w:tc>
        <w:tc>
          <w:tcPr>
            <w:tcW w:w="548" w:type="dxa"/>
          </w:tcPr>
          <w:p>
            <w:pPr>
              <w:pStyle w:val="TableParagraph"/>
              <w:spacing w:before="49"/>
              <w:ind w:left="3" w:right="4"/>
              <w:jc w:val="center"/>
              <w:rPr>
                <w:sz w:val="20"/>
              </w:rPr>
            </w:pPr>
            <w:r>
              <w:rPr>
                <w:spacing w:val="-5"/>
                <w:sz w:val="20"/>
              </w:rPr>
              <w:t>64</w:t>
            </w:r>
          </w:p>
        </w:tc>
        <w:tc>
          <w:tcPr>
            <w:tcW w:w="546" w:type="dxa"/>
          </w:tcPr>
          <w:p>
            <w:pPr>
              <w:pStyle w:val="TableParagraph"/>
              <w:spacing w:before="49"/>
              <w:ind w:left="7" w:right="10"/>
              <w:jc w:val="center"/>
              <w:rPr>
                <w:sz w:val="20"/>
              </w:rPr>
            </w:pPr>
            <w:r>
              <w:rPr>
                <w:spacing w:val="-5"/>
                <w:sz w:val="20"/>
              </w:rPr>
              <w:t>166</w:t>
            </w:r>
          </w:p>
        </w:tc>
        <w:tc>
          <w:tcPr>
            <w:tcW w:w="581" w:type="dxa"/>
          </w:tcPr>
          <w:p>
            <w:pPr>
              <w:pStyle w:val="TableParagraph"/>
              <w:spacing w:before="49"/>
              <w:ind w:right="209"/>
              <w:jc w:val="right"/>
              <w:rPr>
                <w:sz w:val="20"/>
              </w:rPr>
            </w:pPr>
            <w:r>
              <w:rPr>
                <w:spacing w:val="-5"/>
                <w:sz w:val="20"/>
              </w:rPr>
              <w:t>78</w:t>
            </w:r>
          </w:p>
        </w:tc>
        <w:tc>
          <w:tcPr>
            <w:tcW w:w="859" w:type="dxa"/>
          </w:tcPr>
          <w:p>
            <w:pPr>
              <w:pStyle w:val="TableParagraph"/>
              <w:spacing w:before="49"/>
              <w:ind w:left="1" w:right="65"/>
              <w:jc w:val="center"/>
              <w:rPr>
                <w:sz w:val="20"/>
              </w:rPr>
            </w:pPr>
            <w:r>
              <w:rPr>
                <w:spacing w:val="-2"/>
                <w:sz w:val="20"/>
              </w:rPr>
              <w:t>3.713</w:t>
            </w:r>
          </w:p>
        </w:tc>
        <w:tc>
          <w:tcPr>
            <w:tcW w:w="808" w:type="dxa"/>
          </w:tcPr>
          <w:p>
            <w:pPr>
              <w:pStyle w:val="TableParagraph"/>
              <w:spacing w:before="49"/>
              <w:ind w:right="403"/>
              <w:jc w:val="right"/>
              <w:rPr>
                <w:sz w:val="20"/>
              </w:rPr>
            </w:pPr>
            <w:r>
              <w:rPr>
                <w:spacing w:val="-10"/>
                <w:sz w:val="20"/>
              </w:rPr>
              <w:t>6</w:t>
            </w:r>
          </w:p>
        </w:tc>
        <w:tc>
          <w:tcPr>
            <w:tcW w:w="1745" w:type="dxa"/>
          </w:tcPr>
          <w:p>
            <w:pPr>
              <w:pStyle w:val="TableParagraph"/>
              <w:spacing w:before="49"/>
              <w:ind w:left="1" w:right="90"/>
              <w:jc w:val="center"/>
              <w:rPr>
                <w:sz w:val="20"/>
              </w:rPr>
            </w:pPr>
            <w:r>
              <w:rPr>
                <w:spacing w:val="-2"/>
                <w:sz w:val="20"/>
              </w:rPr>
              <w:t>Effective</w:t>
            </w:r>
          </w:p>
        </w:tc>
      </w:tr>
      <w:tr>
        <w:trPr>
          <w:trHeight w:val="345" w:hRule="atLeast"/>
        </w:trPr>
        <w:tc>
          <w:tcPr>
            <w:tcW w:w="611" w:type="dxa"/>
          </w:tcPr>
          <w:p>
            <w:pPr>
              <w:pStyle w:val="TableParagraph"/>
              <w:spacing w:before="56"/>
              <w:ind w:right="108"/>
              <w:jc w:val="right"/>
              <w:rPr>
                <w:b/>
                <w:sz w:val="20"/>
              </w:rPr>
            </w:pPr>
            <w:r>
              <w:rPr>
                <w:b/>
                <w:spacing w:val="-10"/>
                <w:sz w:val="20"/>
              </w:rPr>
              <w:t>6</w:t>
            </w:r>
          </w:p>
        </w:tc>
        <w:tc>
          <w:tcPr>
            <w:tcW w:w="5557" w:type="dxa"/>
          </w:tcPr>
          <w:p>
            <w:pPr>
              <w:pStyle w:val="TableParagraph"/>
              <w:spacing w:before="51"/>
              <w:ind w:left="106"/>
              <w:rPr>
                <w:sz w:val="20"/>
              </w:rPr>
            </w:pPr>
            <w:r>
              <w:rPr>
                <w:sz w:val="20"/>
              </w:rPr>
              <w:t>Water</w:t>
            </w:r>
            <w:r>
              <w:rPr>
                <w:spacing w:val="-5"/>
                <w:sz w:val="20"/>
              </w:rPr>
              <w:t> </w:t>
            </w:r>
            <w:r>
              <w:rPr>
                <w:sz w:val="20"/>
              </w:rPr>
              <w:t>treatment</w:t>
            </w:r>
            <w:r>
              <w:rPr>
                <w:spacing w:val="-5"/>
                <w:sz w:val="20"/>
              </w:rPr>
              <w:t> </w:t>
            </w:r>
            <w:r>
              <w:rPr>
                <w:sz w:val="20"/>
              </w:rPr>
              <w:t>by</w:t>
            </w:r>
            <w:r>
              <w:rPr>
                <w:spacing w:val="-9"/>
                <w:sz w:val="20"/>
              </w:rPr>
              <w:t> </w:t>
            </w:r>
            <w:r>
              <w:rPr>
                <w:spacing w:val="-2"/>
                <w:sz w:val="20"/>
              </w:rPr>
              <w:t>Filtration</w:t>
            </w:r>
          </w:p>
        </w:tc>
        <w:tc>
          <w:tcPr>
            <w:tcW w:w="696" w:type="dxa"/>
          </w:tcPr>
          <w:p>
            <w:pPr>
              <w:pStyle w:val="TableParagraph"/>
              <w:spacing w:before="51"/>
              <w:ind w:left="334"/>
              <w:rPr>
                <w:sz w:val="20"/>
              </w:rPr>
            </w:pPr>
            <w:r>
              <w:rPr>
                <w:spacing w:val="-5"/>
                <w:sz w:val="20"/>
              </w:rPr>
              <w:t>22</w:t>
            </w:r>
          </w:p>
        </w:tc>
        <w:tc>
          <w:tcPr>
            <w:tcW w:w="510" w:type="dxa"/>
          </w:tcPr>
          <w:p>
            <w:pPr>
              <w:pStyle w:val="TableParagraph"/>
              <w:spacing w:before="51"/>
              <w:ind w:left="2" w:right="2"/>
              <w:jc w:val="center"/>
              <w:rPr>
                <w:sz w:val="20"/>
              </w:rPr>
            </w:pPr>
            <w:r>
              <w:rPr>
                <w:spacing w:val="-5"/>
                <w:sz w:val="20"/>
              </w:rPr>
              <w:t>47</w:t>
            </w:r>
          </w:p>
        </w:tc>
        <w:tc>
          <w:tcPr>
            <w:tcW w:w="548" w:type="dxa"/>
          </w:tcPr>
          <w:p>
            <w:pPr>
              <w:pStyle w:val="TableParagraph"/>
              <w:spacing w:before="51"/>
              <w:ind w:left="3" w:right="4"/>
              <w:jc w:val="center"/>
              <w:rPr>
                <w:sz w:val="20"/>
              </w:rPr>
            </w:pPr>
            <w:r>
              <w:rPr>
                <w:spacing w:val="-5"/>
                <w:sz w:val="20"/>
              </w:rPr>
              <w:t>244</w:t>
            </w:r>
          </w:p>
        </w:tc>
        <w:tc>
          <w:tcPr>
            <w:tcW w:w="546" w:type="dxa"/>
          </w:tcPr>
          <w:p>
            <w:pPr>
              <w:pStyle w:val="TableParagraph"/>
              <w:spacing w:before="51"/>
              <w:ind w:left="7" w:right="10"/>
              <w:jc w:val="center"/>
              <w:rPr>
                <w:sz w:val="20"/>
              </w:rPr>
            </w:pPr>
            <w:r>
              <w:rPr>
                <w:spacing w:val="-5"/>
                <w:sz w:val="20"/>
              </w:rPr>
              <w:t>24</w:t>
            </w:r>
          </w:p>
        </w:tc>
        <w:tc>
          <w:tcPr>
            <w:tcW w:w="581" w:type="dxa"/>
          </w:tcPr>
          <w:p>
            <w:pPr>
              <w:pStyle w:val="TableParagraph"/>
              <w:spacing w:before="51"/>
              <w:ind w:right="209"/>
              <w:jc w:val="right"/>
              <w:rPr>
                <w:sz w:val="20"/>
              </w:rPr>
            </w:pPr>
            <w:r>
              <w:rPr>
                <w:spacing w:val="-5"/>
                <w:sz w:val="20"/>
              </w:rPr>
              <w:t>22</w:t>
            </w:r>
          </w:p>
        </w:tc>
        <w:tc>
          <w:tcPr>
            <w:tcW w:w="859" w:type="dxa"/>
          </w:tcPr>
          <w:p>
            <w:pPr>
              <w:pStyle w:val="TableParagraph"/>
              <w:spacing w:before="51"/>
              <w:ind w:left="1" w:right="65"/>
              <w:jc w:val="center"/>
              <w:rPr>
                <w:sz w:val="20"/>
              </w:rPr>
            </w:pPr>
            <w:r>
              <w:rPr>
                <w:spacing w:val="-2"/>
                <w:sz w:val="20"/>
              </w:rPr>
              <w:t>2.936</w:t>
            </w:r>
          </w:p>
        </w:tc>
        <w:tc>
          <w:tcPr>
            <w:tcW w:w="808" w:type="dxa"/>
          </w:tcPr>
          <w:p>
            <w:pPr>
              <w:pStyle w:val="TableParagraph"/>
              <w:spacing w:before="51"/>
              <w:ind w:right="349"/>
              <w:jc w:val="right"/>
              <w:rPr>
                <w:sz w:val="20"/>
              </w:rPr>
            </w:pPr>
            <w:r>
              <w:rPr>
                <w:spacing w:val="-5"/>
                <w:sz w:val="20"/>
              </w:rPr>
              <w:t>12</w:t>
            </w:r>
          </w:p>
        </w:tc>
        <w:tc>
          <w:tcPr>
            <w:tcW w:w="1745" w:type="dxa"/>
          </w:tcPr>
          <w:p>
            <w:pPr>
              <w:pStyle w:val="TableParagraph"/>
              <w:spacing w:before="51"/>
              <w:ind w:right="90"/>
              <w:jc w:val="center"/>
              <w:rPr>
                <w:sz w:val="20"/>
              </w:rPr>
            </w:pPr>
            <w:r>
              <w:rPr>
                <w:sz w:val="20"/>
              </w:rPr>
              <w:t>Not</w:t>
            </w:r>
            <w:r>
              <w:rPr>
                <w:spacing w:val="-5"/>
                <w:sz w:val="20"/>
              </w:rPr>
              <w:t> </w:t>
            </w:r>
            <w:r>
              <w:rPr>
                <w:spacing w:val="-2"/>
                <w:sz w:val="20"/>
              </w:rPr>
              <w:t>Effective</w:t>
            </w:r>
          </w:p>
        </w:tc>
      </w:tr>
      <w:tr>
        <w:trPr>
          <w:trHeight w:val="344" w:hRule="atLeast"/>
        </w:trPr>
        <w:tc>
          <w:tcPr>
            <w:tcW w:w="611" w:type="dxa"/>
          </w:tcPr>
          <w:p>
            <w:pPr>
              <w:pStyle w:val="TableParagraph"/>
              <w:spacing w:before="55"/>
              <w:ind w:right="108"/>
              <w:jc w:val="right"/>
              <w:rPr>
                <w:b/>
                <w:sz w:val="20"/>
              </w:rPr>
            </w:pPr>
            <w:r>
              <w:rPr>
                <w:b/>
                <w:spacing w:val="-10"/>
                <w:sz w:val="20"/>
              </w:rPr>
              <w:t>7</w:t>
            </w:r>
          </w:p>
        </w:tc>
        <w:tc>
          <w:tcPr>
            <w:tcW w:w="5557" w:type="dxa"/>
          </w:tcPr>
          <w:p>
            <w:pPr>
              <w:pStyle w:val="TableParagraph"/>
              <w:spacing w:before="51"/>
              <w:ind w:left="106"/>
              <w:rPr>
                <w:sz w:val="20"/>
              </w:rPr>
            </w:pPr>
            <w:r>
              <w:rPr>
                <w:sz w:val="20"/>
              </w:rPr>
              <w:t>Water</w:t>
            </w:r>
            <w:r>
              <w:rPr>
                <w:spacing w:val="-5"/>
                <w:sz w:val="20"/>
              </w:rPr>
              <w:t> </w:t>
            </w:r>
            <w:r>
              <w:rPr>
                <w:sz w:val="20"/>
              </w:rPr>
              <w:t>treatment</w:t>
            </w:r>
            <w:r>
              <w:rPr>
                <w:spacing w:val="-5"/>
                <w:sz w:val="20"/>
              </w:rPr>
              <w:t> </w:t>
            </w:r>
            <w:r>
              <w:rPr>
                <w:sz w:val="20"/>
              </w:rPr>
              <w:t>by</w:t>
            </w:r>
            <w:r>
              <w:rPr>
                <w:spacing w:val="-9"/>
                <w:sz w:val="20"/>
              </w:rPr>
              <w:t> </w:t>
            </w:r>
            <w:r>
              <w:rPr>
                <w:spacing w:val="-2"/>
                <w:sz w:val="20"/>
              </w:rPr>
              <w:t>Boiling</w:t>
            </w:r>
          </w:p>
        </w:tc>
        <w:tc>
          <w:tcPr>
            <w:tcW w:w="696" w:type="dxa"/>
          </w:tcPr>
          <w:p>
            <w:pPr>
              <w:pStyle w:val="TableParagraph"/>
              <w:spacing w:before="51"/>
              <w:ind w:left="334"/>
              <w:rPr>
                <w:sz w:val="20"/>
              </w:rPr>
            </w:pPr>
            <w:r>
              <w:rPr>
                <w:spacing w:val="-5"/>
                <w:sz w:val="20"/>
              </w:rPr>
              <w:t>25</w:t>
            </w:r>
          </w:p>
        </w:tc>
        <w:tc>
          <w:tcPr>
            <w:tcW w:w="510" w:type="dxa"/>
          </w:tcPr>
          <w:p>
            <w:pPr>
              <w:pStyle w:val="TableParagraph"/>
              <w:spacing w:before="51"/>
              <w:ind w:left="2" w:right="2"/>
              <w:jc w:val="center"/>
              <w:rPr>
                <w:sz w:val="20"/>
              </w:rPr>
            </w:pPr>
            <w:r>
              <w:rPr>
                <w:spacing w:val="-5"/>
                <w:sz w:val="20"/>
              </w:rPr>
              <w:t>44</w:t>
            </w:r>
          </w:p>
        </w:tc>
        <w:tc>
          <w:tcPr>
            <w:tcW w:w="548" w:type="dxa"/>
          </w:tcPr>
          <w:p>
            <w:pPr>
              <w:pStyle w:val="TableParagraph"/>
              <w:spacing w:before="51"/>
              <w:ind w:left="3" w:right="4"/>
              <w:jc w:val="center"/>
              <w:rPr>
                <w:sz w:val="20"/>
              </w:rPr>
            </w:pPr>
            <w:r>
              <w:rPr>
                <w:spacing w:val="-5"/>
                <w:sz w:val="20"/>
              </w:rPr>
              <w:t>251</w:t>
            </w:r>
          </w:p>
        </w:tc>
        <w:tc>
          <w:tcPr>
            <w:tcW w:w="546" w:type="dxa"/>
          </w:tcPr>
          <w:p>
            <w:pPr>
              <w:pStyle w:val="TableParagraph"/>
              <w:spacing w:before="51"/>
              <w:ind w:left="7" w:right="10"/>
              <w:jc w:val="center"/>
              <w:rPr>
                <w:sz w:val="20"/>
              </w:rPr>
            </w:pPr>
            <w:r>
              <w:rPr>
                <w:spacing w:val="-5"/>
                <w:sz w:val="20"/>
              </w:rPr>
              <w:t>14</w:t>
            </w:r>
          </w:p>
        </w:tc>
        <w:tc>
          <w:tcPr>
            <w:tcW w:w="581" w:type="dxa"/>
          </w:tcPr>
          <w:p>
            <w:pPr>
              <w:pStyle w:val="TableParagraph"/>
              <w:spacing w:before="51"/>
              <w:ind w:right="209"/>
              <w:jc w:val="right"/>
              <w:rPr>
                <w:sz w:val="20"/>
              </w:rPr>
            </w:pPr>
            <w:r>
              <w:rPr>
                <w:spacing w:val="-5"/>
                <w:sz w:val="20"/>
              </w:rPr>
              <w:t>25</w:t>
            </w:r>
          </w:p>
        </w:tc>
        <w:tc>
          <w:tcPr>
            <w:tcW w:w="859" w:type="dxa"/>
          </w:tcPr>
          <w:p>
            <w:pPr>
              <w:pStyle w:val="TableParagraph"/>
              <w:spacing w:before="51"/>
              <w:ind w:left="1" w:right="65"/>
              <w:jc w:val="center"/>
              <w:rPr>
                <w:sz w:val="20"/>
              </w:rPr>
            </w:pPr>
            <w:r>
              <w:rPr>
                <w:spacing w:val="-2"/>
                <w:sz w:val="20"/>
              </w:rPr>
              <w:t>2.916</w:t>
            </w:r>
          </w:p>
        </w:tc>
        <w:tc>
          <w:tcPr>
            <w:tcW w:w="808" w:type="dxa"/>
          </w:tcPr>
          <w:p>
            <w:pPr>
              <w:pStyle w:val="TableParagraph"/>
              <w:spacing w:before="51"/>
              <w:ind w:right="349"/>
              <w:jc w:val="right"/>
              <w:rPr>
                <w:sz w:val="20"/>
              </w:rPr>
            </w:pPr>
            <w:r>
              <w:rPr>
                <w:spacing w:val="-5"/>
                <w:sz w:val="20"/>
              </w:rPr>
              <w:t>16</w:t>
            </w:r>
          </w:p>
        </w:tc>
        <w:tc>
          <w:tcPr>
            <w:tcW w:w="1745" w:type="dxa"/>
          </w:tcPr>
          <w:p>
            <w:pPr>
              <w:pStyle w:val="TableParagraph"/>
              <w:spacing w:before="51"/>
              <w:ind w:right="90"/>
              <w:jc w:val="center"/>
              <w:rPr>
                <w:sz w:val="20"/>
              </w:rPr>
            </w:pPr>
            <w:r>
              <w:rPr>
                <w:sz w:val="20"/>
              </w:rPr>
              <w:t>Not</w:t>
            </w:r>
            <w:r>
              <w:rPr>
                <w:spacing w:val="-5"/>
                <w:sz w:val="20"/>
              </w:rPr>
              <w:t> </w:t>
            </w:r>
            <w:r>
              <w:rPr>
                <w:spacing w:val="-2"/>
                <w:sz w:val="20"/>
              </w:rPr>
              <w:t>Effective</w:t>
            </w:r>
          </w:p>
        </w:tc>
      </w:tr>
      <w:tr>
        <w:trPr>
          <w:trHeight w:val="344" w:hRule="atLeast"/>
        </w:trPr>
        <w:tc>
          <w:tcPr>
            <w:tcW w:w="611" w:type="dxa"/>
          </w:tcPr>
          <w:p>
            <w:pPr>
              <w:pStyle w:val="TableParagraph"/>
              <w:spacing w:before="54"/>
              <w:ind w:right="108"/>
              <w:jc w:val="right"/>
              <w:rPr>
                <w:b/>
                <w:sz w:val="20"/>
              </w:rPr>
            </w:pPr>
            <w:r>
              <w:rPr>
                <w:b/>
                <w:spacing w:val="-10"/>
                <w:sz w:val="20"/>
              </w:rPr>
              <w:t>8</w:t>
            </w:r>
          </w:p>
        </w:tc>
        <w:tc>
          <w:tcPr>
            <w:tcW w:w="5557" w:type="dxa"/>
          </w:tcPr>
          <w:p>
            <w:pPr>
              <w:pStyle w:val="TableParagraph"/>
              <w:spacing w:before="49"/>
              <w:ind w:left="106"/>
              <w:rPr>
                <w:sz w:val="20"/>
              </w:rPr>
            </w:pPr>
            <w:r>
              <w:rPr>
                <w:sz w:val="20"/>
              </w:rPr>
              <w:t>Water</w:t>
            </w:r>
            <w:r>
              <w:rPr>
                <w:spacing w:val="-4"/>
                <w:sz w:val="20"/>
              </w:rPr>
              <w:t> </w:t>
            </w:r>
            <w:r>
              <w:rPr>
                <w:sz w:val="20"/>
              </w:rPr>
              <w:t>treatment</w:t>
            </w:r>
            <w:r>
              <w:rPr>
                <w:spacing w:val="-6"/>
                <w:sz w:val="20"/>
              </w:rPr>
              <w:t> </w:t>
            </w:r>
            <w:r>
              <w:rPr>
                <w:sz w:val="20"/>
              </w:rPr>
              <w:t>by</w:t>
            </w:r>
            <w:r>
              <w:rPr>
                <w:spacing w:val="-8"/>
                <w:sz w:val="20"/>
              </w:rPr>
              <w:t> </w:t>
            </w:r>
            <w:r>
              <w:rPr>
                <w:sz w:val="20"/>
              </w:rPr>
              <w:t>adding</w:t>
            </w:r>
            <w:r>
              <w:rPr>
                <w:spacing w:val="-3"/>
                <w:sz w:val="20"/>
              </w:rPr>
              <w:t> </w:t>
            </w:r>
            <w:r>
              <w:rPr>
                <w:spacing w:val="-2"/>
                <w:sz w:val="20"/>
              </w:rPr>
              <w:t>Alum/Chlorine</w:t>
            </w:r>
          </w:p>
        </w:tc>
        <w:tc>
          <w:tcPr>
            <w:tcW w:w="696" w:type="dxa"/>
          </w:tcPr>
          <w:p>
            <w:pPr>
              <w:pStyle w:val="TableParagraph"/>
              <w:spacing w:before="49"/>
              <w:ind w:left="334"/>
              <w:rPr>
                <w:sz w:val="20"/>
              </w:rPr>
            </w:pPr>
            <w:r>
              <w:rPr>
                <w:spacing w:val="-5"/>
                <w:sz w:val="20"/>
              </w:rPr>
              <w:t>22</w:t>
            </w:r>
          </w:p>
        </w:tc>
        <w:tc>
          <w:tcPr>
            <w:tcW w:w="510" w:type="dxa"/>
          </w:tcPr>
          <w:p>
            <w:pPr>
              <w:pStyle w:val="TableParagraph"/>
              <w:spacing w:before="49"/>
              <w:ind w:left="2" w:right="2"/>
              <w:jc w:val="center"/>
              <w:rPr>
                <w:sz w:val="20"/>
              </w:rPr>
            </w:pPr>
            <w:r>
              <w:rPr>
                <w:spacing w:val="-5"/>
                <w:sz w:val="20"/>
              </w:rPr>
              <w:t>67</w:t>
            </w:r>
          </w:p>
        </w:tc>
        <w:tc>
          <w:tcPr>
            <w:tcW w:w="548" w:type="dxa"/>
          </w:tcPr>
          <w:p>
            <w:pPr>
              <w:pStyle w:val="TableParagraph"/>
              <w:spacing w:before="49"/>
              <w:ind w:left="3" w:right="4"/>
              <w:jc w:val="center"/>
              <w:rPr>
                <w:sz w:val="20"/>
              </w:rPr>
            </w:pPr>
            <w:r>
              <w:rPr>
                <w:spacing w:val="-5"/>
                <w:sz w:val="20"/>
              </w:rPr>
              <w:t>218</w:t>
            </w:r>
          </w:p>
        </w:tc>
        <w:tc>
          <w:tcPr>
            <w:tcW w:w="546" w:type="dxa"/>
          </w:tcPr>
          <w:p>
            <w:pPr>
              <w:pStyle w:val="TableParagraph"/>
              <w:spacing w:before="49"/>
              <w:ind w:left="7" w:right="10"/>
              <w:jc w:val="center"/>
              <w:rPr>
                <w:sz w:val="20"/>
              </w:rPr>
            </w:pPr>
            <w:r>
              <w:rPr>
                <w:spacing w:val="-5"/>
                <w:sz w:val="20"/>
              </w:rPr>
              <w:t>32</w:t>
            </w:r>
          </w:p>
        </w:tc>
        <w:tc>
          <w:tcPr>
            <w:tcW w:w="581" w:type="dxa"/>
          </w:tcPr>
          <w:p>
            <w:pPr>
              <w:pStyle w:val="TableParagraph"/>
              <w:spacing w:before="49"/>
              <w:ind w:right="209"/>
              <w:jc w:val="right"/>
              <w:rPr>
                <w:sz w:val="20"/>
              </w:rPr>
            </w:pPr>
            <w:r>
              <w:rPr>
                <w:spacing w:val="-5"/>
                <w:sz w:val="20"/>
              </w:rPr>
              <w:t>20</w:t>
            </w:r>
          </w:p>
        </w:tc>
        <w:tc>
          <w:tcPr>
            <w:tcW w:w="859" w:type="dxa"/>
          </w:tcPr>
          <w:p>
            <w:pPr>
              <w:pStyle w:val="TableParagraph"/>
              <w:spacing w:before="49"/>
              <w:ind w:left="1" w:right="65"/>
              <w:jc w:val="center"/>
              <w:rPr>
                <w:sz w:val="20"/>
              </w:rPr>
            </w:pPr>
            <w:r>
              <w:rPr>
                <w:spacing w:val="-2"/>
                <w:sz w:val="20"/>
              </w:rPr>
              <w:t>2.891</w:t>
            </w:r>
          </w:p>
        </w:tc>
        <w:tc>
          <w:tcPr>
            <w:tcW w:w="808" w:type="dxa"/>
          </w:tcPr>
          <w:p>
            <w:pPr>
              <w:pStyle w:val="TableParagraph"/>
              <w:spacing w:before="49"/>
              <w:ind w:right="349"/>
              <w:jc w:val="right"/>
              <w:rPr>
                <w:sz w:val="20"/>
              </w:rPr>
            </w:pPr>
            <w:r>
              <w:rPr>
                <w:spacing w:val="-5"/>
                <w:sz w:val="20"/>
              </w:rPr>
              <w:t>18</w:t>
            </w:r>
          </w:p>
        </w:tc>
        <w:tc>
          <w:tcPr>
            <w:tcW w:w="1745" w:type="dxa"/>
          </w:tcPr>
          <w:p>
            <w:pPr>
              <w:pStyle w:val="TableParagraph"/>
              <w:spacing w:before="49"/>
              <w:ind w:right="90"/>
              <w:jc w:val="center"/>
              <w:rPr>
                <w:sz w:val="20"/>
              </w:rPr>
            </w:pPr>
            <w:r>
              <w:rPr>
                <w:sz w:val="20"/>
              </w:rPr>
              <w:t>Not</w:t>
            </w:r>
            <w:r>
              <w:rPr>
                <w:spacing w:val="-5"/>
                <w:sz w:val="20"/>
              </w:rPr>
              <w:t> </w:t>
            </w:r>
            <w:r>
              <w:rPr>
                <w:spacing w:val="-2"/>
                <w:sz w:val="20"/>
              </w:rPr>
              <w:t>Effective</w:t>
            </w:r>
          </w:p>
        </w:tc>
      </w:tr>
      <w:tr>
        <w:trPr>
          <w:trHeight w:val="345" w:hRule="atLeast"/>
        </w:trPr>
        <w:tc>
          <w:tcPr>
            <w:tcW w:w="611" w:type="dxa"/>
          </w:tcPr>
          <w:p>
            <w:pPr>
              <w:pStyle w:val="TableParagraph"/>
              <w:spacing w:before="55"/>
              <w:ind w:right="108"/>
              <w:jc w:val="right"/>
              <w:rPr>
                <w:b/>
                <w:sz w:val="20"/>
              </w:rPr>
            </w:pPr>
            <w:r>
              <w:rPr>
                <w:b/>
                <w:spacing w:val="-10"/>
                <w:sz w:val="20"/>
              </w:rPr>
              <w:t>9</w:t>
            </w:r>
          </w:p>
        </w:tc>
        <w:tc>
          <w:tcPr>
            <w:tcW w:w="5557" w:type="dxa"/>
          </w:tcPr>
          <w:p>
            <w:pPr>
              <w:pStyle w:val="TableParagraph"/>
              <w:spacing w:before="51"/>
              <w:ind w:left="106"/>
              <w:rPr>
                <w:sz w:val="20"/>
              </w:rPr>
            </w:pPr>
            <w:r>
              <w:rPr>
                <w:sz w:val="20"/>
              </w:rPr>
              <w:t>Rescheduling</w:t>
            </w:r>
            <w:r>
              <w:rPr>
                <w:spacing w:val="-6"/>
                <w:sz w:val="20"/>
              </w:rPr>
              <w:t> </w:t>
            </w:r>
            <w:r>
              <w:rPr>
                <w:sz w:val="20"/>
              </w:rPr>
              <w:t>of</w:t>
            </w:r>
            <w:r>
              <w:rPr>
                <w:spacing w:val="-7"/>
                <w:sz w:val="20"/>
              </w:rPr>
              <w:t> </w:t>
            </w:r>
            <w:r>
              <w:rPr>
                <w:sz w:val="20"/>
              </w:rPr>
              <w:t>household</w:t>
            </w:r>
            <w:r>
              <w:rPr>
                <w:spacing w:val="-4"/>
                <w:sz w:val="20"/>
              </w:rPr>
              <w:t> </w:t>
            </w:r>
            <w:r>
              <w:rPr>
                <w:sz w:val="20"/>
              </w:rPr>
              <w:t>activities</w:t>
            </w:r>
            <w:r>
              <w:rPr>
                <w:spacing w:val="-6"/>
                <w:sz w:val="20"/>
              </w:rPr>
              <w:t> </w:t>
            </w:r>
            <w:r>
              <w:rPr>
                <w:sz w:val="20"/>
              </w:rPr>
              <w:t>till</w:t>
            </w:r>
            <w:r>
              <w:rPr>
                <w:spacing w:val="-5"/>
                <w:sz w:val="20"/>
              </w:rPr>
              <w:t> </w:t>
            </w:r>
            <w:r>
              <w:rPr>
                <w:sz w:val="20"/>
              </w:rPr>
              <w:t>when</w:t>
            </w:r>
            <w:r>
              <w:rPr>
                <w:spacing w:val="-4"/>
                <w:sz w:val="20"/>
              </w:rPr>
              <w:t> </w:t>
            </w:r>
            <w:r>
              <w:rPr>
                <w:sz w:val="20"/>
              </w:rPr>
              <w:t>water</w:t>
            </w:r>
            <w:r>
              <w:rPr>
                <w:spacing w:val="-4"/>
                <w:sz w:val="20"/>
              </w:rPr>
              <w:t> </w:t>
            </w:r>
            <w:r>
              <w:rPr>
                <w:sz w:val="20"/>
              </w:rPr>
              <w:t>is</w:t>
            </w:r>
            <w:r>
              <w:rPr>
                <w:spacing w:val="-6"/>
                <w:sz w:val="20"/>
              </w:rPr>
              <w:t> </w:t>
            </w:r>
            <w:r>
              <w:rPr>
                <w:spacing w:val="-2"/>
                <w:sz w:val="20"/>
              </w:rPr>
              <w:t>available</w:t>
            </w:r>
          </w:p>
        </w:tc>
        <w:tc>
          <w:tcPr>
            <w:tcW w:w="696" w:type="dxa"/>
          </w:tcPr>
          <w:p>
            <w:pPr>
              <w:pStyle w:val="TableParagraph"/>
              <w:spacing w:before="51"/>
              <w:ind w:left="334"/>
              <w:rPr>
                <w:sz w:val="20"/>
              </w:rPr>
            </w:pPr>
            <w:r>
              <w:rPr>
                <w:spacing w:val="-5"/>
                <w:sz w:val="20"/>
              </w:rPr>
              <w:t>24</w:t>
            </w:r>
          </w:p>
        </w:tc>
        <w:tc>
          <w:tcPr>
            <w:tcW w:w="510" w:type="dxa"/>
          </w:tcPr>
          <w:p>
            <w:pPr>
              <w:pStyle w:val="TableParagraph"/>
              <w:spacing w:before="51"/>
              <w:ind w:left="2" w:right="2"/>
              <w:jc w:val="center"/>
              <w:rPr>
                <w:sz w:val="20"/>
              </w:rPr>
            </w:pPr>
            <w:r>
              <w:rPr>
                <w:spacing w:val="-5"/>
                <w:sz w:val="20"/>
              </w:rPr>
              <w:t>37</w:t>
            </w:r>
          </w:p>
        </w:tc>
        <w:tc>
          <w:tcPr>
            <w:tcW w:w="548" w:type="dxa"/>
          </w:tcPr>
          <w:p>
            <w:pPr>
              <w:pStyle w:val="TableParagraph"/>
              <w:spacing w:before="51"/>
              <w:ind w:left="3" w:right="4"/>
              <w:jc w:val="center"/>
              <w:rPr>
                <w:sz w:val="20"/>
              </w:rPr>
            </w:pPr>
            <w:r>
              <w:rPr>
                <w:spacing w:val="-5"/>
                <w:sz w:val="20"/>
              </w:rPr>
              <w:t>251</w:t>
            </w:r>
          </w:p>
        </w:tc>
        <w:tc>
          <w:tcPr>
            <w:tcW w:w="546" w:type="dxa"/>
          </w:tcPr>
          <w:p>
            <w:pPr>
              <w:pStyle w:val="TableParagraph"/>
              <w:spacing w:before="51"/>
              <w:ind w:left="7" w:right="10"/>
              <w:jc w:val="center"/>
              <w:rPr>
                <w:sz w:val="20"/>
              </w:rPr>
            </w:pPr>
            <w:r>
              <w:rPr>
                <w:spacing w:val="-5"/>
                <w:sz w:val="20"/>
              </w:rPr>
              <w:t>38</w:t>
            </w:r>
          </w:p>
        </w:tc>
        <w:tc>
          <w:tcPr>
            <w:tcW w:w="581" w:type="dxa"/>
          </w:tcPr>
          <w:p>
            <w:pPr>
              <w:pStyle w:val="TableParagraph"/>
              <w:spacing w:before="51"/>
              <w:ind w:right="263"/>
              <w:jc w:val="right"/>
              <w:rPr>
                <w:sz w:val="20"/>
              </w:rPr>
            </w:pPr>
            <w:r>
              <w:rPr>
                <w:spacing w:val="-10"/>
                <w:sz w:val="20"/>
              </w:rPr>
              <w:t>9</w:t>
            </w:r>
          </w:p>
        </w:tc>
        <w:tc>
          <w:tcPr>
            <w:tcW w:w="859" w:type="dxa"/>
          </w:tcPr>
          <w:p>
            <w:pPr>
              <w:pStyle w:val="TableParagraph"/>
              <w:spacing w:before="51"/>
              <w:ind w:left="1" w:right="65"/>
              <w:jc w:val="center"/>
              <w:rPr>
                <w:sz w:val="20"/>
              </w:rPr>
            </w:pPr>
            <w:r>
              <w:rPr>
                <w:spacing w:val="-2"/>
                <w:sz w:val="20"/>
              </w:rPr>
              <w:t>2.919</w:t>
            </w:r>
          </w:p>
        </w:tc>
        <w:tc>
          <w:tcPr>
            <w:tcW w:w="808" w:type="dxa"/>
          </w:tcPr>
          <w:p>
            <w:pPr>
              <w:pStyle w:val="TableParagraph"/>
              <w:spacing w:before="51"/>
              <w:ind w:right="349"/>
              <w:jc w:val="right"/>
              <w:rPr>
                <w:sz w:val="20"/>
              </w:rPr>
            </w:pPr>
            <w:r>
              <w:rPr>
                <w:spacing w:val="-5"/>
                <w:sz w:val="20"/>
              </w:rPr>
              <w:t>15</w:t>
            </w:r>
          </w:p>
        </w:tc>
        <w:tc>
          <w:tcPr>
            <w:tcW w:w="1745" w:type="dxa"/>
          </w:tcPr>
          <w:p>
            <w:pPr>
              <w:pStyle w:val="TableParagraph"/>
              <w:spacing w:before="51"/>
              <w:ind w:right="90"/>
              <w:jc w:val="center"/>
              <w:rPr>
                <w:sz w:val="20"/>
              </w:rPr>
            </w:pPr>
            <w:r>
              <w:rPr>
                <w:sz w:val="20"/>
              </w:rPr>
              <w:t>Not</w:t>
            </w:r>
            <w:r>
              <w:rPr>
                <w:spacing w:val="-5"/>
                <w:sz w:val="20"/>
              </w:rPr>
              <w:t> </w:t>
            </w:r>
            <w:r>
              <w:rPr>
                <w:spacing w:val="-2"/>
                <w:sz w:val="20"/>
              </w:rPr>
              <w:t>Effective</w:t>
            </w:r>
          </w:p>
        </w:tc>
      </w:tr>
      <w:tr>
        <w:trPr>
          <w:trHeight w:val="345" w:hRule="atLeast"/>
        </w:trPr>
        <w:tc>
          <w:tcPr>
            <w:tcW w:w="611" w:type="dxa"/>
          </w:tcPr>
          <w:p>
            <w:pPr>
              <w:pStyle w:val="TableParagraph"/>
              <w:spacing w:before="55"/>
              <w:ind w:right="105"/>
              <w:jc w:val="right"/>
              <w:rPr>
                <w:b/>
                <w:sz w:val="20"/>
              </w:rPr>
            </w:pPr>
            <w:r>
              <w:rPr>
                <w:b/>
                <w:spacing w:val="-5"/>
                <w:sz w:val="20"/>
              </w:rPr>
              <w:t>10</w:t>
            </w:r>
          </w:p>
        </w:tc>
        <w:tc>
          <w:tcPr>
            <w:tcW w:w="5557" w:type="dxa"/>
          </w:tcPr>
          <w:p>
            <w:pPr>
              <w:pStyle w:val="TableParagraph"/>
              <w:spacing w:before="51"/>
              <w:ind w:left="106"/>
              <w:rPr>
                <w:sz w:val="20"/>
              </w:rPr>
            </w:pPr>
            <w:r>
              <w:rPr>
                <w:sz w:val="20"/>
              </w:rPr>
              <w:t>Rain</w:t>
            </w:r>
            <w:r>
              <w:rPr>
                <w:spacing w:val="-5"/>
                <w:sz w:val="20"/>
              </w:rPr>
              <w:t> </w:t>
            </w:r>
            <w:r>
              <w:rPr>
                <w:sz w:val="20"/>
              </w:rPr>
              <w:t>water</w:t>
            </w:r>
            <w:r>
              <w:rPr>
                <w:spacing w:val="-4"/>
                <w:sz w:val="20"/>
              </w:rPr>
              <w:t> </w:t>
            </w:r>
            <w:r>
              <w:rPr>
                <w:spacing w:val="-2"/>
                <w:sz w:val="20"/>
              </w:rPr>
              <w:t>harvest</w:t>
            </w:r>
          </w:p>
        </w:tc>
        <w:tc>
          <w:tcPr>
            <w:tcW w:w="696" w:type="dxa"/>
          </w:tcPr>
          <w:p>
            <w:pPr>
              <w:pStyle w:val="TableParagraph"/>
              <w:spacing w:before="51"/>
              <w:ind w:left="384"/>
              <w:rPr>
                <w:sz w:val="20"/>
              </w:rPr>
            </w:pPr>
            <w:r>
              <w:rPr>
                <w:spacing w:val="-10"/>
                <w:sz w:val="20"/>
              </w:rPr>
              <w:t>9</w:t>
            </w:r>
          </w:p>
        </w:tc>
        <w:tc>
          <w:tcPr>
            <w:tcW w:w="510" w:type="dxa"/>
          </w:tcPr>
          <w:p>
            <w:pPr>
              <w:pStyle w:val="TableParagraph"/>
              <w:spacing w:before="51"/>
              <w:ind w:left="2" w:right="2"/>
              <w:jc w:val="center"/>
              <w:rPr>
                <w:sz w:val="20"/>
              </w:rPr>
            </w:pPr>
            <w:r>
              <w:rPr>
                <w:spacing w:val="-5"/>
                <w:sz w:val="20"/>
              </w:rPr>
              <w:t>15</w:t>
            </w:r>
          </w:p>
        </w:tc>
        <w:tc>
          <w:tcPr>
            <w:tcW w:w="548" w:type="dxa"/>
          </w:tcPr>
          <w:p>
            <w:pPr>
              <w:pStyle w:val="TableParagraph"/>
              <w:spacing w:before="51"/>
              <w:ind w:left="3" w:right="4"/>
              <w:jc w:val="center"/>
              <w:rPr>
                <w:sz w:val="20"/>
              </w:rPr>
            </w:pPr>
            <w:r>
              <w:rPr>
                <w:spacing w:val="-5"/>
                <w:sz w:val="20"/>
              </w:rPr>
              <w:t>41</w:t>
            </w:r>
          </w:p>
        </w:tc>
        <w:tc>
          <w:tcPr>
            <w:tcW w:w="546" w:type="dxa"/>
          </w:tcPr>
          <w:p>
            <w:pPr>
              <w:pStyle w:val="TableParagraph"/>
              <w:spacing w:before="51"/>
              <w:ind w:left="7" w:right="10"/>
              <w:jc w:val="center"/>
              <w:rPr>
                <w:sz w:val="20"/>
              </w:rPr>
            </w:pPr>
            <w:r>
              <w:rPr>
                <w:spacing w:val="-5"/>
                <w:sz w:val="20"/>
              </w:rPr>
              <w:t>234</w:t>
            </w:r>
          </w:p>
        </w:tc>
        <w:tc>
          <w:tcPr>
            <w:tcW w:w="581" w:type="dxa"/>
          </w:tcPr>
          <w:p>
            <w:pPr>
              <w:pStyle w:val="TableParagraph"/>
              <w:spacing w:before="51"/>
              <w:ind w:right="209"/>
              <w:jc w:val="right"/>
              <w:rPr>
                <w:sz w:val="20"/>
              </w:rPr>
            </w:pPr>
            <w:r>
              <w:rPr>
                <w:spacing w:val="-5"/>
                <w:sz w:val="20"/>
              </w:rPr>
              <w:t>60</w:t>
            </w:r>
          </w:p>
        </w:tc>
        <w:tc>
          <w:tcPr>
            <w:tcW w:w="859" w:type="dxa"/>
          </w:tcPr>
          <w:p>
            <w:pPr>
              <w:pStyle w:val="TableParagraph"/>
              <w:spacing w:before="51"/>
              <w:ind w:left="1" w:right="65"/>
              <w:jc w:val="center"/>
              <w:rPr>
                <w:sz w:val="20"/>
              </w:rPr>
            </w:pPr>
            <w:r>
              <w:rPr>
                <w:spacing w:val="-2"/>
                <w:sz w:val="20"/>
              </w:rPr>
              <w:t>3.894</w:t>
            </w:r>
          </w:p>
        </w:tc>
        <w:tc>
          <w:tcPr>
            <w:tcW w:w="808" w:type="dxa"/>
          </w:tcPr>
          <w:p>
            <w:pPr>
              <w:pStyle w:val="TableParagraph"/>
              <w:spacing w:before="51"/>
              <w:ind w:right="403"/>
              <w:jc w:val="right"/>
              <w:rPr>
                <w:sz w:val="20"/>
              </w:rPr>
            </w:pPr>
            <w:r>
              <w:rPr>
                <w:spacing w:val="-10"/>
                <w:sz w:val="20"/>
              </w:rPr>
              <w:t>2</w:t>
            </w:r>
          </w:p>
        </w:tc>
        <w:tc>
          <w:tcPr>
            <w:tcW w:w="1745" w:type="dxa"/>
          </w:tcPr>
          <w:p>
            <w:pPr>
              <w:pStyle w:val="TableParagraph"/>
              <w:spacing w:before="51"/>
              <w:ind w:left="1" w:right="90"/>
              <w:jc w:val="center"/>
              <w:rPr>
                <w:sz w:val="20"/>
              </w:rPr>
            </w:pPr>
            <w:r>
              <w:rPr>
                <w:spacing w:val="-2"/>
                <w:sz w:val="20"/>
              </w:rPr>
              <w:t>Effective</w:t>
            </w:r>
          </w:p>
        </w:tc>
      </w:tr>
      <w:tr>
        <w:trPr>
          <w:trHeight w:val="344" w:hRule="atLeast"/>
        </w:trPr>
        <w:tc>
          <w:tcPr>
            <w:tcW w:w="611" w:type="dxa"/>
          </w:tcPr>
          <w:p>
            <w:pPr>
              <w:pStyle w:val="TableParagraph"/>
              <w:spacing w:before="55"/>
              <w:ind w:right="105"/>
              <w:jc w:val="right"/>
              <w:rPr>
                <w:b/>
                <w:sz w:val="20"/>
              </w:rPr>
            </w:pPr>
            <w:r>
              <w:rPr>
                <w:b/>
                <w:spacing w:val="-5"/>
                <w:sz w:val="20"/>
              </w:rPr>
              <w:t>11</w:t>
            </w:r>
          </w:p>
        </w:tc>
        <w:tc>
          <w:tcPr>
            <w:tcW w:w="5557" w:type="dxa"/>
          </w:tcPr>
          <w:p>
            <w:pPr>
              <w:pStyle w:val="TableParagraph"/>
              <w:spacing w:before="51"/>
              <w:ind w:left="106"/>
              <w:rPr>
                <w:sz w:val="20"/>
              </w:rPr>
            </w:pPr>
            <w:r>
              <w:rPr>
                <w:sz w:val="20"/>
              </w:rPr>
              <w:t>Relocate/move</w:t>
            </w:r>
            <w:r>
              <w:rPr>
                <w:spacing w:val="-7"/>
                <w:sz w:val="20"/>
              </w:rPr>
              <w:t> </w:t>
            </w:r>
            <w:r>
              <w:rPr>
                <w:sz w:val="20"/>
              </w:rPr>
              <w:t>to</w:t>
            </w:r>
            <w:r>
              <w:rPr>
                <w:spacing w:val="-6"/>
                <w:sz w:val="20"/>
              </w:rPr>
              <w:t> </w:t>
            </w:r>
            <w:r>
              <w:rPr>
                <w:sz w:val="20"/>
              </w:rPr>
              <w:t>another</w:t>
            </w:r>
            <w:r>
              <w:rPr>
                <w:spacing w:val="-5"/>
                <w:sz w:val="20"/>
              </w:rPr>
              <w:t> </w:t>
            </w:r>
            <w:r>
              <w:rPr>
                <w:sz w:val="20"/>
              </w:rPr>
              <w:t>location</w:t>
            </w:r>
            <w:r>
              <w:rPr>
                <w:spacing w:val="-6"/>
                <w:sz w:val="20"/>
              </w:rPr>
              <w:t> </w:t>
            </w:r>
            <w:r>
              <w:rPr>
                <w:sz w:val="20"/>
              </w:rPr>
              <w:t>with</w:t>
            </w:r>
            <w:r>
              <w:rPr>
                <w:spacing w:val="-6"/>
                <w:sz w:val="20"/>
              </w:rPr>
              <w:t> </w:t>
            </w:r>
            <w:r>
              <w:rPr>
                <w:sz w:val="20"/>
              </w:rPr>
              <w:t>water</w:t>
            </w:r>
            <w:r>
              <w:rPr>
                <w:spacing w:val="-5"/>
                <w:sz w:val="20"/>
              </w:rPr>
              <w:t> </w:t>
            </w:r>
            <w:r>
              <w:rPr>
                <w:spacing w:val="-2"/>
                <w:sz w:val="20"/>
              </w:rPr>
              <w:t>supply</w:t>
            </w:r>
          </w:p>
        </w:tc>
        <w:tc>
          <w:tcPr>
            <w:tcW w:w="696" w:type="dxa"/>
          </w:tcPr>
          <w:p>
            <w:pPr>
              <w:pStyle w:val="TableParagraph"/>
              <w:spacing w:before="51"/>
              <w:ind w:left="334"/>
              <w:rPr>
                <w:sz w:val="20"/>
              </w:rPr>
            </w:pPr>
            <w:r>
              <w:rPr>
                <w:spacing w:val="-5"/>
                <w:sz w:val="20"/>
              </w:rPr>
              <w:t>14</w:t>
            </w:r>
          </w:p>
        </w:tc>
        <w:tc>
          <w:tcPr>
            <w:tcW w:w="510" w:type="dxa"/>
          </w:tcPr>
          <w:p>
            <w:pPr>
              <w:pStyle w:val="TableParagraph"/>
              <w:spacing w:before="51"/>
              <w:ind w:left="2" w:right="2"/>
              <w:jc w:val="center"/>
              <w:rPr>
                <w:sz w:val="20"/>
              </w:rPr>
            </w:pPr>
            <w:r>
              <w:rPr>
                <w:spacing w:val="-5"/>
                <w:sz w:val="20"/>
              </w:rPr>
              <w:t>42</w:t>
            </w:r>
          </w:p>
        </w:tc>
        <w:tc>
          <w:tcPr>
            <w:tcW w:w="548" w:type="dxa"/>
          </w:tcPr>
          <w:p>
            <w:pPr>
              <w:pStyle w:val="TableParagraph"/>
              <w:spacing w:before="51"/>
              <w:ind w:left="3" w:right="4"/>
              <w:jc w:val="center"/>
              <w:rPr>
                <w:sz w:val="20"/>
              </w:rPr>
            </w:pPr>
            <w:r>
              <w:rPr>
                <w:spacing w:val="-5"/>
                <w:sz w:val="20"/>
              </w:rPr>
              <w:t>265</w:t>
            </w:r>
          </w:p>
        </w:tc>
        <w:tc>
          <w:tcPr>
            <w:tcW w:w="546" w:type="dxa"/>
          </w:tcPr>
          <w:p>
            <w:pPr>
              <w:pStyle w:val="TableParagraph"/>
              <w:spacing w:before="51"/>
              <w:ind w:left="7" w:right="10"/>
              <w:jc w:val="center"/>
              <w:rPr>
                <w:sz w:val="20"/>
              </w:rPr>
            </w:pPr>
            <w:r>
              <w:rPr>
                <w:spacing w:val="-5"/>
                <w:sz w:val="20"/>
              </w:rPr>
              <w:t>24</w:t>
            </w:r>
          </w:p>
        </w:tc>
        <w:tc>
          <w:tcPr>
            <w:tcW w:w="581" w:type="dxa"/>
          </w:tcPr>
          <w:p>
            <w:pPr>
              <w:pStyle w:val="TableParagraph"/>
              <w:spacing w:before="51"/>
              <w:ind w:right="209"/>
              <w:jc w:val="right"/>
              <w:rPr>
                <w:sz w:val="20"/>
              </w:rPr>
            </w:pPr>
            <w:r>
              <w:rPr>
                <w:spacing w:val="-5"/>
                <w:sz w:val="20"/>
              </w:rPr>
              <w:t>14</w:t>
            </w:r>
          </w:p>
        </w:tc>
        <w:tc>
          <w:tcPr>
            <w:tcW w:w="859" w:type="dxa"/>
          </w:tcPr>
          <w:p>
            <w:pPr>
              <w:pStyle w:val="TableParagraph"/>
              <w:spacing w:before="51"/>
              <w:ind w:left="1" w:right="65"/>
              <w:jc w:val="center"/>
              <w:rPr>
                <w:sz w:val="20"/>
              </w:rPr>
            </w:pPr>
            <w:r>
              <w:rPr>
                <w:spacing w:val="-2"/>
                <w:sz w:val="20"/>
              </w:rPr>
              <w:t>2.950</w:t>
            </w:r>
          </w:p>
        </w:tc>
        <w:tc>
          <w:tcPr>
            <w:tcW w:w="808" w:type="dxa"/>
          </w:tcPr>
          <w:p>
            <w:pPr>
              <w:pStyle w:val="TableParagraph"/>
              <w:spacing w:before="51"/>
              <w:ind w:right="349"/>
              <w:jc w:val="right"/>
              <w:rPr>
                <w:sz w:val="20"/>
              </w:rPr>
            </w:pPr>
            <w:r>
              <w:rPr>
                <w:spacing w:val="-5"/>
                <w:sz w:val="20"/>
              </w:rPr>
              <w:t>11</w:t>
            </w:r>
          </w:p>
        </w:tc>
        <w:tc>
          <w:tcPr>
            <w:tcW w:w="1745" w:type="dxa"/>
          </w:tcPr>
          <w:p>
            <w:pPr>
              <w:pStyle w:val="TableParagraph"/>
              <w:spacing w:before="51"/>
              <w:ind w:right="90"/>
              <w:jc w:val="center"/>
              <w:rPr>
                <w:sz w:val="20"/>
              </w:rPr>
            </w:pPr>
            <w:r>
              <w:rPr>
                <w:sz w:val="20"/>
              </w:rPr>
              <w:t>Not</w:t>
            </w:r>
            <w:r>
              <w:rPr>
                <w:spacing w:val="-5"/>
                <w:sz w:val="20"/>
              </w:rPr>
              <w:t> </w:t>
            </w:r>
            <w:r>
              <w:rPr>
                <w:spacing w:val="-2"/>
                <w:sz w:val="20"/>
              </w:rPr>
              <w:t>Effective</w:t>
            </w:r>
          </w:p>
        </w:tc>
      </w:tr>
      <w:tr>
        <w:trPr>
          <w:trHeight w:val="344" w:hRule="atLeast"/>
        </w:trPr>
        <w:tc>
          <w:tcPr>
            <w:tcW w:w="611" w:type="dxa"/>
          </w:tcPr>
          <w:p>
            <w:pPr>
              <w:pStyle w:val="TableParagraph"/>
              <w:spacing w:before="54"/>
              <w:ind w:right="105"/>
              <w:jc w:val="right"/>
              <w:rPr>
                <w:b/>
                <w:sz w:val="20"/>
              </w:rPr>
            </w:pPr>
            <w:r>
              <w:rPr>
                <w:b/>
                <w:spacing w:val="-5"/>
                <w:sz w:val="20"/>
              </w:rPr>
              <w:t>12</w:t>
            </w:r>
          </w:p>
        </w:tc>
        <w:tc>
          <w:tcPr>
            <w:tcW w:w="5557" w:type="dxa"/>
          </w:tcPr>
          <w:p>
            <w:pPr>
              <w:pStyle w:val="TableParagraph"/>
              <w:spacing w:before="49"/>
              <w:ind w:left="106"/>
              <w:rPr>
                <w:sz w:val="20"/>
              </w:rPr>
            </w:pPr>
            <w:r>
              <w:rPr>
                <w:sz w:val="20"/>
              </w:rPr>
              <w:t>Protest</w:t>
            </w:r>
            <w:r>
              <w:rPr>
                <w:spacing w:val="-6"/>
                <w:sz w:val="20"/>
              </w:rPr>
              <w:t> </w:t>
            </w:r>
            <w:r>
              <w:rPr>
                <w:sz w:val="20"/>
              </w:rPr>
              <w:t>/</w:t>
            </w:r>
            <w:r>
              <w:rPr>
                <w:spacing w:val="-5"/>
                <w:sz w:val="20"/>
              </w:rPr>
              <w:t> </w:t>
            </w:r>
            <w:r>
              <w:rPr>
                <w:sz w:val="20"/>
              </w:rPr>
              <w:t>complain</w:t>
            </w:r>
            <w:r>
              <w:rPr>
                <w:spacing w:val="-6"/>
                <w:sz w:val="20"/>
              </w:rPr>
              <w:t> </w:t>
            </w:r>
            <w:r>
              <w:rPr>
                <w:sz w:val="20"/>
              </w:rPr>
              <w:t>to</w:t>
            </w:r>
            <w:r>
              <w:rPr>
                <w:spacing w:val="-1"/>
                <w:sz w:val="20"/>
              </w:rPr>
              <w:t> </w:t>
            </w:r>
            <w:r>
              <w:rPr>
                <w:sz w:val="20"/>
              </w:rPr>
              <w:t>water</w:t>
            </w:r>
            <w:r>
              <w:rPr>
                <w:spacing w:val="-4"/>
                <w:sz w:val="20"/>
              </w:rPr>
              <w:t> </w:t>
            </w:r>
            <w:r>
              <w:rPr>
                <w:spacing w:val="-2"/>
                <w:sz w:val="20"/>
              </w:rPr>
              <w:t>authorities</w:t>
            </w:r>
          </w:p>
        </w:tc>
        <w:tc>
          <w:tcPr>
            <w:tcW w:w="696" w:type="dxa"/>
          </w:tcPr>
          <w:p>
            <w:pPr>
              <w:pStyle w:val="TableParagraph"/>
              <w:spacing w:before="49"/>
              <w:ind w:left="334"/>
              <w:rPr>
                <w:sz w:val="20"/>
              </w:rPr>
            </w:pPr>
            <w:r>
              <w:rPr>
                <w:spacing w:val="-5"/>
                <w:sz w:val="20"/>
              </w:rPr>
              <w:t>19</w:t>
            </w:r>
          </w:p>
        </w:tc>
        <w:tc>
          <w:tcPr>
            <w:tcW w:w="510" w:type="dxa"/>
          </w:tcPr>
          <w:p>
            <w:pPr>
              <w:pStyle w:val="TableParagraph"/>
              <w:spacing w:before="49"/>
              <w:ind w:left="2" w:right="2"/>
              <w:jc w:val="center"/>
              <w:rPr>
                <w:sz w:val="20"/>
              </w:rPr>
            </w:pPr>
            <w:r>
              <w:rPr>
                <w:spacing w:val="-5"/>
                <w:sz w:val="20"/>
              </w:rPr>
              <w:t>42</w:t>
            </w:r>
          </w:p>
        </w:tc>
        <w:tc>
          <w:tcPr>
            <w:tcW w:w="548" w:type="dxa"/>
          </w:tcPr>
          <w:p>
            <w:pPr>
              <w:pStyle w:val="TableParagraph"/>
              <w:spacing w:before="49"/>
              <w:ind w:left="3" w:right="4"/>
              <w:jc w:val="center"/>
              <w:rPr>
                <w:sz w:val="20"/>
              </w:rPr>
            </w:pPr>
            <w:r>
              <w:rPr>
                <w:spacing w:val="-5"/>
                <w:sz w:val="20"/>
              </w:rPr>
              <w:t>264</w:t>
            </w:r>
          </w:p>
        </w:tc>
        <w:tc>
          <w:tcPr>
            <w:tcW w:w="546" w:type="dxa"/>
          </w:tcPr>
          <w:p>
            <w:pPr>
              <w:pStyle w:val="TableParagraph"/>
              <w:spacing w:before="49"/>
              <w:ind w:left="7" w:right="10"/>
              <w:jc w:val="center"/>
              <w:rPr>
                <w:sz w:val="20"/>
              </w:rPr>
            </w:pPr>
            <w:r>
              <w:rPr>
                <w:spacing w:val="-5"/>
                <w:sz w:val="20"/>
              </w:rPr>
              <w:t>26</w:t>
            </w:r>
          </w:p>
        </w:tc>
        <w:tc>
          <w:tcPr>
            <w:tcW w:w="581" w:type="dxa"/>
          </w:tcPr>
          <w:p>
            <w:pPr>
              <w:pStyle w:val="TableParagraph"/>
              <w:spacing w:before="49"/>
              <w:ind w:right="263"/>
              <w:jc w:val="right"/>
              <w:rPr>
                <w:sz w:val="20"/>
              </w:rPr>
            </w:pPr>
            <w:r>
              <w:rPr>
                <w:spacing w:val="-10"/>
                <w:sz w:val="20"/>
              </w:rPr>
              <w:t>8</w:t>
            </w:r>
          </w:p>
        </w:tc>
        <w:tc>
          <w:tcPr>
            <w:tcW w:w="859" w:type="dxa"/>
          </w:tcPr>
          <w:p>
            <w:pPr>
              <w:pStyle w:val="TableParagraph"/>
              <w:spacing w:before="49"/>
              <w:ind w:left="1" w:right="65"/>
              <w:jc w:val="center"/>
              <w:rPr>
                <w:sz w:val="20"/>
              </w:rPr>
            </w:pPr>
            <w:r>
              <w:rPr>
                <w:spacing w:val="-2"/>
                <w:sz w:val="20"/>
              </w:rPr>
              <w:t>2.894</w:t>
            </w:r>
          </w:p>
        </w:tc>
        <w:tc>
          <w:tcPr>
            <w:tcW w:w="808" w:type="dxa"/>
          </w:tcPr>
          <w:p>
            <w:pPr>
              <w:pStyle w:val="TableParagraph"/>
              <w:spacing w:before="49"/>
              <w:ind w:right="349"/>
              <w:jc w:val="right"/>
              <w:rPr>
                <w:sz w:val="20"/>
              </w:rPr>
            </w:pPr>
            <w:r>
              <w:rPr>
                <w:spacing w:val="-5"/>
                <w:sz w:val="20"/>
              </w:rPr>
              <w:t>17</w:t>
            </w:r>
          </w:p>
        </w:tc>
        <w:tc>
          <w:tcPr>
            <w:tcW w:w="1745" w:type="dxa"/>
          </w:tcPr>
          <w:p>
            <w:pPr>
              <w:pStyle w:val="TableParagraph"/>
              <w:spacing w:before="49"/>
              <w:ind w:right="90"/>
              <w:jc w:val="center"/>
              <w:rPr>
                <w:sz w:val="20"/>
              </w:rPr>
            </w:pPr>
            <w:r>
              <w:rPr>
                <w:sz w:val="20"/>
              </w:rPr>
              <w:t>Not</w:t>
            </w:r>
            <w:r>
              <w:rPr>
                <w:spacing w:val="-5"/>
                <w:sz w:val="20"/>
              </w:rPr>
              <w:t> </w:t>
            </w:r>
            <w:r>
              <w:rPr>
                <w:spacing w:val="-2"/>
                <w:sz w:val="20"/>
              </w:rPr>
              <w:t>Effective</w:t>
            </w:r>
          </w:p>
        </w:tc>
      </w:tr>
      <w:tr>
        <w:trPr>
          <w:trHeight w:val="345" w:hRule="atLeast"/>
        </w:trPr>
        <w:tc>
          <w:tcPr>
            <w:tcW w:w="611" w:type="dxa"/>
          </w:tcPr>
          <w:p>
            <w:pPr>
              <w:pStyle w:val="TableParagraph"/>
              <w:spacing w:before="55"/>
              <w:ind w:right="105"/>
              <w:jc w:val="right"/>
              <w:rPr>
                <w:b/>
                <w:sz w:val="20"/>
              </w:rPr>
            </w:pPr>
            <w:r>
              <w:rPr>
                <w:b/>
                <w:spacing w:val="-5"/>
                <w:sz w:val="20"/>
              </w:rPr>
              <w:t>13</w:t>
            </w:r>
          </w:p>
        </w:tc>
        <w:tc>
          <w:tcPr>
            <w:tcW w:w="5557" w:type="dxa"/>
          </w:tcPr>
          <w:p>
            <w:pPr>
              <w:pStyle w:val="TableParagraph"/>
              <w:spacing w:before="51"/>
              <w:ind w:left="106"/>
              <w:rPr>
                <w:sz w:val="20"/>
              </w:rPr>
            </w:pPr>
            <w:r>
              <w:rPr>
                <w:sz w:val="20"/>
              </w:rPr>
              <w:t>Drilling</w:t>
            </w:r>
            <w:r>
              <w:rPr>
                <w:spacing w:val="-5"/>
                <w:sz w:val="20"/>
              </w:rPr>
              <w:t> </w:t>
            </w:r>
            <w:r>
              <w:rPr>
                <w:sz w:val="20"/>
              </w:rPr>
              <w:t>of</w:t>
            </w:r>
            <w:r>
              <w:rPr>
                <w:spacing w:val="-5"/>
                <w:sz w:val="20"/>
              </w:rPr>
              <w:t> </w:t>
            </w:r>
            <w:r>
              <w:rPr>
                <w:sz w:val="20"/>
              </w:rPr>
              <w:t>deep </w:t>
            </w:r>
            <w:r>
              <w:rPr>
                <w:spacing w:val="-4"/>
                <w:sz w:val="20"/>
              </w:rPr>
              <w:t>wells</w:t>
            </w:r>
          </w:p>
        </w:tc>
        <w:tc>
          <w:tcPr>
            <w:tcW w:w="696" w:type="dxa"/>
          </w:tcPr>
          <w:p>
            <w:pPr>
              <w:pStyle w:val="TableParagraph"/>
              <w:spacing w:before="51"/>
              <w:ind w:left="384"/>
              <w:rPr>
                <w:sz w:val="20"/>
              </w:rPr>
            </w:pPr>
            <w:r>
              <w:rPr>
                <w:spacing w:val="-10"/>
                <w:sz w:val="20"/>
              </w:rPr>
              <w:t>8</w:t>
            </w:r>
          </w:p>
        </w:tc>
        <w:tc>
          <w:tcPr>
            <w:tcW w:w="510" w:type="dxa"/>
          </w:tcPr>
          <w:p>
            <w:pPr>
              <w:pStyle w:val="TableParagraph"/>
              <w:spacing w:before="51"/>
              <w:ind w:left="2" w:right="2"/>
              <w:jc w:val="center"/>
              <w:rPr>
                <w:sz w:val="20"/>
              </w:rPr>
            </w:pPr>
            <w:r>
              <w:rPr>
                <w:spacing w:val="-5"/>
                <w:sz w:val="20"/>
              </w:rPr>
              <w:t>28</w:t>
            </w:r>
          </w:p>
        </w:tc>
        <w:tc>
          <w:tcPr>
            <w:tcW w:w="548" w:type="dxa"/>
          </w:tcPr>
          <w:p>
            <w:pPr>
              <w:pStyle w:val="TableParagraph"/>
              <w:spacing w:before="51"/>
              <w:ind w:left="3" w:right="4"/>
              <w:jc w:val="center"/>
              <w:rPr>
                <w:sz w:val="20"/>
              </w:rPr>
            </w:pPr>
            <w:r>
              <w:rPr>
                <w:spacing w:val="-5"/>
                <w:sz w:val="20"/>
              </w:rPr>
              <w:t>232</w:t>
            </w:r>
          </w:p>
        </w:tc>
        <w:tc>
          <w:tcPr>
            <w:tcW w:w="546" w:type="dxa"/>
          </w:tcPr>
          <w:p>
            <w:pPr>
              <w:pStyle w:val="TableParagraph"/>
              <w:spacing w:before="51"/>
              <w:ind w:left="7" w:right="10"/>
              <w:jc w:val="center"/>
              <w:rPr>
                <w:sz w:val="20"/>
              </w:rPr>
            </w:pPr>
            <w:r>
              <w:rPr>
                <w:spacing w:val="-5"/>
                <w:sz w:val="20"/>
              </w:rPr>
              <w:t>55</w:t>
            </w:r>
          </w:p>
        </w:tc>
        <w:tc>
          <w:tcPr>
            <w:tcW w:w="581" w:type="dxa"/>
          </w:tcPr>
          <w:p>
            <w:pPr>
              <w:pStyle w:val="TableParagraph"/>
              <w:spacing w:before="51"/>
              <w:ind w:right="209"/>
              <w:jc w:val="right"/>
              <w:rPr>
                <w:sz w:val="20"/>
              </w:rPr>
            </w:pPr>
            <w:r>
              <w:rPr>
                <w:spacing w:val="-5"/>
                <w:sz w:val="20"/>
              </w:rPr>
              <w:t>36</w:t>
            </w:r>
          </w:p>
        </w:tc>
        <w:tc>
          <w:tcPr>
            <w:tcW w:w="859" w:type="dxa"/>
          </w:tcPr>
          <w:p>
            <w:pPr>
              <w:pStyle w:val="TableParagraph"/>
              <w:spacing w:before="51"/>
              <w:ind w:left="1" w:right="65"/>
              <w:jc w:val="center"/>
              <w:rPr>
                <w:sz w:val="20"/>
              </w:rPr>
            </w:pPr>
            <w:r>
              <w:rPr>
                <w:spacing w:val="-2"/>
                <w:sz w:val="20"/>
              </w:rPr>
              <w:t>3.231</w:t>
            </w:r>
          </w:p>
        </w:tc>
        <w:tc>
          <w:tcPr>
            <w:tcW w:w="808" w:type="dxa"/>
          </w:tcPr>
          <w:p>
            <w:pPr>
              <w:pStyle w:val="TableParagraph"/>
              <w:spacing w:before="51"/>
              <w:ind w:right="403"/>
              <w:jc w:val="right"/>
              <w:rPr>
                <w:sz w:val="20"/>
              </w:rPr>
            </w:pPr>
            <w:r>
              <w:rPr>
                <w:spacing w:val="-10"/>
                <w:sz w:val="20"/>
              </w:rPr>
              <w:t>7</w:t>
            </w:r>
          </w:p>
        </w:tc>
        <w:tc>
          <w:tcPr>
            <w:tcW w:w="1745" w:type="dxa"/>
          </w:tcPr>
          <w:p>
            <w:pPr>
              <w:pStyle w:val="TableParagraph"/>
              <w:spacing w:before="51"/>
              <w:ind w:left="1" w:right="90"/>
              <w:jc w:val="center"/>
              <w:rPr>
                <w:sz w:val="20"/>
              </w:rPr>
            </w:pPr>
            <w:r>
              <w:rPr>
                <w:spacing w:val="-2"/>
                <w:sz w:val="20"/>
              </w:rPr>
              <w:t>Effective</w:t>
            </w:r>
          </w:p>
        </w:tc>
      </w:tr>
      <w:tr>
        <w:trPr>
          <w:trHeight w:val="345" w:hRule="atLeast"/>
        </w:trPr>
        <w:tc>
          <w:tcPr>
            <w:tcW w:w="611" w:type="dxa"/>
          </w:tcPr>
          <w:p>
            <w:pPr>
              <w:pStyle w:val="TableParagraph"/>
              <w:spacing w:before="56"/>
              <w:ind w:right="105"/>
              <w:jc w:val="right"/>
              <w:rPr>
                <w:b/>
                <w:sz w:val="20"/>
              </w:rPr>
            </w:pPr>
            <w:r>
              <w:rPr>
                <w:b/>
                <w:spacing w:val="-5"/>
                <w:sz w:val="20"/>
              </w:rPr>
              <w:t>14</w:t>
            </w:r>
          </w:p>
        </w:tc>
        <w:tc>
          <w:tcPr>
            <w:tcW w:w="5557" w:type="dxa"/>
          </w:tcPr>
          <w:p>
            <w:pPr>
              <w:pStyle w:val="TableParagraph"/>
              <w:spacing w:before="51"/>
              <w:ind w:left="106"/>
              <w:rPr>
                <w:sz w:val="20"/>
              </w:rPr>
            </w:pPr>
            <w:r>
              <w:rPr>
                <w:sz w:val="20"/>
              </w:rPr>
              <w:t>Recycling</w:t>
            </w:r>
            <w:r>
              <w:rPr>
                <w:spacing w:val="-6"/>
                <w:sz w:val="20"/>
              </w:rPr>
              <w:t> </w:t>
            </w:r>
            <w:r>
              <w:rPr>
                <w:sz w:val="20"/>
              </w:rPr>
              <w:t>used</w:t>
            </w:r>
            <w:r>
              <w:rPr>
                <w:spacing w:val="-3"/>
                <w:sz w:val="20"/>
              </w:rPr>
              <w:t> </w:t>
            </w:r>
            <w:r>
              <w:rPr>
                <w:sz w:val="20"/>
              </w:rPr>
              <w:t>water</w:t>
            </w:r>
            <w:r>
              <w:rPr>
                <w:spacing w:val="-4"/>
                <w:sz w:val="20"/>
              </w:rPr>
              <w:t> </w:t>
            </w:r>
            <w:r>
              <w:rPr>
                <w:sz w:val="20"/>
              </w:rPr>
              <w:t>for</w:t>
            </w:r>
            <w:r>
              <w:rPr>
                <w:spacing w:val="-5"/>
                <w:sz w:val="20"/>
              </w:rPr>
              <w:t> </w:t>
            </w:r>
            <w:r>
              <w:rPr>
                <w:sz w:val="20"/>
              </w:rPr>
              <w:t>other</w:t>
            </w:r>
            <w:r>
              <w:rPr>
                <w:spacing w:val="-5"/>
                <w:sz w:val="20"/>
              </w:rPr>
              <w:t> </w:t>
            </w:r>
            <w:r>
              <w:rPr>
                <w:sz w:val="20"/>
              </w:rPr>
              <w:t>uses/Use</w:t>
            </w:r>
            <w:r>
              <w:rPr>
                <w:spacing w:val="-5"/>
                <w:sz w:val="20"/>
              </w:rPr>
              <w:t> </w:t>
            </w:r>
            <w:r>
              <w:rPr>
                <w:sz w:val="20"/>
              </w:rPr>
              <w:t>of</w:t>
            </w:r>
            <w:r>
              <w:rPr>
                <w:spacing w:val="-4"/>
                <w:sz w:val="20"/>
              </w:rPr>
              <w:t> </w:t>
            </w:r>
            <w:r>
              <w:rPr>
                <w:sz w:val="20"/>
              </w:rPr>
              <w:t>gray</w:t>
            </w:r>
            <w:r>
              <w:rPr>
                <w:spacing w:val="-6"/>
                <w:sz w:val="20"/>
              </w:rPr>
              <w:t> </w:t>
            </w:r>
            <w:r>
              <w:rPr>
                <w:spacing w:val="-2"/>
                <w:sz w:val="20"/>
              </w:rPr>
              <w:t>water</w:t>
            </w:r>
          </w:p>
        </w:tc>
        <w:tc>
          <w:tcPr>
            <w:tcW w:w="696" w:type="dxa"/>
          </w:tcPr>
          <w:p>
            <w:pPr>
              <w:pStyle w:val="TableParagraph"/>
              <w:spacing w:before="51"/>
              <w:ind w:left="334"/>
              <w:rPr>
                <w:sz w:val="20"/>
              </w:rPr>
            </w:pPr>
            <w:r>
              <w:rPr>
                <w:spacing w:val="-5"/>
                <w:sz w:val="20"/>
              </w:rPr>
              <w:t>22</w:t>
            </w:r>
          </w:p>
        </w:tc>
        <w:tc>
          <w:tcPr>
            <w:tcW w:w="510" w:type="dxa"/>
          </w:tcPr>
          <w:p>
            <w:pPr>
              <w:pStyle w:val="TableParagraph"/>
              <w:spacing w:before="51"/>
              <w:ind w:left="2" w:right="2"/>
              <w:jc w:val="center"/>
              <w:rPr>
                <w:sz w:val="20"/>
              </w:rPr>
            </w:pPr>
            <w:r>
              <w:rPr>
                <w:spacing w:val="-5"/>
                <w:sz w:val="20"/>
              </w:rPr>
              <w:t>50</w:t>
            </w:r>
          </w:p>
        </w:tc>
        <w:tc>
          <w:tcPr>
            <w:tcW w:w="548" w:type="dxa"/>
          </w:tcPr>
          <w:p>
            <w:pPr>
              <w:pStyle w:val="TableParagraph"/>
              <w:spacing w:before="51"/>
              <w:ind w:left="3" w:right="4"/>
              <w:jc w:val="center"/>
              <w:rPr>
                <w:sz w:val="20"/>
              </w:rPr>
            </w:pPr>
            <w:r>
              <w:rPr>
                <w:spacing w:val="-5"/>
                <w:sz w:val="20"/>
              </w:rPr>
              <w:t>258</w:t>
            </w:r>
          </w:p>
        </w:tc>
        <w:tc>
          <w:tcPr>
            <w:tcW w:w="546" w:type="dxa"/>
          </w:tcPr>
          <w:p>
            <w:pPr>
              <w:pStyle w:val="TableParagraph"/>
              <w:spacing w:before="51"/>
              <w:ind w:left="7" w:right="10"/>
              <w:jc w:val="center"/>
              <w:rPr>
                <w:sz w:val="20"/>
              </w:rPr>
            </w:pPr>
            <w:r>
              <w:rPr>
                <w:spacing w:val="-5"/>
                <w:sz w:val="20"/>
              </w:rPr>
              <w:t>24</w:t>
            </w:r>
          </w:p>
        </w:tc>
        <w:tc>
          <w:tcPr>
            <w:tcW w:w="581" w:type="dxa"/>
          </w:tcPr>
          <w:p>
            <w:pPr>
              <w:pStyle w:val="TableParagraph"/>
              <w:spacing w:before="51"/>
              <w:ind w:right="263"/>
              <w:jc w:val="right"/>
              <w:rPr>
                <w:sz w:val="20"/>
              </w:rPr>
            </w:pPr>
            <w:r>
              <w:rPr>
                <w:spacing w:val="-10"/>
                <w:sz w:val="20"/>
              </w:rPr>
              <w:t>5</w:t>
            </w:r>
          </w:p>
        </w:tc>
        <w:tc>
          <w:tcPr>
            <w:tcW w:w="859" w:type="dxa"/>
          </w:tcPr>
          <w:p>
            <w:pPr>
              <w:pStyle w:val="TableParagraph"/>
              <w:spacing w:before="51"/>
              <w:ind w:left="1" w:right="65"/>
              <w:jc w:val="center"/>
              <w:rPr>
                <w:sz w:val="20"/>
              </w:rPr>
            </w:pPr>
            <w:r>
              <w:rPr>
                <w:spacing w:val="-2"/>
                <w:sz w:val="20"/>
              </w:rPr>
              <w:t>2.833</w:t>
            </w:r>
          </w:p>
        </w:tc>
        <w:tc>
          <w:tcPr>
            <w:tcW w:w="808" w:type="dxa"/>
          </w:tcPr>
          <w:p>
            <w:pPr>
              <w:pStyle w:val="TableParagraph"/>
              <w:spacing w:before="51"/>
              <w:ind w:right="349"/>
              <w:jc w:val="right"/>
              <w:rPr>
                <w:sz w:val="20"/>
              </w:rPr>
            </w:pPr>
            <w:r>
              <w:rPr>
                <w:spacing w:val="-5"/>
                <w:sz w:val="20"/>
              </w:rPr>
              <w:t>19</w:t>
            </w:r>
          </w:p>
        </w:tc>
        <w:tc>
          <w:tcPr>
            <w:tcW w:w="1745" w:type="dxa"/>
          </w:tcPr>
          <w:p>
            <w:pPr>
              <w:pStyle w:val="TableParagraph"/>
              <w:spacing w:before="51"/>
              <w:ind w:right="90"/>
              <w:jc w:val="center"/>
              <w:rPr>
                <w:sz w:val="20"/>
              </w:rPr>
            </w:pPr>
            <w:r>
              <w:rPr>
                <w:sz w:val="20"/>
              </w:rPr>
              <w:t>Not</w:t>
            </w:r>
            <w:r>
              <w:rPr>
                <w:spacing w:val="-5"/>
                <w:sz w:val="20"/>
              </w:rPr>
              <w:t> </w:t>
            </w:r>
            <w:r>
              <w:rPr>
                <w:spacing w:val="-2"/>
                <w:sz w:val="20"/>
              </w:rPr>
              <w:t>Effective</w:t>
            </w:r>
          </w:p>
        </w:tc>
      </w:tr>
      <w:tr>
        <w:trPr>
          <w:trHeight w:val="344" w:hRule="atLeast"/>
        </w:trPr>
        <w:tc>
          <w:tcPr>
            <w:tcW w:w="611" w:type="dxa"/>
          </w:tcPr>
          <w:p>
            <w:pPr>
              <w:pStyle w:val="TableParagraph"/>
              <w:spacing w:before="55"/>
              <w:ind w:right="105"/>
              <w:jc w:val="right"/>
              <w:rPr>
                <w:b/>
                <w:sz w:val="20"/>
              </w:rPr>
            </w:pPr>
            <w:r>
              <w:rPr>
                <w:b/>
                <w:spacing w:val="-5"/>
                <w:sz w:val="20"/>
              </w:rPr>
              <w:t>15</w:t>
            </w:r>
          </w:p>
        </w:tc>
        <w:tc>
          <w:tcPr>
            <w:tcW w:w="5557" w:type="dxa"/>
          </w:tcPr>
          <w:p>
            <w:pPr>
              <w:pStyle w:val="TableParagraph"/>
              <w:spacing w:before="51"/>
              <w:ind w:left="106"/>
              <w:rPr>
                <w:sz w:val="20"/>
              </w:rPr>
            </w:pPr>
            <w:r>
              <w:rPr>
                <w:sz w:val="20"/>
              </w:rPr>
              <w:t>Buy</w:t>
            </w:r>
            <w:r>
              <w:rPr>
                <w:spacing w:val="-8"/>
                <w:sz w:val="20"/>
              </w:rPr>
              <w:t> </w:t>
            </w:r>
            <w:r>
              <w:rPr>
                <w:sz w:val="20"/>
              </w:rPr>
              <w:t>bottled</w:t>
            </w:r>
            <w:r>
              <w:rPr>
                <w:spacing w:val="-4"/>
                <w:sz w:val="20"/>
              </w:rPr>
              <w:t> </w:t>
            </w:r>
            <w:r>
              <w:rPr>
                <w:sz w:val="20"/>
              </w:rPr>
              <w:t>and</w:t>
            </w:r>
            <w:r>
              <w:rPr>
                <w:spacing w:val="-3"/>
                <w:sz w:val="20"/>
              </w:rPr>
              <w:t> </w:t>
            </w:r>
            <w:r>
              <w:rPr>
                <w:sz w:val="20"/>
              </w:rPr>
              <w:t>sachet</w:t>
            </w:r>
            <w:r>
              <w:rPr>
                <w:spacing w:val="-2"/>
                <w:sz w:val="20"/>
              </w:rPr>
              <w:t> </w:t>
            </w:r>
            <w:r>
              <w:rPr>
                <w:spacing w:val="-4"/>
                <w:sz w:val="20"/>
              </w:rPr>
              <w:t>water</w:t>
            </w:r>
          </w:p>
        </w:tc>
        <w:tc>
          <w:tcPr>
            <w:tcW w:w="696" w:type="dxa"/>
          </w:tcPr>
          <w:p>
            <w:pPr>
              <w:pStyle w:val="TableParagraph"/>
              <w:spacing w:before="51"/>
              <w:ind w:left="334"/>
              <w:rPr>
                <w:sz w:val="20"/>
              </w:rPr>
            </w:pPr>
            <w:r>
              <w:rPr>
                <w:spacing w:val="-5"/>
                <w:sz w:val="20"/>
              </w:rPr>
              <w:t>13</w:t>
            </w:r>
          </w:p>
        </w:tc>
        <w:tc>
          <w:tcPr>
            <w:tcW w:w="510" w:type="dxa"/>
          </w:tcPr>
          <w:p>
            <w:pPr>
              <w:pStyle w:val="TableParagraph"/>
              <w:spacing w:before="51"/>
              <w:ind w:left="2" w:right="2"/>
              <w:jc w:val="center"/>
              <w:rPr>
                <w:sz w:val="20"/>
              </w:rPr>
            </w:pPr>
            <w:r>
              <w:rPr>
                <w:spacing w:val="-5"/>
                <w:sz w:val="20"/>
              </w:rPr>
              <w:t>31</w:t>
            </w:r>
          </w:p>
        </w:tc>
        <w:tc>
          <w:tcPr>
            <w:tcW w:w="548" w:type="dxa"/>
          </w:tcPr>
          <w:p>
            <w:pPr>
              <w:pStyle w:val="TableParagraph"/>
              <w:spacing w:before="51"/>
              <w:ind w:left="3" w:right="4"/>
              <w:jc w:val="center"/>
              <w:rPr>
                <w:sz w:val="20"/>
              </w:rPr>
            </w:pPr>
            <w:r>
              <w:rPr>
                <w:spacing w:val="-5"/>
                <w:sz w:val="20"/>
              </w:rPr>
              <w:t>38</w:t>
            </w:r>
          </w:p>
        </w:tc>
        <w:tc>
          <w:tcPr>
            <w:tcW w:w="546" w:type="dxa"/>
          </w:tcPr>
          <w:p>
            <w:pPr>
              <w:pStyle w:val="TableParagraph"/>
              <w:spacing w:before="51"/>
              <w:ind w:left="7" w:right="10"/>
              <w:jc w:val="center"/>
              <w:rPr>
                <w:sz w:val="20"/>
              </w:rPr>
            </w:pPr>
            <w:r>
              <w:rPr>
                <w:spacing w:val="-5"/>
                <w:sz w:val="20"/>
              </w:rPr>
              <w:t>227</w:t>
            </w:r>
          </w:p>
        </w:tc>
        <w:tc>
          <w:tcPr>
            <w:tcW w:w="581" w:type="dxa"/>
          </w:tcPr>
          <w:p>
            <w:pPr>
              <w:pStyle w:val="TableParagraph"/>
              <w:spacing w:before="51"/>
              <w:ind w:right="209"/>
              <w:jc w:val="right"/>
              <w:rPr>
                <w:sz w:val="20"/>
              </w:rPr>
            </w:pPr>
            <w:r>
              <w:rPr>
                <w:spacing w:val="-5"/>
                <w:sz w:val="20"/>
              </w:rPr>
              <w:t>50</w:t>
            </w:r>
          </w:p>
        </w:tc>
        <w:tc>
          <w:tcPr>
            <w:tcW w:w="859" w:type="dxa"/>
          </w:tcPr>
          <w:p>
            <w:pPr>
              <w:pStyle w:val="TableParagraph"/>
              <w:spacing w:before="51"/>
              <w:ind w:left="2" w:right="65"/>
              <w:jc w:val="center"/>
              <w:rPr>
                <w:sz w:val="20"/>
              </w:rPr>
            </w:pPr>
            <w:r>
              <w:rPr>
                <w:spacing w:val="-2"/>
                <w:sz w:val="20"/>
              </w:rPr>
              <w:t>3.752</w:t>
            </w:r>
          </w:p>
        </w:tc>
        <w:tc>
          <w:tcPr>
            <w:tcW w:w="808" w:type="dxa"/>
          </w:tcPr>
          <w:p>
            <w:pPr>
              <w:pStyle w:val="TableParagraph"/>
              <w:spacing w:before="51"/>
              <w:ind w:right="403"/>
              <w:jc w:val="right"/>
              <w:rPr>
                <w:sz w:val="20"/>
              </w:rPr>
            </w:pPr>
            <w:r>
              <w:rPr>
                <w:spacing w:val="-10"/>
                <w:sz w:val="20"/>
              </w:rPr>
              <w:t>5</w:t>
            </w:r>
          </w:p>
        </w:tc>
        <w:tc>
          <w:tcPr>
            <w:tcW w:w="1745" w:type="dxa"/>
          </w:tcPr>
          <w:p>
            <w:pPr>
              <w:pStyle w:val="TableParagraph"/>
              <w:spacing w:before="51"/>
              <w:ind w:left="1" w:right="90"/>
              <w:jc w:val="center"/>
              <w:rPr>
                <w:sz w:val="20"/>
              </w:rPr>
            </w:pPr>
            <w:r>
              <w:rPr>
                <w:spacing w:val="-2"/>
                <w:sz w:val="20"/>
              </w:rPr>
              <w:t>Effective</w:t>
            </w:r>
          </w:p>
        </w:tc>
      </w:tr>
      <w:tr>
        <w:trPr>
          <w:trHeight w:val="344" w:hRule="atLeast"/>
        </w:trPr>
        <w:tc>
          <w:tcPr>
            <w:tcW w:w="611" w:type="dxa"/>
          </w:tcPr>
          <w:p>
            <w:pPr>
              <w:pStyle w:val="TableParagraph"/>
              <w:spacing w:before="54"/>
              <w:ind w:right="105"/>
              <w:jc w:val="right"/>
              <w:rPr>
                <w:b/>
                <w:sz w:val="20"/>
              </w:rPr>
            </w:pPr>
            <w:r>
              <w:rPr>
                <w:b/>
                <w:spacing w:val="-5"/>
                <w:sz w:val="20"/>
              </w:rPr>
              <w:t>16</w:t>
            </w:r>
          </w:p>
        </w:tc>
        <w:tc>
          <w:tcPr>
            <w:tcW w:w="5557" w:type="dxa"/>
          </w:tcPr>
          <w:p>
            <w:pPr>
              <w:pStyle w:val="TableParagraph"/>
              <w:spacing w:before="49"/>
              <w:ind w:left="106"/>
              <w:rPr>
                <w:sz w:val="20"/>
              </w:rPr>
            </w:pPr>
            <w:r>
              <w:rPr>
                <w:sz w:val="20"/>
              </w:rPr>
              <w:t>Use</w:t>
            </w:r>
            <w:r>
              <w:rPr>
                <w:spacing w:val="-6"/>
                <w:sz w:val="20"/>
              </w:rPr>
              <w:t> </w:t>
            </w:r>
            <w:r>
              <w:rPr>
                <w:sz w:val="20"/>
              </w:rPr>
              <w:t>water</w:t>
            </w:r>
            <w:r>
              <w:rPr>
                <w:spacing w:val="-6"/>
                <w:sz w:val="20"/>
              </w:rPr>
              <w:t> </w:t>
            </w:r>
            <w:r>
              <w:rPr>
                <w:sz w:val="20"/>
              </w:rPr>
              <w:t>sparingly/reduction</w:t>
            </w:r>
            <w:r>
              <w:rPr>
                <w:spacing w:val="-6"/>
                <w:sz w:val="20"/>
              </w:rPr>
              <w:t> </w:t>
            </w:r>
            <w:r>
              <w:rPr>
                <w:sz w:val="20"/>
              </w:rPr>
              <w:t>in</w:t>
            </w:r>
            <w:r>
              <w:rPr>
                <w:spacing w:val="-6"/>
                <w:sz w:val="20"/>
              </w:rPr>
              <w:t> </w:t>
            </w:r>
            <w:r>
              <w:rPr>
                <w:sz w:val="20"/>
              </w:rPr>
              <w:t>water</w:t>
            </w:r>
            <w:r>
              <w:rPr>
                <w:spacing w:val="-7"/>
                <w:sz w:val="20"/>
              </w:rPr>
              <w:t> </w:t>
            </w:r>
            <w:r>
              <w:rPr>
                <w:spacing w:val="-2"/>
                <w:sz w:val="20"/>
              </w:rPr>
              <w:t>consumption</w:t>
            </w:r>
          </w:p>
        </w:tc>
        <w:tc>
          <w:tcPr>
            <w:tcW w:w="696" w:type="dxa"/>
          </w:tcPr>
          <w:p>
            <w:pPr>
              <w:pStyle w:val="TableParagraph"/>
              <w:spacing w:before="49"/>
              <w:ind w:left="334"/>
              <w:rPr>
                <w:sz w:val="20"/>
              </w:rPr>
            </w:pPr>
            <w:r>
              <w:rPr>
                <w:spacing w:val="-5"/>
                <w:sz w:val="20"/>
              </w:rPr>
              <w:t>12</w:t>
            </w:r>
          </w:p>
        </w:tc>
        <w:tc>
          <w:tcPr>
            <w:tcW w:w="510" w:type="dxa"/>
          </w:tcPr>
          <w:p>
            <w:pPr>
              <w:pStyle w:val="TableParagraph"/>
              <w:spacing w:before="49"/>
              <w:ind w:left="2" w:right="2"/>
              <w:jc w:val="center"/>
              <w:rPr>
                <w:sz w:val="20"/>
              </w:rPr>
            </w:pPr>
            <w:r>
              <w:rPr>
                <w:spacing w:val="-5"/>
                <w:sz w:val="20"/>
              </w:rPr>
              <w:t>31</w:t>
            </w:r>
          </w:p>
        </w:tc>
        <w:tc>
          <w:tcPr>
            <w:tcW w:w="548" w:type="dxa"/>
          </w:tcPr>
          <w:p>
            <w:pPr>
              <w:pStyle w:val="TableParagraph"/>
              <w:spacing w:before="49"/>
              <w:ind w:left="3" w:right="4"/>
              <w:jc w:val="center"/>
              <w:rPr>
                <w:sz w:val="20"/>
              </w:rPr>
            </w:pPr>
            <w:r>
              <w:rPr>
                <w:spacing w:val="-5"/>
                <w:sz w:val="20"/>
              </w:rPr>
              <w:t>256</w:t>
            </w:r>
          </w:p>
        </w:tc>
        <w:tc>
          <w:tcPr>
            <w:tcW w:w="546" w:type="dxa"/>
          </w:tcPr>
          <w:p>
            <w:pPr>
              <w:pStyle w:val="TableParagraph"/>
              <w:spacing w:before="49"/>
              <w:ind w:left="7" w:right="10"/>
              <w:jc w:val="center"/>
              <w:rPr>
                <w:sz w:val="20"/>
              </w:rPr>
            </w:pPr>
            <w:r>
              <w:rPr>
                <w:spacing w:val="-5"/>
                <w:sz w:val="20"/>
              </w:rPr>
              <w:t>50</w:t>
            </w:r>
          </w:p>
        </w:tc>
        <w:tc>
          <w:tcPr>
            <w:tcW w:w="581" w:type="dxa"/>
          </w:tcPr>
          <w:p>
            <w:pPr>
              <w:pStyle w:val="TableParagraph"/>
              <w:spacing w:before="49"/>
              <w:ind w:right="209"/>
              <w:jc w:val="right"/>
              <w:rPr>
                <w:sz w:val="20"/>
              </w:rPr>
            </w:pPr>
            <w:r>
              <w:rPr>
                <w:spacing w:val="-5"/>
                <w:sz w:val="20"/>
              </w:rPr>
              <w:t>10</w:t>
            </w:r>
          </w:p>
        </w:tc>
        <w:tc>
          <w:tcPr>
            <w:tcW w:w="859" w:type="dxa"/>
          </w:tcPr>
          <w:p>
            <w:pPr>
              <w:pStyle w:val="TableParagraph"/>
              <w:spacing w:before="49"/>
              <w:ind w:left="1" w:right="65"/>
              <w:jc w:val="center"/>
              <w:rPr>
                <w:sz w:val="20"/>
              </w:rPr>
            </w:pPr>
            <w:r>
              <w:rPr>
                <w:spacing w:val="-2"/>
                <w:sz w:val="20"/>
              </w:rPr>
              <w:t>3.042</w:t>
            </w:r>
          </w:p>
        </w:tc>
        <w:tc>
          <w:tcPr>
            <w:tcW w:w="808" w:type="dxa"/>
          </w:tcPr>
          <w:p>
            <w:pPr>
              <w:pStyle w:val="TableParagraph"/>
              <w:spacing w:before="49"/>
              <w:ind w:right="349"/>
              <w:jc w:val="right"/>
              <w:rPr>
                <w:sz w:val="20"/>
              </w:rPr>
            </w:pPr>
            <w:r>
              <w:rPr>
                <w:spacing w:val="-5"/>
                <w:sz w:val="20"/>
              </w:rPr>
              <w:t>10</w:t>
            </w:r>
          </w:p>
        </w:tc>
        <w:tc>
          <w:tcPr>
            <w:tcW w:w="1745" w:type="dxa"/>
          </w:tcPr>
          <w:p>
            <w:pPr>
              <w:pStyle w:val="TableParagraph"/>
              <w:spacing w:before="49"/>
              <w:ind w:left="1" w:right="90"/>
              <w:jc w:val="center"/>
              <w:rPr>
                <w:sz w:val="20"/>
              </w:rPr>
            </w:pPr>
            <w:r>
              <w:rPr>
                <w:spacing w:val="-2"/>
                <w:sz w:val="20"/>
              </w:rPr>
              <w:t>Effective</w:t>
            </w:r>
          </w:p>
        </w:tc>
      </w:tr>
      <w:tr>
        <w:trPr>
          <w:trHeight w:val="345" w:hRule="atLeast"/>
        </w:trPr>
        <w:tc>
          <w:tcPr>
            <w:tcW w:w="611" w:type="dxa"/>
          </w:tcPr>
          <w:p>
            <w:pPr>
              <w:pStyle w:val="TableParagraph"/>
              <w:spacing w:before="55"/>
              <w:ind w:right="105"/>
              <w:jc w:val="right"/>
              <w:rPr>
                <w:b/>
                <w:sz w:val="20"/>
              </w:rPr>
            </w:pPr>
            <w:r>
              <w:rPr>
                <w:b/>
                <w:spacing w:val="-5"/>
                <w:sz w:val="20"/>
              </w:rPr>
              <w:t>17</w:t>
            </w:r>
          </w:p>
        </w:tc>
        <w:tc>
          <w:tcPr>
            <w:tcW w:w="5557" w:type="dxa"/>
          </w:tcPr>
          <w:p>
            <w:pPr>
              <w:pStyle w:val="TableParagraph"/>
              <w:spacing w:before="51"/>
              <w:ind w:left="106"/>
              <w:rPr>
                <w:sz w:val="20"/>
              </w:rPr>
            </w:pPr>
            <w:r>
              <w:rPr>
                <w:sz w:val="20"/>
              </w:rPr>
              <w:t>Use</w:t>
            </w:r>
            <w:r>
              <w:rPr>
                <w:spacing w:val="-5"/>
                <w:sz w:val="20"/>
              </w:rPr>
              <w:t> </w:t>
            </w:r>
            <w:r>
              <w:rPr>
                <w:sz w:val="20"/>
              </w:rPr>
              <w:t>of</w:t>
            </w:r>
            <w:r>
              <w:rPr>
                <w:spacing w:val="-3"/>
                <w:sz w:val="20"/>
              </w:rPr>
              <w:t> </w:t>
            </w:r>
            <w:r>
              <w:rPr>
                <w:sz w:val="20"/>
              </w:rPr>
              <w:t>water</w:t>
            </w:r>
            <w:r>
              <w:rPr>
                <w:spacing w:val="-3"/>
                <w:sz w:val="20"/>
              </w:rPr>
              <w:t> </w:t>
            </w:r>
            <w:r>
              <w:rPr>
                <w:sz w:val="20"/>
              </w:rPr>
              <w:t>booster</w:t>
            </w:r>
            <w:r>
              <w:rPr>
                <w:spacing w:val="-3"/>
                <w:sz w:val="20"/>
              </w:rPr>
              <w:t> </w:t>
            </w:r>
            <w:r>
              <w:rPr>
                <w:spacing w:val="-4"/>
                <w:sz w:val="20"/>
              </w:rPr>
              <w:t>pump</w:t>
            </w:r>
          </w:p>
        </w:tc>
        <w:tc>
          <w:tcPr>
            <w:tcW w:w="696" w:type="dxa"/>
          </w:tcPr>
          <w:p>
            <w:pPr>
              <w:pStyle w:val="TableParagraph"/>
              <w:spacing w:before="51"/>
              <w:ind w:left="334"/>
              <w:rPr>
                <w:sz w:val="20"/>
              </w:rPr>
            </w:pPr>
            <w:r>
              <w:rPr>
                <w:spacing w:val="-5"/>
                <w:sz w:val="20"/>
              </w:rPr>
              <w:t>19</w:t>
            </w:r>
          </w:p>
        </w:tc>
        <w:tc>
          <w:tcPr>
            <w:tcW w:w="510" w:type="dxa"/>
          </w:tcPr>
          <w:p>
            <w:pPr>
              <w:pStyle w:val="TableParagraph"/>
              <w:spacing w:before="51"/>
              <w:ind w:left="2" w:right="2"/>
              <w:jc w:val="center"/>
              <w:rPr>
                <w:sz w:val="20"/>
              </w:rPr>
            </w:pPr>
            <w:r>
              <w:rPr>
                <w:spacing w:val="-5"/>
                <w:sz w:val="20"/>
              </w:rPr>
              <w:t>40</w:t>
            </w:r>
          </w:p>
        </w:tc>
        <w:tc>
          <w:tcPr>
            <w:tcW w:w="548" w:type="dxa"/>
          </w:tcPr>
          <w:p>
            <w:pPr>
              <w:pStyle w:val="TableParagraph"/>
              <w:spacing w:before="51"/>
              <w:ind w:left="3" w:right="4"/>
              <w:jc w:val="center"/>
              <w:rPr>
                <w:sz w:val="20"/>
              </w:rPr>
            </w:pPr>
            <w:r>
              <w:rPr>
                <w:spacing w:val="-5"/>
                <w:sz w:val="20"/>
              </w:rPr>
              <w:t>258</w:t>
            </w:r>
          </w:p>
        </w:tc>
        <w:tc>
          <w:tcPr>
            <w:tcW w:w="546" w:type="dxa"/>
          </w:tcPr>
          <w:p>
            <w:pPr>
              <w:pStyle w:val="TableParagraph"/>
              <w:spacing w:before="51"/>
              <w:ind w:left="7" w:right="10"/>
              <w:jc w:val="center"/>
              <w:rPr>
                <w:sz w:val="20"/>
              </w:rPr>
            </w:pPr>
            <w:r>
              <w:rPr>
                <w:spacing w:val="-5"/>
                <w:sz w:val="20"/>
              </w:rPr>
              <w:t>29</w:t>
            </w:r>
          </w:p>
        </w:tc>
        <w:tc>
          <w:tcPr>
            <w:tcW w:w="581" w:type="dxa"/>
          </w:tcPr>
          <w:p>
            <w:pPr>
              <w:pStyle w:val="TableParagraph"/>
              <w:spacing w:before="51"/>
              <w:ind w:right="209"/>
              <w:jc w:val="right"/>
              <w:rPr>
                <w:sz w:val="20"/>
              </w:rPr>
            </w:pPr>
            <w:r>
              <w:rPr>
                <w:spacing w:val="-5"/>
                <w:sz w:val="20"/>
              </w:rPr>
              <w:t>13</w:t>
            </w:r>
          </w:p>
        </w:tc>
        <w:tc>
          <w:tcPr>
            <w:tcW w:w="859" w:type="dxa"/>
          </w:tcPr>
          <w:p>
            <w:pPr>
              <w:pStyle w:val="TableParagraph"/>
              <w:spacing w:before="51"/>
              <w:ind w:left="1" w:right="65"/>
              <w:jc w:val="center"/>
              <w:rPr>
                <w:sz w:val="20"/>
              </w:rPr>
            </w:pPr>
            <w:r>
              <w:rPr>
                <w:spacing w:val="-2"/>
                <w:sz w:val="20"/>
              </w:rPr>
              <w:t>2.936</w:t>
            </w:r>
          </w:p>
        </w:tc>
        <w:tc>
          <w:tcPr>
            <w:tcW w:w="808" w:type="dxa"/>
          </w:tcPr>
          <w:p>
            <w:pPr>
              <w:pStyle w:val="TableParagraph"/>
              <w:spacing w:before="51"/>
              <w:ind w:right="349"/>
              <w:jc w:val="right"/>
              <w:rPr>
                <w:sz w:val="20"/>
              </w:rPr>
            </w:pPr>
            <w:r>
              <w:rPr>
                <w:spacing w:val="-5"/>
                <w:sz w:val="20"/>
              </w:rPr>
              <w:t>12</w:t>
            </w:r>
          </w:p>
        </w:tc>
        <w:tc>
          <w:tcPr>
            <w:tcW w:w="1745" w:type="dxa"/>
          </w:tcPr>
          <w:p>
            <w:pPr>
              <w:pStyle w:val="TableParagraph"/>
              <w:spacing w:before="51"/>
              <w:ind w:right="90"/>
              <w:jc w:val="center"/>
              <w:rPr>
                <w:sz w:val="20"/>
              </w:rPr>
            </w:pPr>
            <w:r>
              <w:rPr>
                <w:sz w:val="20"/>
              </w:rPr>
              <w:t>Not</w:t>
            </w:r>
            <w:r>
              <w:rPr>
                <w:spacing w:val="-5"/>
                <w:sz w:val="20"/>
              </w:rPr>
              <w:t> </w:t>
            </w:r>
            <w:r>
              <w:rPr>
                <w:spacing w:val="-2"/>
                <w:sz w:val="20"/>
              </w:rPr>
              <w:t>Effective</w:t>
            </w:r>
          </w:p>
        </w:tc>
      </w:tr>
      <w:tr>
        <w:trPr>
          <w:trHeight w:val="345" w:hRule="atLeast"/>
        </w:trPr>
        <w:tc>
          <w:tcPr>
            <w:tcW w:w="611" w:type="dxa"/>
          </w:tcPr>
          <w:p>
            <w:pPr>
              <w:pStyle w:val="TableParagraph"/>
              <w:spacing w:before="55"/>
              <w:ind w:right="105"/>
              <w:jc w:val="right"/>
              <w:rPr>
                <w:b/>
                <w:sz w:val="20"/>
              </w:rPr>
            </w:pPr>
            <w:r>
              <w:rPr>
                <w:b/>
                <w:spacing w:val="-5"/>
                <w:sz w:val="20"/>
              </w:rPr>
              <w:t>18</w:t>
            </w:r>
          </w:p>
        </w:tc>
        <w:tc>
          <w:tcPr>
            <w:tcW w:w="5557" w:type="dxa"/>
          </w:tcPr>
          <w:p>
            <w:pPr>
              <w:pStyle w:val="TableParagraph"/>
              <w:spacing w:before="51"/>
              <w:ind w:left="106"/>
              <w:rPr>
                <w:sz w:val="20"/>
              </w:rPr>
            </w:pPr>
            <w:r>
              <w:rPr>
                <w:sz w:val="20"/>
              </w:rPr>
              <w:t>Ground</w:t>
            </w:r>
            <w:r>
              <w:rPr>
                <w:spacing w:val="-5"/>
                <w:sz w:val="20"/>
              </w:rPr>
              <w:t> </w:t>
            </w:r>
            <w:r>
              <w:rPr>
                <w:sz w:val="20"/>
              </w:rPr>
              <w:t>water</w:t>
            </w:r>
            <w:r>
              <w:rPr>
                <w:spacing w:val="-7"/>
                <w:sz w:val="20"/>
              </w:rPr>
              <w:t> </w:t>
            </w:r>
            <w:r>
              <w:rPr>
                <w:sz w:val="20"/>
              </w:rPr>
              <w:t>extraction/digging</w:t>
            </w:r>
            <w:r>
              <w:rPr>
                <w:spacing w:val="-8"/>
                <w:sz w:val="20"/>
              </w:rPr>
              <w:t> </w:t>
            </w:r>
            <w:r>
              <w:rPr>
                <w:sz w:val="20"/>
              </w:rPr>
              <w:t>of</w:t>
            </w:r>
            <w:r>
              <w:rPr>
                <w:spacing w:val="-9"/>
                <w:sz w:val="20"/>
              </w:rPr>
              <w:t> </w:t>
            </w:r>
            <w:r>
              <w:rPr>
                <w:sz w:val="20"/>
              </w:rPr>
              <w:t>shallow</w:t>
            </w:r>
            <w:r>
              <w:rPr>
                <w:spacing w:val="-8"/>
                <w:sz w:val="20"/>
              </w:rPr>
              <w:t> </w:t>
            </w:r>
            <w:r>
              <w:rPr>
                <w:spacing w:val="-2"/>
                <w:sz w:val="20"/>
              </w:rPr>
              <w:t>wells</w:t>
            </w:r>
          </w:p>
        </w:tc>
        <w:tc>
          <w:tcPr>
            <w:tcW w:w="696" w:type="dxa"/>
          </w:tcPr>
          <w:p>
            <w:pPr>
              <w:pStyle w:val="TableParagraph"/>
              <w:spacing w:before="51"/>
              <w:ind w:left="334"/>
              <w:rPr>
                <w:sz w:val="20"/>
              </w:rPr>
            </w:pPr>
            <w:r>
              <w:rPr>
                <w:spacing w:val="-5"/>
                <w:sz w:val="20"/>
              </w:rPr>
              <w:t>24</w:t>
            </w:r>
          </w:p>
        </w:tc>
        <w:tc>
          <w:tcPr>
            <w:tcW w:w="510" w:type="dxa"/>
          </w:tcPr>
          <w:p>
            <w:pPr>
              <w:pStyle w:val="TableParagraph"/>
              <w:spacing w:before="51"/>
              <w:ind w:left="2" w:right="2"/>
              <w:jc w:val="center"/>
              <w:rPr>
                <w:sz w:val="20"/>
              </w:rPr>
            </w:pPr>
            <w:r>
              <w:rPr>
                <w:spacing w:val="-5"/>
                <w:sz w:val="20"/>
              </w:rPr>
              <w:t>45</w:t>
            </w:r>
          </w:p>
        </w:tc>
        <w:tc>
          <w:tcPr>
            <w:tcW w:w="548" w:type="dxa"/>
          </w:tcPr>
          <w:p>
            <w:pPr>
              <w:pStyle w:val="TableParagraph"/>
              <w:spacing w:before="51"/>
              <w:ind w:left="3" w:right="4"/>
              <w:jc w:val="center"/>
              <w:rPr>
                <w:sz w:val="20"/>
              </w:rPr>
            </w:pPr>
            <w:r>
              <w:rPr>
                <w:spacing w:val="-5"/>
                <w:sz w:val="20"/>
              </w:rPr>
              <w:t>238</w:t>
            </w:r>
          </w:p>
        </w:tc>
        <w:tc>
          <w:tcPr>
            <w:tcW w:w="546" w:type="dxa"/>
          </w:tcPr>
          <w:p>
            <w:pPr>
              <w:pStyle w:val="TableParagraph"/>
              <w:spacing w:before="51"/>
              <w:ind w:left="7" w:right="10"/>
              <w:jc w:val="center"/>
              <w:rPr>
                <w:sz w:val="20"/>
              </w:rPr>
            </w:pPr>
            <w:r>
              <w:rPr>
                <w:spacing w:val="-5"/>
                <w:sz w:val="20"/>
              </w:rPr>
              <w:t>37</w:t>
            </w:r>
          </w:p>
        </w:tc>
        <w:tc>
          <w:tcPr>
            <w:tcW w:w="581" w:type="dxa"/>
          </w:tcPr>
          <w:p>
            <w:pPr>
              <w:pStyle w:val="TableParagraph"/>
              <w:spacing w:before="51"/>
              <w:ind w:right="209"/>
              <w:jc w:val="right"/>
              <w:rPr>
                <w:sz w:val="20"/>
              </w:rPr>
            </w:pPr>
            <w:r>
              <w:rPr>
                <w:spacing w:val="-5"/>
                <w:sz w:val="20"/>
              </w:rPr>
              <w:t>15</w:t>
            </w:r>
          </w:p>
        </w:tc>
        <w:tc>
          <w:tcPr>
            <w:tcW w:w="859" w:type="dxa"/>
          </w:tcPr>
          <w:p>
            <w:pPr>
              <w:pStyle w:val="TableParagraph"/>
              <w:spacing w:before="51"/>
              <w:ind w:left="1" w:right="65"/>
              <w:jc w:val="center"/>
              <w:rPr>
                <w:sz w:val="20"/>
              </w:rPr>
            </w:pPr>
            <w:r>
              <w:rPr>
                <w:spacing w:val="-2"/>
                <w:sz w:val="20"/>
              </w:rPr>
              <w:t>2.928</w:t>
            </w:r>
          </w:p>
        </w:tc>
        <w:tc>
          <w:tcPr>
            <w:tcW w:w="808" w:type="dxa"/>
          </w:tcPr>
          <w:p>
            <w:pPr>
              <w:pStyle w:val="TableParagraph"/>
              <w:spacing w:before="51"/>
              <w:ind w:right="349"/>
              <w:jc w:val="right"/>
              <w:rPr>
                <w:sz w:val="20"/>
              </w:rPr>
            </w:pPr>
            <w:r>
              <w:rPr>
                <w:spacing w:val="-5"/>
                <w:sz w:val="20"/>
              </w:rPr>
              <w:t>14</w:t>
            </w:r>
          </w:p>
        </w:tc>
        <w:tc>
          <w:tcPr>
            <w:tcW w:w="1745" w:type="dxa"/>
          </w:tcPr>
          <w:p>
            <w:pPr>
              <w:pStyle w:val="TableParagraph"/>
              <w:spacing w:before="51"/>
              <w:ind w:right="90"/>
              <w:jc w:val="center"/>
              <w:rPr>
                <w:sz w:val="20"/>
              </w:rPr>
            </w:pPr>
            <w:r>
              <w:rPr>
                <w:sz w:val="20"/>
              </w:rPr>
              <w:t>Not</w:t>
            </w:r>
            <w:r>
              <w:rPr>
                <w:spacing w:val="-2"/>
                <w:sz w:val="20"/>
              </w:rPr>
              <w:t> Effective</w:t>
            </w:r>
          </w:p>
        </w:tc>
      </w:tr>
      <w:tr>
        <w:trPr>
          <w:trHeight w:val="402" w:hRule="atLeast"/>
        </w:trPr>
        <w:tc>
          <w:tcPr>
            <w:tcW w:w="611" w:type="dxa"/>
            <w:tcBorders>
              <w:bottom w:val="single" w:sz="8" w:space="0" w:color="000000"/>
            </w:tcBorders>
          </w:tcPr>
          <w:p>
            <w:pPr>
              <w:pStyle w:val="TableParagraph"/>
              <w:spacing w:before="55"/>
              <w:ind w:right="105"/>
              <w:jc w:val="right"/>
              <w:rPr>
                <w:b/>
                <w:sz w:val="20"/>
              </w:rPr>
            </w:pPr>
            <w:r>
              <w:rPr>
                <w:b/>
                <w:spacing w:val="-5"/>
                <w:sz w:val="20"/>
              </w:rPr>
              <w:t>19</w:t>
            </w:r>
          </w:p>
        </w:tc>
        <w:tc>
          <w:tcPr>
            <w:tcW w:w="5557" w:type="dxa"/>
            <w:tcBorders>
              <w:bottom w:val="single" w:sz="8" w:space="0" w:color="000000"/>
            </w:tcBorders>
          </w:tcPr>
          <w:p>
            <w:pPr>
              <w:pStyle w:val="TableParagraph"/>
              <w:spacing w:before="51"/>
              <w:ind w:left="106"/>
              <w:rPr>
                <w:sz w:val="20"/>
              </w:rPr>
            </w:pPr>
            <w:r>
              <w:rPr>
                <w:sz w:val="20"/>
              </w:rPr>
              <w:t>Water</w:t>
            </w:r>
            <w:r>
              <w:rPr>
                <w:spacing w:val="-7"/>
                <w:sz w:val="20"/>
              </w:rPr>
              <w:t> </w:t>
            </w:r>
            <w:r>
              <w:rPr>
                <w:sz w:val="20"/>
              </w:rPr>
              <w:t>collection</w:t>
            </w:r>
            <w:r>
              <w:rPr>
                <w:spacing w:val="-8"/>
                <w:sz w:val="20"/>
              </w:rPr>
              <w:t> </w:t>
            </w:r>
            <w:r>
              <w:rPr>
                <w:sz w:val="20"/>
              </w:rPr>
              <w:t>from</w:t>
            </w:r>
            <w:r>
              <w:rPr>
                <w:spacing w:val="-11"/>
                <w:sz w:val="20"/>
              </w:rPr>
              <w:t> </w:t>
            </w:r>
            <w:r>
              <w:rPr>
                <w:sz w:val="20"/>
              </w:rPr>
              <w:t>neighbours/shared</w:t>
            </w:r>
            <w:r>
              <w:rPr>
                <w:spacing w:val="-7"/>
                <w:sz w:val="20"/>
              </w:rPr>
              <w:t> </w:t>
            </w:r>
            <w:r>
              <w:rPr>
                <w:spacing w:val="-2"/>
                <w:sz w:val="20"/>
              </w:rPr>
              <w:t>source</w:t>
            </w:r>
          </w:p>
        </w:tc>
        <w:tc>
          <w:tcPr>
            <w:tcW w:w="696" w:type="dxa"/>
            <w:tcBorders>
              <w:bottom w:val="single" w:sz="8" w:space="0" w:color="000000"/>
            </w:tcBorders>
          </w:tcPr>
          <w:p>
            <w:pPr>
              <w:pStyle w:val="TableParagraph"/>
              <w:spacing w:before="51"/>
              <w:ind w:left="384"/>
              <w:rPr>
                <w:sz w:val="20"/>
              </w:rPr>
            </w:pPr>
            <w:r>
              <w:rPr>
                <w:spacing w:val="-10"/>
                <w:sz w:val="20"/>
              </w:rPr>
              <w:t>9</w:t>
            </w:r>
          </w:p>
        </w:tc>
        <w:tc>
          <w:tcPr>
            <w:tcW w:w="510" w:type="dxa"/>
            <w:tcBorders>
              <w:bottom w:val="single" w:sz="8" w:space="0" w:color="000000"/>
            </w:tcBorders>
          </w:tcPr>
          <w:p>
            <w:pPr>
              <w:pStyle w:val="TableParagraph"/>
              <w:spacing w:before="51"/>
              <w:ind w:left="2" w:right="2"/>
              <w:jc w:val="center"/>
              <w:rPr>
                <w:sz w:val="20"/>
              </w:rPr>
            </w:pPr>
            <w:r>
              <w:rPr>
                <w:spacing w:val="-5"/>
                <w:sz w:val="20"/>
              </w:rPr>
              <w:t>45</w:t>
            </w:r>
          </w:p>
        </w:tc>
        <w:tc>
          <w:tcPr>
            <w:tcW w:w="548" w:type="dxa"/>
            <w:tcBorders>
              <w:bottom w:val="single" w:sz="8" w:space="0" w:color="000000"/>
            </w:tcBorders>
          </w:tcPr>
          <w:p>
            <w:pPr>
              <w:pStyle w:val="TableParagraph"/>
              <w:spacing w:before="51"/>
              <w:ind w:left="3" w:right="4"/>
              <w:jc w:val="center"/>
              <w:rPr>
                <w:sz w:val="20"/>
              </w:rPr>
            </w:pPr>
            <w:r>
              <w:rPr>
                <w:spacing w:val="-5"/>
                <w:sz w:val="20"/>
              </w:rPr>
              <w:t>222</w:t>
            </w:r>
          </w:p>
        </w:tc>
        <w:tc>
          <w:tcPr>
            <w:tcW w:w="546" w:type="dxa"/>
            <w:tcBorders>
              <w:bottom w:val="single" w:sz="8" w:space="0" w:color="000000"/>
            </w:tcBorders>
          </w:tcPr>
          <w:p>
            <w:pPr>
              <w:pStyle w:val="TableParagraph"/>
              <w:spacing w:before="51"/>
              <w:ind w:left="7" w:right="10"/>
              <w:jc w:val="center"/>
              <w:rPr>
                <w:sz w:val="20"/>
              </w:rPr>
            </w:pPr>
            <w:r>
              <w:rPr>
                <w:spacing w:val="-5"/>
                <w:sz w:val="20"/>
              </w:rPr>
              <w:t>57</w:t>
            </w:r>
          </w:p>
        </w:tc>
        <w:tc>
          <w:tcPr>
            <w:tcW w:w="581" w:type="dxa"/>
            <w:tcBorders>
              <w:bottom w:val="single" w:sz="8" w:space="0" w:color="000000"/>
            </w:tcBorders>
          </w:tcPr>
          <w:p>
            <w:pPr>
              <w:pStyle w:val="TableParagraph"/>
              <w:spacing w:before="51"/>
              <w:ind w:right="209"/>
              <w:jc w:val="right"/>
              <w:rPr>
                <w:sz w:val="20"/>
              </w:rPr>
            </w:pPr>
            <w:r>
              <w:rPr>
                <w:spacing w:val="-5"/>
                <w:sz w:val="20"/>
              </w:rPr>
              <w:t>26</w:t>
            </w:r>
          </w:p>
        </w:tc>
        <w:tc>
          <w:tcPr>
            <w:tcW w:w="859" w:type="dxa"/>
            <w:tcBorders>
              <w:bottom w:val="single" w:sz="8" w:space="0" w:color="000000"/>
            </w:tcBorders>
          </w:tcPr>
          <w:p>
            <w:pPr>
              <w:pStyle w:val="TableParagraph"/>
              <w:spacing w:before="51"/>
              <w:ind w:left="1" w:right="65"/>
              <w:jc w:val="center"/>
              <w:rPr>
                <w:sz w:val="20"/>
              </w:rPr>
            </w:pPr>
            <w:r>
              <w:rPr>
                <w:spacing w:val="-2"/>
                <w:sz w:val="20"/>
              </w:rPr>
              <w:t>3.128</w:t>
            </w:r>
          </w:p>
        </w:tc>
        <w:tc>
          <w:tcPr>
            <w:tcW w:w="808" w:type="dxa"/>
            <w:tcBorders>
              <w:bottom w:val="single" w:sz="8" w:space="0" w:color="000000"/>
            </w:tcBorders>
          </w:tcPr>
          <w:p>
            <w:pPr>
              <w:pStyle w:val="TableParagraph"/>
              <w:spacing w:before="51"/>
              <w:ind w:right="403"/>
              <w:jc w:val="right"/>
              <w:rPr>
                <w:sz w:val="20"/>
              </w:rPr>
            </w:pPr>
            <w:r>
              <w:rPr>
                <w:spacing w:val="-10"/>
                <w:sz w:val="20"/>
              </w:rPr>
              <w:t>9</w:t>
            </w:r>
          </w:p>
        </w:tc>
        <w:tc>
          <w:tcPr>
            <w:tcW w:w="1745" w:type="dxa"/>
            <w:tcBorders>
              <w:bottom w:val="single" w:sz="8" w:space="0" w:color="000000"/>
            </w:tcBorders>
          </w:tcPr>
          <w:p>
            <w:pPr>
              <w:pStyle w:val="TableParagraph"/>
              <w:spacing w:before="51"/>
              <w:ind w:left="1" w:right="90"/>
              <w:jc w:val="center"/>
              <w:rPr>
                <w:sz w:val="20"/>
              </w:rPr>
            </w:pPr>
            <w:r>
              <w:rPr>
                <w:spacing w:val="-2"/>
                <w:sz w:val="20"/>
              </w:rPr>
              <w:t>Effective</w:t>
            </w:r>
          </w:p>
        </w:tc>
      </w:tr>
    </w:tbl>
    <w:p>
      <w:pPr>
        <w:pStyle w:val="BodyText"/>
        <w:spacing w:before="3"/>
        <w:ind w:left="107"/>
      </w:pPr>
      <w:r>
        <w:rPr/>
        <w:t>NE=</w:t>
      </w:r>
      <w:r>
        <w:rPr>
          <w:spacing w:val="-5"/>
        </w:rPr>
        <w:t> </w:t>
      </w:r>
      <w:r>
        <w:rPr/>
        <w:t>Not</w:t>
      </w:r>
      <w:r>
        <w:rPr>
          <w:spacing w:val="-1"/>
        </w:rPr>
        <w:t> </w:t>
      </w:r>
      <w:r>
        <w:rPr/>
        <w:t>effective;</w:t>
      </w:r>
      <w:r>
        <w:rPr>
          <w:spacing w:val="1"/>
        </w:rPr>
        <w:t> </w:t>
      </w:r>
      <w:r>
        <w:rPr/>
        <w:t>LE=Less effective;</w:t>
      </w:r>
      <w:r>
        <w:rPr>
          <w:spacing w:val="-1"/>
        </w:rPr>
        <w:t> </w:t>
      </w:r>
      <w:r>
        <w:rPr/>
        <w:t>UD=Undecided;</w:t>
      </w:r>
      <w:r>
        <w:rPr>
          <w:spacing w:val="-1"/>
        </w:rPr>
        <w:t> </w:t>
      </w:r>
      <w:r>
        <w:rPr/>
        <w:t>EF=</w:t>
      </w:r>
      <w:r>
        <w:rPr>
          <w:spacing w:val="-3"/>
        </w:rPr>
        <w:t> </w:t>
      </w:r>
      <w:r>
        <w:rPr/>
        <w:t>Effective and</w:t>
      </w:r>
      <w:r>
        <w:rPr>
          <w:spacing w:val="-1"/>
        </w:rPr>
        <w:t> </w:t>
      </w:r>
      <w:r>
        <w:rPr/>
        <w:t>VE=</w:t>
      </w:r>
      <w:r>
        <w:rPr>
          <w:spacing w:val="-3"/>
        </w:rPr>
        <w:t> </w:t>
      </w:r>
      <w:r>
        <w:rPr/>
        <w:t>Very</w:t>
      </w:r>
      <w:r>
        <w:rPr>
          <w:spacing w:val="-6"/>
        </w:rPr>
        <w:t> </w:t>
      </w:r>
      <w:r>
        <w:rPr/>
        <w:t>effective.</w:t>
      </w:r>
      <w:r>
        <w:rPr>
          <w:spacing w:val="-1"/>
        </w:rPr>
        <w:t> </w:t>
      </w:r>
      <w:r>
        <w:rPr/>
        <w:t>RII</w:t>
      </w:r>
      <w:r>
        <w:rPr>
          <w:spacing w:val="-3"/>
        </w:rPr>
        <w:t> </w:t>
      </w:r>
      <w:r>
        <w:rPr/>
        <w:t>=</w:t>
      </w:r>
      <w:r>
        <w:rPr>
          <w:spacing w:val="-3"/>
        </w:rPr>
        <w:t> </w:t>
      </w:r>
      <w:r>
        <w:rPr/>
        <w:t>Relative Importance</w:t>
      </w:r>
      <w:r>
        <w:rPr>
          <w:spacing w:val="2"/>
        </w:rPr>
        <w:t> </w:t>
      </w:r>
      <w:r>
        <w:rPr>
          <w:spacing w:val="-2"/>
        </w:rPr>
        <w:t>Index</w:t>
      </w:r>
    </w:p>
    <w:p>
      <w:pPr>
        <w:spacing w:after="0"/>
        <w:sectPr>
          <w:footerReference w:type="default" r:id="rId67"/>
          <w:pgSz w:w="15840" w:h="12240" w:orient="landscape"/>
          <w:pgMar w:header="0" w:footer="1068" w:top="1340" w:bottom="1260" w:left="1880" w:right="1300"/>
        </w:sectPr>
      </w:pPr>
    </w:p>
    <w:p>
      <w:pPr>
        <w:pStyle w:val="BodyText"/>
        <w:spacing w:line="480" w:lineRule="auto" w:before="63"/>
        <w:ind w:left="547" w:right="106"/>
        <w:jc w:val="both"/>
      </w:pPr>
      <w:r>
        <w:rPr/>
        <w:t>On the other hand, 9 adaptive strategies with mean scores below the threshold value of 3.0 were</w:t>
      </w:r>
      <w:r>
        <w:rPr>
          <w:spacing w:val="-5"/>
        </w:rPr>
        <w:t> </w:t>
      </w:r>
      <w:r>
        <w:rPr/>
        <w:t>deemed</w:t>
      </w:r>
      <w:r>
        <w:rPr>
          <w:spacing w:val="-3"/>
        </w:rPr>
        <w:t> </w:t>
      </w:r>
      <w:r>
        <w:rPr/>
        <w:t>as</w:t>
      </w:r>
      <w:r>
        <w:rPr>
          <w:spacing w:val="-4"/>
        </w:rPr>
        <w:t> </w:t>
      </w:r>
      <w:r>
        <w:rPr/>
        <w:t>not</w:t>
      </w:r>
      <w:r>
        <w:rPr>
          <w:spacing w:val="-3"/>
        </w:rPr>
        <w:t> </w:t>
      </w:r>
      <w:r>
        <w:rPr/>
        <w:t>effective.</w:t>
      </w:r>
      <w:r>
        <w:rPr>
          <w:spacing w:val="-3"/>
        </w:rPr>
        <w:t> </w:t>
      </w:r>
      <w:r>
        <w:rPr/>
        <w:t>The</w:t>
      </w:r>
      <w:r>
        <w:rPr>
          <w:spacing w:val="-5"/>
        </w:rPr>
        <w:t> </w:t>
      </w:r>
      <w:r>
        <w:rPr/>
        <w:t>respondents’</w:t>
      </w:r>
      <w:r>
        <w:rPr>
          <w:spacing w:val="-3"/>
        </w:rPr>
        <w:t> </w:t>
      </w:r>
      <w:r>
        <w:rPr/>
        <w:t>responses</w:t>
      </w:r>
      <w:r>
        <w:rPr>
          <w:spacing w:val="-4"/>
        </w:rPr>
        <w:t> </w:t>
      </w:r>
      <w:r>
        <w:rPr/>
        <w:t>for</w:t>
      </w:r>
      <w:r>
        <w:rPr>
          <w:spacing w:val="-3"/>
        </w:rPr>
        <w:t> </w:t>
      </w:r>
      <w:r>
        <w:rPr/>
        <w:t>these</w:t>
      </w:r>
      <w:r>
        <w:rPr>
          <w:spacing w:val="-4"/>
        </w:rPr>
        <w:t> </w:t>
      </w:r>
      <w:r>
        <w:rPr/>
        <w:t>9</w:t>
      </w:r>
      <w:r>
        <w:rPr>
          <w:spacing w:val="-3"/>
        </w:rPr>
        <w:t> </w:t>
      </w:r>
      <w:r>
        <w:rPr/>
        <w:t>strategies</w:t>
      </w:r>
      <w:r>
        <w:rPr>
          <w:spacing w:val="-4"/>
        </w:rPr>
        <w:t> </w:t>
      </w:r>
      <w:r>
        <w:rPr/>
        <w:t>ranged</w:t>
      </w:r>
      <w:r>
        <w:rPr>
          <w:spacing w:val="-3"/>
        </w:rPr>
        <w:t> </w:t>
      </w:r>
      <w:r>
        <w:rPr/>
        <w:t>from not effective to less effective and undecided respectively. This suggests an evidence of divergence in the preponderance of the respondents’ opinions. Their mean scores equally ranged from 2.833 to 2.950. Relocate/move to another location with water supply (2.950), water treatment by filtration (2.936), use of water booster pump (2.936), ground water extraction/digging</w:t>
      </w:r>
      <w:r>
        <w:rPr>
          <w:spacing w:val="-8"/>
        </w:rPr>
        <w:t> </w:t>
      </w:r>
      <w:r>
        <w:rPr/>
        <w:t>of</w:t>
      </w:r>
      <w:r>
        <w:rPr>
          <w:spacing w:val="-7"/>
        </w:rPr>
        <w:t> </w:t>
      </w:r>
      <w:r>
        <w:rPr/>
        <w:t>shallow</w:t>
      </w:r>
      <w:r>
        <w:rPr>
          <w:spacing w:val="-6"/>
        </w:rPr>
        <w:t> </w:t>
      </w:r>
      <w:r>
        <w:rPr/>
        <w:t>well</w:t>
      </w:r>
      <w:r>
        <w:rPr>
          <w:spacing w:val="-5"/>
        </w:rPr>
        <w:t> </w:t>
      </w:r>
      <w:r>
        <w:rPr/>
        <w:t>(2.928)</w:t>
      </w:r>
      <w:r>
        <w:rPr>
          <w:spacing w:val="-7"/>
        </w:rPr>
        <w:t> </w:t>
      </w:r>
      <w:r>
        <w:rPr/>
        <w:t>and</w:t>
      </w:r>
      <w:r>
        <w:rPr>
          <w:spacing w:val="-4"/>
        </w:rPr>
        <w:t> </w:t>
      </w:r>
      <w:r>
        <w:rPr/>
        <w:t>rescheduling</w:t>
      </w:r>
      <w:r>
        <w:rPr>
          <w:spacing w:val="-6"/>
        </w:rPr>
        <w:t> </w:t>
      </w:r>
      <w:r>
        <w:rPr/>
        <w:t>household</w:t>
      </w:r>
      <w:r>
        <w:rPr>
          <w:spacing w:val="-5"/>
        </w:rPr>
        <w:t> </w:t>
      </w:r>
      <w:r>
        <w:rPr/>
        <w:t>activities</w:t>
      </w:r>
      <w:r>
        <w:rPr>
          <w:spacing w:val="-6"/>
        </w:rPr>
        <w:t> </w:t>
      </w:r>
      <w:r>
        <w:rPr/>
        <w:t>till</w:t>
      </w:r>
      <w:r>
        <w:rPr>
          <w:spacing w:val="-5"/>
        </w:rPr>
        <w:t> </w:t>
      </w:r>
      <w:r>
        <w:rPr/>
        <w:t>water</w:t>
      </w:r>
      <w:r>
        <w:rPr>
          <w:spacing w:val="-7"/>
        </w:rPr>
        <w:t> </w:t>
      </w:r>
      <w:r>
        <w:rPr/>
        <w:t>is available (2.919) were ranked 11th, 12th, 13th, 14th and 15th adaptive strategies employed by the respondents, though not effective. In addition, water treatment by boiling (2.916), protest to water authorities (2.894), water treatment by application of alum or chlorination (2.891) and water recycling (2.833) were equally ranked 16th, 17th,18th and 19th adaptive strategies</w:t>
      </w:r>
      <w:r>
        <w:rPr>
          <w:spacing w:val="-3"/>
        </w:rPr>
        <w:t> </w:t>
      </w:r>
      <w:r>
        <w:rPr/>
        <w:t>used</w:t>
      </w:r>
      <w:r>
        <w:rPr>
          <w:spacing w:val="-3"/>
        </w:rPr>
        <w:t> </w:t>
      </w:r>
      <w:r>
        <w:rPr/>
        <w:t>in</w:t>
      </w:r>
      <w:r>
        <w:rPr>
          <w:spacing w:val="-2"/>
        </w:rPr>
        <w:t> </w:t>
      </w:r>
      <w:r>
        <w:rPr/>
        <w:t>coping</w:t>
      </w:r>
      <w:r>
        <w:rPr>
          <w:spacing w:val="-2"/>
        </w:rPr>
        <w:t> </w:t>
      </w:r>
      <w:r>
        <w:rPr/>
        <w:t>with</w:t>
      </w:r>
      <w:r>
        <w:rPr>
          <w:spacing w:val="-3"/>
        </w:rPr>
        <w:t> </w:t>
      </w:r>
      <w:r>
        <w:rPr/>
        <w:t>water</w:t>
      </w:r>
      <w:r>
        <w:rPr>
          <w:spacing w:val="-5"/>
        </w:rPr>
        <w:t> </w:t>
      </w:r>
      <w:r>
        <w:rPr/>
        <w:t>shortage</w:t>
      </w:r>
      <w:r>
        <w:rPr>
          <w:spacing w:val="-3"/>
        </w:rPr>
        <w:t> </w:t>
      </w:r>
      <w:r>
        <w:rPr/>
        <w:t>and</w:t>
      </w:r>
      <w:r>
        <w:rPr>
          <w:spacing w:val="-2"/>
        </w:rPr>
        <w:t> </w:t>
      </w:r>
      <w:r>
        <w:rPr/>
        <w:t>poverty.</w:t>
      </w:r>
      <w:r>
        <w:rPr>
          <w:spacing w:val="-2"/>
        </w:rPr>
        <w:t> </w:t>
      </w:r>
      <w:r>
        <w:rPr/>
        <w:t>These strategies</w:t>
      </w:r>
      <w:r>
        <w:rPr>
          <w:spacing w:val="-3"/>
        </w:rPr>
        <w:t> </w:t>
      </w:r>
      <w:r>
        <w:rPr/>
        <w:t>were</w:t>
      </w:r>
      <w:r>
        <w:rPr>
          <w:spacing w:val="-3"/>
        </w:rPr>
        <w:t> </w:t>
      </w:r>
      <w:r>
        <w:rPr/>
        <w:t>equally</w:t>
      </w:r>
      <w:r>
        <w:rPr>
          <w:spacing w:val="-8"/>
        </w:rPr>
        <w:t> </w:t>
      </w:r>
      <w:r>
        <w:rPr/>
        <w:t>not effective based on the respondents perceptual rating.</w:t>
      </w:r>
    </w:p>
    <w:p>
      <w:pPr>
        <w:pStyle w:val="BodyText"/>
        <w:spacing w:before="9"/>
      </w:pPr>
    </w:p>
    <w:p>
      <w:pPr>
        <w:pStyle w:val="Heading1"/>
        <w:numPr>
          <w:ilvl w:val="1"/>
          <w:numId w:val="10"/>
        </w:numPr>
        <w:tabs>
          <w:tab w:pos="1026" w:val="left" w:leader="none"/>
        </w:tabs>
        <w:spacing w:line="240" w:lineRule="auto" w:before="0" w:after="0"/>
        <w:ind w:left="1026" w:right="0" w:hanging="479"/>
        <w:jc w:val="both"/>
      </w:pPr>
      <w:r>
        <w:rPr/>
        <w:t>Summary</w:t>
      </w:r>
      <w:r>
        <w:rPr>
          <w:spacing w:val="-3"/>
        </w:rPr>
        <w:t> </w:t>
      </w:r>
      <w:r>
        <w:rPr/>
        <w:t>of </w:t>
      </w:r>
      <w:r>
        <w:rPr>
          <w:spacing w:val="-2"/>
        </w:rPr>
        <w:t>Findings</w:t>
      </w:r>
    </w:p>
    <w:p>
      <w:pPr>
        <w:pStyle w:val="BodyText"/>
        <w:spacing w:before="14"/>
        <w:rPr>
          <w:b/>
        </w:rPr>
      </w:pPr>
    </w:p>
    <w:p>
      <w:pPr>
        <w:pStyle w:val="BodyText"/>
        <w:spacing w:line="480" w:lineRule="auto" w:before="1"/>
        <w:ind w:left="547" w:right="107"/>
        <w:jc w:val="both"/>
      </w:pPr>
      <w:r>
        <w:rPr/>
        <w:t>The study assessed the level of water poverty in Minna, focusing on eight (8) neighbourhoods.</w:t>
      </w:r>
      <w:r>
        <w:rPr>
          <w:spacing w:val="-6"/>
        </w:rPr>
        <w:t> </w:t>
      </w:r>
      <w:r>
        <w:rPr/>
        <w:t>The</w:t>
      </w:r>
      <w:r>
        <w:rPr>
          <w:spacing w:val="-7"/>
        </w:rPr>
        <w:t> </w:t>
      </w:r>
      <w:r>
        <w:rPr/>
        <w:t>findings</w:t>
      </w:r>
      <w:r>
        <w:rPr>
          <w:spacing w:val="-5"/>
        </w:rPr>
        <w:t> </w:t>
      </w:r>
      <w:r>
        <w:rPr/>
        <w:t>from</w:t>
      </w:r>
      <w:r>
        <w:rPr>
          <w:spacing w:val="-5"/>
        </w:rPr>
        <w:t> </w:t>
      </w:r>
      <w:r>
        <w:rPr/>
        <w:t>the</w:t>
      </w:r>
      <w:r>
        <w:rPr>
          <w:spacing w:val="-6"/>
        </w:rPr>
        <w:t> </w:t>
      </w:r>
      <w:r>
        <w:rPr/>
        <w:t>study</w:t>
      </w:r>
      <w:r>
        <w:rPr>
          <w:spacing w:val="-10"/>
        </w:rPr>
        <w:t> </w:t>
      </w:r>
      <w:r>
        <w:rPr/>
        <w:t>are</w:t>
      </w:r>
      <w:r>
        <w:rPr>
          <w:spacing w:val="-8"/>
        </w:rPr>
        <w:t> </w:t>
      </w:r>
      <w:r>
        <w:rPr/>
        <w:t>itemized</w:t>
      </w:r>
      <w:r>
        <w:rPr>
          <w:spacing w:val="-6"/>
        </w:rPr>
        <w:t> </w:t>
      </w:r>
      <w:r>
        <w:rPr/>
        <w:t>below</w:t>
      </w:r>
      <w:r>
        <w:rPr>
          <w:spacing w:val="-6"/>
        </w:rPr>
        <w:t> </w:t>
      </w:r>
      <w:r>
        <w:rPr/>
        <w:t>according</w:t>
      </w:r>
      <w:r>
        <w:rPr>
          <w:spacing w:val="-6"/>
        </w:rPr>
        <w:t> </w:t>
      </w:r>
      <w:r>
        <w:rPr/>
        <w:t>to</w:t>
      </w:r>
      <w:r>
        <w:rPr>
          <w:spacing w:val="-4"/>
        </w:rPr>
        <w:t> </w:t>
      </w:r>
      <w:r>
        <w:rPr/>
        <w:t>the</w:t>
      </w:r>
      <w:r>
        <w:rPr>
          <w:spacing w:val="-6"/>
        </w:rPr>
        <w:t> </w:t>
      </w:r>
      <w:r>
        <w:rPr/>
        <w:t>objectives of the study.</w:t>
      </w:r>
    </w:p>
    <w:p>
      <w:pPr>
        <w:pStyle w:val="BodyText"/>
        <w:spacing w:before="7"/>
      </w:pPr>
    </w:p>
    <w:p>
      <w:pPr>
        <w:pStyle w:val="Heading1"/>
        <w:numPr>
          <w:ilvl w:val="2"/>
          <w:numId w:val="10"/>
        </w:numPr>
        <w:tabs>
          <w:tab w:pos="1266" w:val="left" w:leader="none"/>
        </w:tabs>
        <w:spacing w:line="240" w:lineRule="auto" w:before="0" w:after="0"/>
        <w:ind w:left="1266" w:right="0" w:hanging="719"/>
        <w:jc w:val="both"/>
      </w:pPr>
      <w:r>
        <w:rPr/>
        <w:t>Extent</w:t>
      </w:r>
      <w:r>
        <w:rPr>
          <w:spacing w:val="-1"/>
        </w:rPr>
        <w:t> </w:t>
      </w:r>
      <w:r>
        <w:rPr/>
        <w:t>of public</w:t>
      </w:r>
      <w:r>
        <w:rPr>
          <w:spacing w:val="-2"/>
        </w:rPr>
        <w:t> </w:t>
      </w:r>
      <w:r>
        <w:rPr/>
        <w:t>water</w:t>
      </w:r>
      <w:r>
        <w:rPr>
          <w:spacing w:val="-2"/>
        </w:rPr>
        <w:t> </w:t>
      </w:r>
      <w:r>
        <w:rPr/>
        <w:t>supply</w:t>
      </w:r>
      <w:r>
        <w:rPr>
          <w:spacing w:val="-3"/>
        </w:rPr>
        <w:t> </w:t>
      </w:r>
      <w:r>
        <w:rPr/>
        <w:t>in</w:t>
      </w:r>
      <w:r>
        <w:rPr>
          <w:spacing w:val="3"/>
        </w:rPr>
        <w:t> </w:t>
      </w:r>
      <w:r>
        <w:rPr>
          <w:spacing w:val="-4"/>
        </w:rPr>
        <w:t>Minna</w:t>
      </w:r>
    </w:p>
    <w:p>
      <w:pPr>
        <w:pStyle w:val="BodyText"/>
        <w:spacing w:line="550" w:lineRule="atLeast" w:before="17"/>
        <w:ind w:left="907" w:right="108"/>
        <w:jc w:val="both"/>
      </w:pPr>
      <w:r>
        <w:rPr/>
        <w:t>Four</w:t>
      </w:r>
      <w:r>
        <w:rPr>
          <w:spacing w:val="-2"/>
        </w:rPr>
        <w:t> </w:t>
      </w:r>
      <w:r>
        <w:rPr/>
        <w:t>(4)</w:t>
      </w:r>
      <w:r>
        <w:rPr>
          <w:spacing w:val="-3"/>
        </w:rPr>
        <w:t> </w:t>
      </w:r>
      <w:r>
        <w:rPr/>
        <w:t>of</w:t>
      </w:r>
      <w:r>
        <w:rPr>
          <w:spacing w:val="-2"/>
        </w:rPr>
        <w:t> </w:t>
      </w:r>
      <w:r>
        <w:rPr/>
        <w:t>the</w:t>
      </w:r>
      <w:r>
        <w:rPr>
          <w:spacing w:val="-2"/>
        </w:rPr>
        <w:t> </w:t>
      </w:r>
      <w:r>
        <w:rPr/>
        <w:t>neighbourhood</w:t>
      </w:r>
      <w:r>
        <w:rPr>
          <w:spacing w:val="-1"/>
        </w:rPr>
        <w:t> </w:t>
      </w:r>
      <w:r>
        <w:rPr/>
        <w:t>were</w:t>
      </w:r>
      <w:r>
        <w:rPr>
          <w:spacing w:val="-3"/>
        </w:rPr>
        <w:t> </w:t>
      </w:r>
      <w:r>
        <w:rPr/>
        <w:t>within the</w:t>
      </w:r>
      <w:r>
        <w:rPr>
          <w:spacing w:val="-1"/>
        </w:rPr>
        <w:t> </w:t>
      </w:r>
      <w:r>
        <w:rPr/>
        <w:t>public</w:t>
      </w:r>
      <w:r>
        <w:rPr>
          <w:spacing w:val="-2"/>
        </w:rPr>
        <w:t> </w:t>
      </w:r>
      <w:r>
        <w:rPr/>
        <w:t>coverage</w:t>
      </w:r>
      <w:r>
        <w:rPr>
          <w:spacing w:val="-2"/>
        </w:rPr>
        <w:t> </w:t>
      </w:r>
      <w:r>
        <w:rPr/>
        <w:t>of</w:t>
      </w:r>
      <w:r>
        <w:rPr>
          <w:spacing w:val="-2"/>
        </w:rPr>
        <w:t> </w:t>
      </w:r>
      <w:r>
        <w:rPr/>
        <w:t>water</w:t>
      </w:r>
      <w:r>
        <w:rPr>
          <w:spacing w:val="-2"/>
        </w:rPr>
        <w:t> </w:t>
      </w:r>
      <w:r>
        <w:rPr/>
        <w:t>supply</w:t>
      </w:r>
      <w:r>
        <w:rPr>
          <w:spacing w:val="-4"/>
        </w:rPr>
        <w:t> </w:t>
      </w:r>
      <w:r>
        <w:rPr/>
        <w:t>(Tudun- Wada South, Dutsenkura, Minna-Central and F-Layout) while the other four (4) comprising</w:t>
      </w:r>
      <w:r>
        <w:rPr>
          <w:spacing w:val="-15"/>
        </w:rPr>
        <w:t> </w:t>
      </w:r>
      <w:r>
        <w:rPr/>
        <w:t>Tudun-Fulani,</w:t>
      </w:r>
      <w:r>
        <w:rPr>
          <w:spacing w:val="-15"/>
        </w:rPr>
        <w:t> </w:t>
      </w:r>
      <w:r>
        <w:rPr/>
        <w:t>Maitumbi,</w:t>
      </w:r>
      <w:r>
        <w:rPr>
          <w:spacing w:val="-15"/>
        </w:rPr>
        <w:t> </w:t>
      </w:r>
      <w:r>
        <w:rPr/>
        <w:t>Saukakahuta</w:t>
      </w:r>
      <w:r>
        <w:rPr>
          <w:spacing w:val="-15"/>
        </w:rPr>
        <w:t> </w:t>
      </w:r>
      <w:r>
        <w:rPr/>
        <w:t>and</w:t>
      </w:r>
      <w:r>
        <w:rPr>
          <w:spacing w:val="-15"/>
        </w:rPr>
        <w:t> </w:t>
      </w:r>
      <w:r>
        <w:rPr/>
        <w:t>Kpakungu</w:t>
      </w:r>
      <w:r>
        <w:rPr>
          <w:spacing w:val="-15"/>
        </w:rPr>
        <w:t> </w:t>
      </w:r>
      <w:r>
        <w:rPr/>
        <w:t>were</w:t>
      </w:r>
      <w:r>
        <w:rPr>
          <w:spacing w:val="-15"/>
        </w:rPr>
        <w:t> </w:t>
      </w:r>
      <w:r>
        <w:rPr/>
        <w:t>partly</w:t>
      </w:r>
      <w:r>
        <w:rPr>
          <w:spacing w:val="-15"/>
        </w:rPr>
        <w:t> </w:t>
      </w:r>
      <w:r>
        <w:rPr/>
        <w:t>outside</w:t>
      </w:r>
      <w:r>
        <w:rPr>
          <w:spacing w:val="-15"/>
        </w:rPr>
        <w:t> </w:t>
      </w:r>
      <w:r>
        <w:rPr/>
        <w:t>the public/forma water coverage- these neighbourhoods were however observed to be situated at the urban fringe of the city.</w:t>
      </w:r>
    </w:p>
    <w:p>
      <w:pPr>
        <w:spacing w:after="0" w:line="550" w:lineRule="atLeast"/>
        <w:jc w:val="both"/>
        <w:sectPr>
          <w:footerReference w:type="default" r:id="rId68"/>
          <w:pgSz w:w="12240" w:h="15840"/>
          <w:pgMar w:header="0" w:footer="1068" w:top="1340" w:bottom="1260" w:left="1440" w:right="1300"/>
          <w:pgNumType w:start="168"/>
        </w:sectPr>
      </w:pPr>
    </w:p>
    <w:p>
      <w:pPr>
        <w:pStyle w:val="Heading1"/>
        <w:numPr>
          <w:ilvl w:val="2"/>
          <w:numId w:val="10"/>
        </w:numPr>
        <w:tabs>
          <w:tab w:pos="1086" w:val="left" w:leader="none"/>
        </w:tabs>
        <w:spacing w:line="240" w:lineRule="auto" w:before="142" w:after="0"/>
        <w:ind w:left="1086" w:right="0" w:hanging="539"/>
        <w:jc w:val="left"/>
      </w:pPr>
      <w:r>
        <w:rPr/>
        <w:t>Households’</w:t>
      </w:r>
      <w:r>
        <w:rPr>
          <w:spacing w:val="-5"/>
        </w:rPr>
        <w:t> </w:t>
      </w:r>
      <w:r>
        <w:rPr/>
        <w:t>water</w:t>
      </w:r>
      <w:r>
        <w:rPr>
          <w:spacing w:val="-2"/>
        </w:rPr>
        <w:t> </w:t>
      </w:r>
      <w:r>
        <w:rPr/>
        <w:t>sources</w:t>
      </w:r>
      <w:r>
        <w:rPr>
          <w:spacing w:val="-2"/>
        </w:rPr>
        <w:t> </w:t>
      </w:r>
      <w:r>
        <w:rPr/>
        <w:t>in the</w:t>
      </w:r>
      <w:r>
        <w:rPr>
          <w:spacing w:val="-2"/>
        </w:rPr>
        <w:t> </w:t>
      </w:r>
      <w:r>
        <w:rPr/>
        <w:t>study</w:t>
      </w:r>
      <w:r>
        <w:rPr>
          <w:spacing w:val="-1"/>
        </w:rPr>
        <w:t> </w:t>
      </w:r>
      <w:r>
        <w:rPr>
          <w:spacing w:val="-4"/>
        </w:rPr>
        <w:t>area</w:t>
      </w:r>
    </w:p>
    <w:p>
      <w:pPr>
        <w:pStyle w:val="BodyText"/>
        <w:spacing w:before="15"/>
        <w:rPr>
          <w:b/>
        </w:rPr>
      </w:pPr>
    </w:p>
    <w:p>
      <w:pPr>
        <w:pStyle w:val="BodyText"/>
        <w:spacing w:line="480" w:lineRule="auto"/>
        <w:ind w:left="547" w:right="105"/>
        <w:jc w:val="both"/>
      </w:pPr>
      <w:r>
        <w:rPr/>
        <w:t>In</w:t>
      </w:r>
      <w:r>
        <w:rPr>
          <w:spacing w:val="-3"/>
        </w:rPr>
        <w:t> </w:t>
      </w:r>
      <w:r>
        <w:rPr/>
        <w:t>terms</w:t>
      </w:r>
      <w:r>
        <w:rPr>
          <w:spacing w:val="-3"/>
        </w:rPr>
        <w:t> </w:t>
      </w:r>
      <w:r>
        <w:rPr/>
        <w:t>of</w:t>
      </w:r>
      <w:r>
        <w:rPr>
          <w:spacing w:val="-3"/>
        </w:rPr>
        <w:t> </w:t>
      </w:r>
      <w:r>
        <w:rPr/>
        <w:t>drinking</w:t>
      </w:r>
      <w:r>
        <w:rPr>
          <w:spacing w:val="-6"/>
        </w:rPr>
        <w:t> </w:t>
      </w:r>
      <w:r>
        <w:rPr/>
        <w:t>water,</w:t>
      </w:r>
      <w:r>
        <w:rPr>
          <w:spacing w:val="-3"/>
        </w:rPr>
        <w:t> </w:t>
      </w:r>
      <w:r>
        <w:rPr/>
        <w:t>only</w:t>
      </w:r>
      <w:r>
        <w:rPr>
          <w:spacing w:val="-11"/>
        </w:rPr>
        <w:t> </w:t>
      </w:r>
      <w:r>
        <w:rPr/>
        <w:t>48.30%</w:t>
      </w:r>
      <w:r>
        <w:rPr>
          <w:spacing w:val="-4"/>
        </w:rPr>
        <w:t> </w:t>
      </w:r>
      <w:r>
        <w:rPr/>
        <w:t>respondents</w:t>
      </w:r>
      <w:r>
        <w:rPr>
          <w:spacing w:val="-3"/>
        </w:rPr>
        <w:t> </w:t>
      </w:r>
      <w:r>
        <w:rPr/>
        <w:t>have</w:t>
      </w:r>
      <w:r>
        <w:rPr>
          <w:spacing w:val="-5"/>
        </w:rPr>
        <w:t> </w:t>
      </w:r>
      <w:r>
        <w:rPr/>
        <w:t>access</w:t>
      </w:r>
      <w:r>
        <w:rPr>
          <w:spacing w:val="-3"/>
        </w:rPr>
        <w:t> </w:t>
      </w:r>
      <w:r>
        <w:rPr/>
        <w:t>to</w:t>
      </w:r>
      <w:r>
        <w:rPr>
          <w:spacing w:val="-3"/>
        </w:rPr>
        <w:t> </w:t>
      </w:r>
      <w:r>
        <w:rPr/>
        <w:t>improved</w:t>
      </w:r>
      <w:r>
        <w:rPr>
          <w:spacing w:val="-3"/>
        </w:rPr>
        <w:t> </w:t>
      </w:r>
      <w:r>
        <w:rPr/>
        <w:t>water</w:t>
      </w:r>
      <w:r>
        <w:rPr>
          <w:spacing w:val="-5"/>
        </w:rPr>
        <w:t> </w:t>
      </w:r>
      <w:r>
        <w:rPr/>
        <w:t>sources (of which 15.00% of the respondents used pipe water) while 51.70% of the respondents depend on unimproved sources. This implied that households in the study area are characterized by low level of access to public water supply and rely on other informal non- network water sources to augment improved water sources. At a disaggregate level, uneven/unbalanced access to water is noticeable in the proportion (37.88%-59.64%) of the households having improved water outside the public water coverage area.</w:t>
      </w:r>
    </w:p>
    <w:p>
      <w:pPr>
        <w:pStyle w:val="BodyText"/>
        <w:spacing w:before="1"/>
      </w:pPr>
    </w:p>
    <w:p>
      <w:pPr>
        <w:pStyle w:val="BodyText"/>
        <w:spacing w:line="480" w:lineRule="auto"/>
        <w:ind w:left="547" w:right="107"/>
        <w:jc w:val="both"/>
      </w:pPr>
      <w:r>
        <w:rPr/>
        <w:t>Aside</w:t>
      </w:r>
      <w:r>
        <w:rPr>
          <w:spacing w:val="-10"/>
        </w:rPr>
        <w:t> </w:t>
      </w:r>
      <w:r>
        <w:rPr/>
        <w:t>the</w:t>
      </w:r>
      <w:r>
        <w:rPr>
          <w:spacing w:val="-10"/>
        </w:rPr>
        <w:t> </w:t>
      </w:r>
      <w:r>
        <w:rPr/>
        <w:t>varied</w:t>
      </w:r>
      <w:r>
        <w:rPr>
          <w:spacing w:val="-8"/>
        </w:rPr>
        <w:t> </w:t>
      </w:r>
      <w:r>
        <w:rPr/>
        <w:t>water</w:t>
      </w:r>
      <w:r>
        <w:rPr>
          <w:spacing w:val="-11"/>
        </w:rPr>
        <w:t> </w:t>
      </w:r>
      <w:r>
        <w:rPr/>
        <w:t>sources</w:t>
      </w:r>
      <w:r>
        <w:rPr>
          <w:spacing w:val="-9"/>
        </w:rPr>
        <w:t> </w:t>
      </w:r>
      <w:r>
        <w:rPr/>
        <w:t>and</w:t>
      </w:r>
      <w:r>
        <w:rPr>
          <w:spacing w:val="-10"/>
        </w:rPr>
        <w:t> </w:t>
      </w:r>
      <w:r>
        <w:rPr/>
        <w:t>the</w:t>
      </w:r>
      <w:r>
        <w:rPr>
          <w:spacing w:val="-11"/>
        </w:rPr>
        <w:t> </w:t>
      </w:r>
      <w:r>
        <w:rPr/>
        <w:t>uneven</w:t>
      </w:r>
      <w:r>
        <w:rPr>
          <w:spacing w:val="-8"/>
        </w:rPr>
        <w:t> </w:t>
      </w:r>
      <w:r>
        <w:rPr/>
        <w:t>access</w:t>
      </w:r>
      <w:r>
        <w:rPr>
          <w:spacing w:val="-9"/>
        </w:rPr>
        <w:t> </w:t>
      </w:r>
      <w:r>
        <w:rPr/>
        <w:t>by</w:t>
      </w:r>
      <w:r>
        <w:rPr>
          <w:spacing w:val="-12"/>
        </w:rPr>
        <w:t> </w:t>
      </w:r>
      <w:r>
        <w:rPr/>
        <w:t>respondents</w:t>
      </w:r>
      <w:r>
        <w:rPr>
          <w:spacing w:val="-9"/>
        </w:rPr>
        <w:t> </w:t>
      </w:r>
      <w:r>
        <w:rPr/>
        <w:t>to</w:t>
      </w:r>
      <w:r>
        <w:rPr>
          <w:spacing w:val="-9"/>
        </w:rPr>
        <w:t> </w:t>
      </w:r>
      <w:r>
        <w:rPr/>
        <w:t>drinking</w:t>
      </w:r>
      <w:r>
        <w:rPr>
          <w:spacing w:val="-12"/>
        </w:rPr>
        <w:t> </w:t>
      </w:r>
      <w:r>
        <w:rPr/>
        <w:t>water</w:t>
      </w:r>
      <w:r>
        <w:rPr>
          <w:spacing w:val="-10"/>
        </w:rPr>
        <w:t> </w:t>
      </w:r>
      <w:r>
        <w:rPr/>
        <w:t>in</w:t>
      </w:r>
      <w:r>
        <w:rPr>
          <w:spacing w:val="-9"/>
        </w:rPr>
        <w:t> </w:t>
      </w:r>
      <w:r>
        <w:rPr/>
        <w:t>the four</w:t>
      </w:r>
      <w:r>
        <w:rPr>
          <w:spacing w:val="-2"/>
        </w:rPr>
        <w:t> </w:t>
      </w:r>
      <w:r>
        <w:rPr/>
        <w:t>(4)</w:t>
      </w:r>
      <w:r>
        <w:rPr>
          <w:spacing w:val="-1"/>
        </w:rPr>
        <w:t> </w:t>
      </w:r>
      <w:r>
        <w:rPr/>
        <w:t>neighbourhoods outside</w:t>
      </w:r>
      <w:r>
        <w:rPr>
          <w:spacing w:val="-1"/>
        </w:rPr>
        <w:t> </w:t>
      </w:r>
      <w:r>
        <w:rPr/>
        <w:t>the</w:t>
      </w:r>
      <w:r>
        <w:rPr>
          <w:spacing w:val="-1"/>
        </w:rPr>
        <w:t> </w:t>
      </w:r>
      <w:r>
        <w:rPr/>
        <w:t>public</w:t>
      </w:r>
      <w:r>
        <w:rPr>
          <w:spacing w:val="-1"/>
        </w:rPr>
        <w:t> </w:t>
      </w:r>
      <w:r>
        <w:rPr/>
        <w:t>water coverage area, sachet water</w:t>
      </w:r>
      <w:r>
        <w:rPr>
          <w:spacing w:val="-2"/>
        </w:rPr>
        <w:t> </w:t>
      </w:r>
      <w:r>
        <w:rPr/>
        <w:t>is nonetheless the predominant source of water used for drinking by respondents outside the formal coverage of public water supply in the study area. For neighbourhoods located within the public water coverage, 27.06% of the households in Dutsenkura, 49.28% in Tudun-Wada, 21.21%</w:t>
      </w:r>
      <w:r>
        <w:rPr>
          <w:spacing w:val="-15"/>
        </w:rPr>
        <w:t> </w:t>
      </w:r>
      <w:r>
        <w:rPr/>
        <w:t>in</w:t>
      </w:r>
      <w:r>
        <w:rPr>
          <w:spacing w:val="-15"/>
        </w:rPr>
        <w:t> </w:t>
      </w:r>
      <w:r>
        <w:rPr/>
        <w:t>F-Layout</w:t>
      </w:r>
      <w:r>
        <w:rPr>
          <w:spacing w:val="-15"/>
        </w:rPr>
        <w:t> </w:t>
      </w:r>
      <w:r>
        <w:rPr/>
        <w:t>and</w:t>
      </w:r>
      <w:r>
        <w:rPr>
          <w:spacing w:val="-11"/>
        </w:rPr>
        <w:t> </w:t>
      </w:r>
      <w:r>
        <w:rPr/>
        <w:t>54.84%</w:t>
      </w:r>
      <w:r>
        <w:rPr>
          <w:spacing w:val="-15"/>
        </w:rPr>
        <w:t> </w:t>
      </w:r>
      <w:r>
        <w:rPr/>
        <w:t>in</w:t>
      </w:r>
      <w:r>
        <w:rPr>
          <w:spacing w:val="-15"/>
        </w:rPr>
        <w:t> </w:t>
      </w:r>
      <w:r>
        <w:rPr/>
        <w:t>Minna-Central</w:t>
      </w:r>
      <w:r>
        <w:rPr>
          <w:spacing w:val="-15"/>
        </w:rPr>
        <w:t> </w:t>
      </w:r>
      <w:r>
        <w:rPr/>
        <w:t>had</w:t>
      </w:r>
      <w:r>
        <w:rPr>
          <w:spacing w:val="-15"/>
        </w:rPr>
        <w:t> </w:t>
      </w:r>
      <w:r>
        <w:rPr/>
        <w:t>access</w:t>
      </w:r>
      <w:r>
        <w:rPr>
          <w:spacing w:val="-15"/>
        </w:rPr>
        <w:t> </w:t>
      </w:r>
      <w:r>
        <w:rPr/>
        <w:t>to</w:t>
      </w:r>
      <w:r>
        <w:rPr>
          <w:spacing w:val="-15"/>
        </w:rPr>
        <w:t> </w:t>
      </w:r>
      <w:r>
        <w:rPr/>
        <w:t>improved</w:t>
      </w:r>
      <w:r>
        <w:rPr>
          <w:spacing w:val="-15"/>
        </w:rPr>
        <w:t> </w:t>
      </w:r>
      <w:r>
        <w:rPr/>
        <w:t>source</w:t>
      </w:r>
      <w:r>
        <w:rPr>
          <w:spacing w:val="-15"/>
        </w:rPr>
        <w:t> </w:t>
      </w:r>
      <w:r>
        <w:rPr/>
        <w:t>of</w:t>
      </w:r>
      <w:r>
        <w:rPr>
          <w:spacing w:val="-15"/>
        </w:rPr>
        <w:t> </w:t>
      </w:r>
      <w:r>
        <w:rPr/>
        <w:t>drinking water. As such, with the exception of Minna-Central, water service level in these neighbourhoods is low as water from improved sources for drinking is below the top of the service ladder occupied by unimproved water sources.</w:t>
      </w:r>
    </w:p>
    <w:p>
      <w:pPr>
        <w:pStyle w:val="BodyText"/>
        <w:spacing w:line="550" w:lineRule="atLeast" w:before="3"/>
        <w:ind w:left="547" w:right="107"/>
        <w:jc w:val="both"/>
      </w:pPr>
      <w:r>
        <w:rPr/>
        <w:t>For domestic use, improved water accounts for 67.30% of the water sources used for household domestic uses based on the respondents’ responses. Although this is an improvement over unimproved sources, the provision of pipe water (which constitutes 24.10% of improved water sources) is far below the water service ladder occupied by improved</w:t>
      </w:r>
      <w:r>
        <w:rPr>
          <w:spacing w:val="9"/>
        </w:rPr>
        <w:t> </w:t>
      </w:r>
      <w:r>
        <w:rPr/>
        <w:t>sources</w:t>
      </w:r>
      <w:r>
        <w:rPr>
          <w:spacing w:val="10"/>
        </w:rPr>
        <w:t> </w:t>
      </w:r>
      <w:r>
        <w:rPr/>
        <w:t>for</w:t>
      </w:r>
      <w:r>
        <w:rPr>
          <w:spacing w:val="9"/>
        </w:rPr>
        <w:t> </w:t>
      </w:r>
      <w:r>
        <w:rPr/>
        <w:t>households’</w:t>
      </w:r>
      <w:r>
        <w:rPr>
          <w:spacing w:val="10"/>
        </w:rPr>
        <w:t> </w:t>
      </w:r>
      <w:r>
        <w:rPr/>
        <w:t>domestic</w:t>
      </w:r>
      <w:r>
        <w:rPr>
          <w:spacing w:val="9"/>
        </w:rPr>
        <w:t> </w:t>
      </w:r>
      <w:r>
        <w:rPr/>
        <w:t>needs.</w:t>
      </w:r>
      <w:r>
        <w:rPr>
          <w:spacing w:val="13"/>
        </w:rPr>
        <w:t> </w:t>
      </w:r>
      <w:r>
        <w:rPr/>
        <w:t>Wide</w:t>
      </w:r>
      <w:r>
        <w:rPr>
          <w:spacing w:val="10"/>
        </w:rPr>
        <w:t> </w:t>
      </w:r>
      <w:r>
        <w:rPr/>
        <w:t>disparity</w:t>
      </w:r>
      <w:r>
        <w:rPr>
          <w:spacing w:val="3"/>
        </w:rPr>
        <w:t> </w:t>
      </w:r>
      <w:r>
        <w:rPr/>
        <w:t>in</w:t>
      </w:r>
      <w:r>
        <w:rPr>
          <w:spacing w:val="11"/>
        </w:rPr>
        <w:t> </w:t>
      </w:r>
      <w:r>
        <w:rPr/>
        <w:t>households’</w:t>
      </w:r>
      <w:r>
        <w:rPr>
          <w:spacing w:val="10"/>
        </w:rPr>
        <w:t> </w:t>
      </w:r>
      <w:r>
        <w:rPr/>
        <w:t>access</w:t>
      </w:r>
      <w:r>
        <w:rPr>
          <w:spacing w:val="11"/>
        </w:rPr>
        <w:t> </w:t>
      </w:r>
      <w:r>
        <w:rPr>
          <w:spacing w:val="-5"/>
        </w:rPr>
        <w:t>to</w:t>
      </w:r>
    </w:p>
    <w:p>
      <w:pPr>
        <w:spacing w:after="0" w:line="550" w:lineRule="atLeast"/>
        <w:jc w:val="both"/>
        <w:sectPr>
          <w:pgSz w:w="12240" w:h="15840"/>
          <w:pgMar w:header="0" w:footer="1068" w:top="1820" w:bottom="1260" w:left="1440" w:right="1300"/>
        </w:sectPr>
      </w:pPr>
    </w:p>
    <w:p>
      <w:pPr>
        <w:pStyle w:val="BodyText"/>
        <w:spacing w:line="480" w:lineRule="auto" w:before="63"/>
        <w:ind w:left="547" w:right="109"/>
        <w:jc w:val="both"/>
      </w:pPr>
      <w:r>
        <w:rPr/>
        <w:t>pipe water for domestic use in neighbourhoods outside the formal water service coverage area,</w:t>
      </w:r>
      <w:r>
        <w:rPr>
          <w:spacing w:val="-9"/>
        </w:rPr>
        <w:t> </w:t>
      </w:r>
      <w:r>
        <w:rPr/>
        <w:t>though</w:t>
      </w:r>
      <w:r>
        <w:rPr>
          <w:spacing w:val="-9"/>
        </w:rPr>
        <w:t> </w:t>
      </w:r>
      <w:r>
        <w:rPr/>
        <w:t>access</w:t>
      </w:r>
      <w:r>
        <w:rPr>
          <w:spacing w:val="-10"/>
        </w:rPr>
        <w:t> </w:t>
      </w:r>
      <w:r>
        <w:rPr/>
        <w:t>to</w:t>
      </w:r>
      <w:r>
        <w:rPr>
          <w:spacing w:val="-10"/>
        </w:rPr>
        <w:t> </w:t>
      </w:r>
      <w:r>
        <w:rPr/>
        <w:t>water</w:t>
      </w:r>
      <w:r>
        <w:rPr>
          <w:spacing w:val="-12"/>
        </w:rPr>
        <w:t> </w:t>
      </w:r>
      <w:r>
        <w:rPr/>
        <w:t>from</w:t>
      </w:r>
      <w:r>
        <w:rPr>
          <w:spacing w:val="-10"/>
        </w:rPr>
        <w:t> </w:t>
      </w:r>
      <w:r>
        <w:rPr/>
        <w:t>improved</w:t>
      </w:r>
      <w:r>
        <w:rPr>
          <w:spacing w:val="-9"/>
        </w:rPr>
        <w:t> </w:t>
      </w:r>
      <w:r>
        <w:rPr/>
        <w:t>sources</w:t>
      </w:r>
      <w:r>
        <w:rPr>
          <w:spacing w:val="-10"/>
        </w:rPr>
        <w:t> </w:t>
      </w:r>
      <w:r>
        <w:rPr/>
        <w:t>was</w:t>
      </w:r>
      <w:r>
        <w:rPr>
          <w:spacing w:val="-10"/>
        </w:rPr>
        <w:t> </w:t>
      </w:r>
      <w:r>
        <w:rPr/>
        <w:t>fairly</w:t>
      </w:r>
      <w:r>
        <w:rPr>
          <w:spacing w:val="-13"/>
        </w:rPr>
        <w:t> </w:t>
      </w:r>
      <w:r>
        <w:rPr/>
        <w:t>high.</w:t>
      </w:r>
      <w:r>
        <w:rPr>
          <w:spacing w:val="-8"/>
        </w:rPr>
        <w:t> </w:t>
      </w:r>
      <w:r>
        <w:rPr/>
        <w:t>For</w:t>
      </w:r>
      <w:r>
        <w:rPr>
          <w:spacing w:val="-9"/>
        </w:rPr>
        <w:t> </w:t>
      </w:r>
      <w:r>
        <w:rPr/>
        <w:t>example,</w:t>
      </w:r>
      <w:r>
        <w:rPr>
          <w:spacing w:val="-11"/>
        </w:rPr>
        <w:t> </w:t>
      </w:r>
      <w:r>
        <w:rPr/>
        <w:t>Kpakungu (83.33%)</w:t>
      </w:r>
      <w:r>
        <w:rPr>
          <w:spacing w:val="-2"/>
        </w:rPr>
        <w:t> </w:t>
      </w:r>
      <w:r>
        <w:rPr/>
        <w:t>has</w:t>
      </w:r>
      <w:r>
        <w:rPr>
          <w:spacing w:val="-1"/>
        </w:rPr>
        <w:t> </w:t>
      </w:r>
      <w:r>
        <w:rPr/>
        <w:t>the</w:t>
      </w:r>
      <w:r>
        <w:rPr>
          <w:spacing w:val="-2"/>
        </w:rPr>
        <w:t> </w:t>
      </w:r>
      <w:r>
        <w:rPr/>
        <w:t>highest proportion</w:t>
      </w:r>
      <w:r>
        <w:rPr>
          <w:spacing w:val="-1"/>
        </w:rPr>
        <w:t> </w:t>
      </w:r>
      <w:r>
        <w:rPr/>
        <w:t>of</w:t>
      </w:r>
      <w:r>
        <w:rPr>
          <w:spacing w:val="-2"/>
        </w:rPr>
        <w:t> </w:t>
      </w:r>
      <w:r>
        <w:rPr/>
        <w:t>respondents</w:t>
      </w:r>
      <w:r>
        <w:rPr>
          <w:spacing w:val="-1"/>
        </w:rPr>
        <w:t> </w:t>
      </w:r>
      <w:r>
        <w:rPr/>
        <w:t>having</w:t>
      </w:r>
      <w:r>
        <w:rPr>
          <w:spacing w:val="-3"/>
        </w:rPr>
        <w:t> </w:t>
      </w:r>
      <w:r>
        <w:rPr/>
        <w:t>access</w:t>
      </w:r>
      <w:r>
        <w:rPr>
          <w:spacing w:val="-1"/>
        </w:rPr>
        <w:t> </w:t>
      </w:r>
      <w:r>
        <w:rPr/>
        <w:t>to</w:t>
      </w:r>
      <w:r>
        <w:rPr>
          <w:spacing w:val="-1"/>
        </w:rPr>
        <w:t> </w:t>
      </w:r>
      <w:r>
        <w:rPr/>
        <w:t>improved</w:t>
      </w:r>
      <w:r>
        <w:rPr>
          <w:spacing w:val="-1"/>
        </w:rPr>
        <w:t> </w:t>
      </w:r>
      <w:r>
        <w:rPr/>
        <w:t>water</w:t>
      </w:r>
      <w:r>
        <w:rPr>
          <w:spacing w:val="-3"/>
        </w:rPr>
        <w:t> </w:t>
      </w:r>
      <w:r>
        <w:rPr/>
        <w:t>source for</w:t>
      </w:r>
      <w:r>
        <w:rPr>
          <w:spacing w:val="-1"/>
        </w:rPr>
        <w:t> </w:t>
      </w:r>
      <w:r>
        <w:rPr/>
        <w:t>domestic</w:t>
      </w:r>
      <w:r>
        <w:rPr>
          <w:spacing w:val="-1"/>
        </w:rPr>
        <w:t> </w:t>
      </w:r>
      <w:r>
        <w:rPr/>
        <w:t>use, followed by</w:t>
      </w:r>
      <w:r>
        <w:rPr>
          <w:spacing w:val="-4"/>
        </w:rPr>
        <w:t> </w:t>
      </w:r>
      <w:r>
        <w:rPr/>
        <w:t>Maitumbi (65.22%), Tudun-Fulani (60.00%) and Saukakauta </w:t>
      </w:r>
      <w:r>
        <w:rPr>
          <w:spacing w:val="-2"/>
        </w:rPr>
        <w:t>(55.95%).</w:t>
      </w:r>
    </w:p>
    <w:p>
      <w:pPr>
        <w:pStyle w:val="BodyText"/>
      </w:pPr>
    </w:p>
    <w:p>
      <w:pPr>
        <w:pStyle w:val="BodyText"/>
        <w:spacing w:line="480" w:lineRule="auto"/>
        <w:ind w:left="547" w:right="106"/>
        <w:jc w:val="both"/>
      </w:pPr>
      <w:r>
        <w:rPr/>
        <w:t>In neighbourhoods within the formal water service coverage area, the proportion of respondents</w:t>
      </w:r>
      <w:r>
        <w:rPr>
          <w:spacing w:val="-4"/>
        </w:rPr>
        <w:t> </w:t>
      </w:r>
      <w:r>
        <w:rPr/>
        <w:t>who</w:t>
      </w:r>
      <w:r>
        <w:rPr>
          <w:spacing w:val="-4"/>
        </w:rPr>
        <w:t> </w:t>
      </w:r>
      <w:r>
        <w:rPr/>
        <w:t>hauled</w:t>
      </w:r>
      <w:r>
        <w:rPr>
          <w:spacing w:val="-5"/>
        </w:rPr>
        <w:t> </w:t>
      </w:r>
      <w:r>
        <w:rPr/>
        <w:t>water</w:t>
      </w:r>
      <w:r>
        <w:rPr>
          <w:spacing w:val="-5"/>
        </w:rPr>
        <w:t> </w:t>
      </w:r>
      <w:r>
        <w:rPr/>
        <w:t>from</w:t>
      </w:r>
      <w:r>
        <w:rPr>
          <w:spacing w:val="-3"/>
        </w:rPr>
        <w:t> </w:t>
      </w:r>
      <w:r>
        <w:rPr/>
        <w:t>improved</w:t>
      </w:r>
      <w:r>
        <w:rPr>
          <w:spacing w:val="-4"/>
        </w:rPr>
        <w:t> </w:t>
      </w:r>
      <w:r>
        <w:rPr/>
        <w:t>sources</w:t>
      </w:r>
      <w:r>
        <w:rPr>
          <w:spacing w:val="-3"/>
        </w:rPr>
        <w:t> </w:t>
      </w:r>
      <w:r>
        <w:rPr/>
        <w:t>for</w:t>
      </w:r>
      <w:r>
        <w:rPr>
          <w:spacing w:val="-5"/>
        </w:rPr>
        <w:t> </w:t>
      </w:r>
      <w:r>
        <w:rPr/>
        <w:t>domestic</w:t>
      </w:r>
      <w:r>
        <w:rPr>
          <w:spacing w:val="-5"/>
        </w:rPr>
        <w:t> </w:t>
      </w:r>
      <w:r>
        <w:rPr/>
        <w:t>use</w:t>
      </w:r>
      <w:r>
        <w:rPr>
          <w:spacing w:val="-5"/>
        </w:rPr>
        <w:t> </w:t>
      </w:r>
      <w:r>
        <w:rPr/>
        <w:t>ranged</w:t>
      </w:r>
      <w:r>
        <w:rPr>
          <w:spacing w:val="-4"/>
        </w:rPr>
        <w:t> </w:t>
      </w:r>
      <w:r>
        <w:rPr/>
        <w:t>from</w:t>
      </w:r>
      <w:r>
        <w:rPr>
          <w:spacing w:val="-3"/>
        </w:rPr>
        <w:t> </w:t>
      </w:r>
      <w:r>
        <w:rPr>
          <w:spacing w:val="-2"/>
        </w:rPr>
        <w:t>53.85%</w:t>
      </w:r>
    </w:p>
    <w:p>
      <w:pPr>
        <w:pStyle w:val="BodyText"/>
        <w:spacing w:line="480" w:lineRule="auto" w:before="1"/>
        <w:ind w:left="547" w:right="112"/>
        <w:jc w:val="both"/>
      </w:pPr>
      <w:r>
        <w:rPr/>
        <w:t>-77.57%</w:t>
      </w:r>
      <w:r>
        <w:rPr>
          <w:spacing w:val="-15"/>
        </w:rPr>
        <w:t> </w:t>
      </w:r>
      <w:r>
        <w:rPr/>
        <w:t>across</w:t>
      </w:r>
      <w:r>
        <w:rPr>
          <w:spacing w:val="-14"/>
        </w:rPr>
        <w:t> </w:t>
      </w:r>
      <w:r>
        <w:rPr/>
        <w:t>the</w:t>
      </w:r>
      <w:r>
        <w:rPr>
          <w:spacing w:val="-14"/>
        </w:rPr>
        <w:t> </w:t>
      </w:r>
      <w:r>
        <w:rPr/>
        <w:t>four</w:t>
      </w:r>
      <w:r>
        <w:rPr>
          <w:spacing w:val="-14"/>
        </w:rPr>
        <w:t> </w:t>
      </w:r>
      <w:r>
        <w:rPr/>
        <w:t>neigbourhoods.</w:t>
      </w:r>
      <w:r>
        <w:rPr>
          <w:spacing w:val="35"/>
        </w:rPr>
        <w:t> </w:t>
      </w:r>
      <w:r>
        <w:rPr/>
        <w:t>While</w:t>
      </w:r>
      <w:r>
        <w:rPr>
          <w:spacing w:val="-14"/>
        </w:rPr>
        <w:t> </w:t>
      </w:r>
      <w:r>
        <w:rPr/>
        <w:t>these</w:t>
      </w:r>
      <w:r>
        <w:rPr>
          <w:spacing w:val="-14"/>
        </w:rPr>
        <w:t> </w:t>
      </w:r>
      <w:r>
        <w:rPr/>
        <w:t>signify</w:t>
      </w:r>
      <w:r>
        <w:rPr>
          <w:spacing w:val="-15"/>
        </w:rPr>
        <w:t> </w:t>
      </w:r>
      <w:r>
        <w:rPr/>
        <w:t>a</w:t>
      </w:r>
      <w:r>
        <w:rPr>
          <w:spacing w:val="-14"/>
        </w:rPr>
        <w:t> </w:t>
      </w:r>
      <w:r>
        <w:rPr/>
        <w:t>high</w:t>
      </w:r>
      <w:r>
        <w:rPr>
          <w:spacing w:val="-13"/>
        </w:rPr>
        <w:t> </w:t>
      </w:r>
      <w:r>
        <w:rPr/>
        <w:t>level</w:t>
      </w:r>
      <w:r>
        <w:rPr>
          <w:spacing w:val="-13"/>
        </w:rPr>
        <w:t> </w:t>
      </w:r>
      <w:r>
        <w:rPr/>
        <w:t>of</w:t>
      </w:r>
      <w:r>
        <w:rPr>
          <w:spacing w:val="-11"/>
        </w:rPr>
        <w:t> </w:t>
      </w:r>
      <w:r>
        <w:rPr/>
        <w:t>household</w:t>
      </w:r>
      <w:r>
        <w:rPr>
          <w:spacing w:val="-13"/>
        </w:rPr>
        <w:t> </w:t>
      </w:r>
      <w:r>
        <w:rPr/>
        <w:t>access to water for domestic purposes, it also implied that respondents augment their improved water sources with other unimproved sources.</w:t>
      </w:r>
    </w:p>
    <w:p>
      <w:pPr>
        <w:pStyle w:val="BodyText"/>
        <w:spacing w:before="7"/>
      </w:pPr>
    </w:p>
    <w:p>
      <w:pPr>
        <w:pStyle w:val="Heading1"/>
        <w:numPr>
          <w:ilvl w:val="2"/>
          <w:numId w:val="10"/>
        </w:numPr>
        <w:tabs>
          <w:tab w:pos="1086" w:val="left" w:leader="none"/>
        </w:tabs>
        <w:spacing w:line="240" w:lineRule="auto" w:before="1" w:after="0"/>
        <w:ind w:left="1086" w:right="0" w:hanging="539"/>
        <w:jc w:val="left"/>
      </w:pPr>
      <w:r>
        <w:rPr/>
        <w:t>Level</w:t>
      </w:r>
      <w:r>
        <w:rPr>
          <w:spacing w:val="-1"/>
        </w:rPr>
        <w:t> </w:t>
      </w:r>
      <w:r>
        <w:rPr/>
        <w:t>of water</w:t>
      </w:r>
      <w:r>
        <w:rPr>
          <w:spacing w:val="-2"/>
        </w:rPr>
        <w:t> </w:t>
      </w:r>
      <w:r>
        <w:rPr/>
        <w:t>stress</w:t>
      </w:r>
      <w:r>
        <w:rPr>
          <w:spacing w:val="-1"/>
        </w:rPr>
        <w:t> </w:t>
      </w:r>
      <w:r>
        <w:rPr/>
        <w:t>and</w:t>
      </w:r>
      <w:r>
        <w:rPr>
          <w:spacing w:val="-1"/>
        </w:rPr>
        <w:t> </w:t>
      </w:r>
      <w:r>
        <w:rPr/>
        <w:t>extent</w:t>
      </w:r>
      <w:r>
        <w:rPr>
          <w:spacing w:val="-1"/>
        </w:rPr>
        <w:t> </w:t>
      </w:r>
      <w:r>
        <w:rPr/>
        <w:t>of</w:t>
      </w:r>
      <w:r>
        <w:rPr>
          <w:spacing w:val="-1"/>
        </w:rPr>
        <w:t> </w:t>
      </w:r>
      <w:r>
        <w:rPr/>
        <w:t>water</w:t>
      </w:r>
      <w:r>
        <w:rPr>
          <w:spacing w:val="-1"/>
        </w:rPr>
        <w:t> </w:t>
      </w:r>
      <w:r>
        <w:rPr/>
        <w:t>poverty</w:t>
      </w:r>
      <w:r>
        <w:rPr>
          <w:spacing w:val="-1"/>
        </w:rPr>
        <w:t> </w:t>
      </w:r>
      <w:r>
        <w:rPr/>
        <w:t>in</w:t>
      </w:r>
      <w:r>
        <w:rPr>
          <w:spacing w:val="-1"/>
        </w:rPr>
        <w:t> </w:t>
      </w:r>
      <w:r>
        <w:rPr/>
        <w:t>the</w:t>
      </w:r>
      <w:r>
        <w:rPr>
          <w:spacing w:val="-1"/>
        </w:rPr>
        <w:t> </w:t>
      </w:r>
      <w:r>
        <w:rPr/>
        <w:t>study</w:t>
      </w:r>
      <w:r>
        <w:rPr>
          <w:spacing w:val="-1"/>
        </w:rPr>
        <w:t> </w:t>
      </w:r>
      <w:r>
        <w:rPr>
          <w:spacing w:val="-4"/>
        </w:rPr>
        <w:t>area</w:t>
      </w:r>
    </w:p>
    <w:p>
      <w:pPr>
        <w:pStyle w:val="BodyText"/>
        <w:spacing w:before="14"/>
        <w:rPr>
          <w:b/>
        </w:rPr>
      </w:pPr>
    </w:p>
    <w:p>
      <w:pPr>
        <w:pStyle w:val="BodyText"/>
        <w:spacing w:line="480" w:lineRule="auto"/>
        <w:ind w:left="547" w:right="107"/>
        <w:jc w:val="both"/>
      </w:pPr>
      <w:r>
        <w:rPr/>
        <w:t>Households</w:t>
      </w:r>
      <w:r>
        <w:rPr>
          <w:spacing w:val="-15"/>
        </w:rPr>
        <w:t> </w:t>
      </w:r>
      <w:r>
        <w:rPr/>
        <w:t>in</w:t>
      </w:r>
      <w:r>
        <w:rPr>
          <w:spacing w:val="-11"/>
        </w:rPr>
        <w:t> </w:t>
      </w:r>
      <w:r>
        <w:rPr/>
        <w:t>the</w:t>
      </w:r>
      <w:r>
        <w:rPr>
          <w:spacing w:val="-13"/>
        </w:rPr>
        <w:t> </w:t>
      </w:r>
      <w:r>
        <w:rPr/>
        <w:t>study</w:t>
      </w:r>
      <w:r>
        <w:rPr>
          <w:spacing w:val="-15"/>
        </w:rPr>
        <w:t> </w:t>
      </w:r>
      <w:r>
        <w:rPr/>
        <w:t>area</w:t>
      </w:r>
      <w:r>
        <w:rPr>
          <w:spacing w:val="-13"/>
        </w:rPr>
        <w:t> </w:t>
      </w:r>
      <w:r>
        <w:rPr/>
        <w:t>are</w:t>
      </w:r>
      <w:r>
        <w:rPr>
          <w:spacing w:val="-14"/>
        </w:rPr>
        <w:t> </w:t>
      </w:r>
      <w:r>
        <w:rPr/>
        <w:t>time</w:t>
      </w:r>
      <w:r>
        <w:rPr>
          <w:spacing w:val="-13"/>
        </w:rPr>
        <w:t> </w:t>
      </w:r>
      <w:r>
        <w:rPr/>
        <w:t>burdened</w:t>
      </w:r>
      <w:r>
        <w:rPr>
          <w:spacing w:val="-12"/>
        </w:rPr>
        <w:t> </w:t>
      </w:r>
      <w:r>
        <w:rPr/>
        <w:t>in</w:t>
      </w:r>
      <w:r>
        <w:rPr>
          <w:spacing w:val="-12"/>
        </w:rPr>
        <w:t> </w:t>
      </w:r>
      <w:r>
        <w:rPr/>
        <w:t>the</w:t>
      </w:r>
      <w:r>
        <w:rPr>
          <w:spacing w:val="-13"/>
        </w:rPr>
        <w:t> </w:t>
      </w:r>
      <w:r>
        <w:rPr/>
        <w:t>search</w:t>
      </w:r>
      <w:r>
        <w:rPr>
          <w:spacing w:val="-12"/>
        </w:rPr>
        <w:t> </w:t>
      </w:r>
      <w:r>
        <w:rPr/>
        <w:t>for</w:t>
      </w:r>
      <w:r>
        <w:rPr>
          <w:spacing w:val="-14"/>
        </w:rPr>
        <w:t> </w:t>
      </w:r>
      <w:r>
        <w:rPr/>
        <w:t>water,</w:t>
      </w:r>
      <w:r>
        <w:rPr>
          <w:spacing w:val="-13"/>
        </w:rPr>
        <w:t> </w:t>
      </w:r>
      <w:r>
        <w:rPr/>
        <w:t>as</w:t>
      </w:r>
      <w:r>
        <w:rPr>
          <w:spacing w:val="-12"/>
        </w:rPr>
        <w:t> </w:t>
      </w:r>
      <w:r>
        <w:rPr/>
        <w:t>they</w:t>
      </w:r>
      <w:r>
        <w:rPr>
          <w:spacing w:val="-14"/>
        </w:rPr>
        <w:t> </w:t>
      </w:r>
      <w:r>
        <w:rPr/>
        <w:t>make</w:t>
      </w:r>
      <w:r>
        <w:rPr>
          <w:spacing w:val="-14"/>
        </w:rPr>
        <w:t> </w:t>
      </w:r>
      <w:r>
        <w:rPr/>
        <w:t>multiple trips of</w:t>
      </w:r>
      <w:r>
        <w:rPr>
          <w:spacing w:val="-1"/>
        </w:rPr>
        <w:t> </w:t>
      </w:r>
      <w:r>
        <w:rPr/>
        <w:t>at least 6 trips per</w:t>
      </w:r>
      <w:r>
        <w:rPr>
          <w:spacing w:val="-1"/>
        </w:rPr>
        <w:t> </w:t>
      </w:r>
      <w:r>
        <w:rPr/>
        <w:t>day</w:t>
      </w:r>
      <w:r>
        <w:rPr>
          <w:spacing w:val="-7"/>
        </w:rPr>
        <w:t> </w:t>
      </w:r>
      <w:r>
        <w:rPr/>
        <w:t>to water</w:t>
      </w:r>
      <w:r>
        <w:rPr>
          <w:spacing w:val="-2"/>
        </w:rPr>
        <w:t> </w:t>
      </w:r>
      <w:r>
        <w:rPr/>
        <w:t>collection point and spent an average</w:t>
      </w:r>
      <w:r>
        <w:rPr>
          <w:spacing w:val="-1"/>
        </w:rPr>
        <w:t> </w:t>
      </w:r>
      <w:r>
        <w:rPr/>
        <w:t>time</w:t>
      </w:r>
      <w:r>
        <w:rPr>
          <w:spacing w:val="-1"/>
        </w:rPr>
        <w:t> </w:t>
      </w:r>
      <w:r>
        <w:rPr/>
        <w:t>of</w:t>
      </w:r>
      <w:r>
        <w:rPr>
          <w:spacing w:val="-1"/>
        </w:rPr>
        <w:t> </w:t>
      </w:r>
      <w:r>
        <w:rPr/>
        <w:t>26 min per round trip water collection. Although the entire households are saddled with the responsibility</w:t>
      </w:r>
      <w:r>
        <w:rPr>
          <w:spacing w:val="-15"/>
        </w:rPr>
        <w:t> </w:t>
      </w:r>
      <w:r>
        <w:rPr/>
        <w:t>of</w:t>
      </w:r>
      <w:r>
        <w:rPr>
          <w:spacing w:val="-11"/>
        </w:rPr>
        <w:t> </w:t>
      </w:r>
      <w:r>
        <w:rPr/>
        <w:t>fetching</w:t>
      </w:r>
      <w:r>
        <w:rPr>
          <w:spacing w:val="-12"/>
        </w:rPr>
        <w:t> </w:t>
      </w:r>
      <w:r>
        <w:rPr/>
        <w:t>water,</w:t>
      </w:r>
      <w:r>
        <w:rPr>
          <w:spacing w:val="-12"/>
        </w:rPr>
        <w:t> </w:t>
      </w:r>
      <w:r>
        <w:rPr/>
        <w:t>the</w:t>
      </w:r>
      <w:r>
        <w:rPr>
          <w:spacing w:val="-13"/>
        </w:rPr>
        <w:t> </w:t>
      </w:r>
      <w:r>
        <w:rPr/>
        <w:t>women</w:t>
      </w:r>
      <w:r>
        <w:rPr>
          <w:spacing w:val="-10"/>
        </w:rPr>
        <w:t> </w:t>
      </w:r>
      <w:r>
        <w:rPr/>
        <w:t>and</w:t>
      </w:r>
      <w:r>
        <w:rPr>
          <w:spacing w:val="-10"/>
        </w:rPr>
        <w:t> </w:t>
      </w:r>
      <w:r>
        <w:rPr/>
        <w:t>children</w:t>
      </w:r>
      <w:r>
        <w:rPr>
          <w:spacing w:val="-12"/>
        </w:rPr>
        <w:t> </w:t>
      </w:r>
      <w:r>
        <w:rPr/>
        <w:t>suffer</w:t>
      </w:r>
      <w:r>
        <w:rPr>
          <w:spacing w:val="-10"/>
        </w:rPr>
        <w:t> </w:t>
      </w:r>
      <w:r>
        <w:rPr/>
        <w:t>greatly</w:t>
      </w:r>
      <w:r>
        <w:rPr>
          <w:spacing w:val="-14"/>
        </w:rPr>
        <w:t> </w:t>
      </w:r>
      <w:r>
        <w:rPr/>
        <w:t>as</w:t>
      </w:r>
      <w:r>
        <w:rPr>
          <w:spacing w:val="-12"/>
        </w:rPr>
        <w:t> </w:t>
      </w:r>
      <w:r>
        <w:rPr/>
        <w:t>they</w:t>
      </w:r>
      <w:r>
        <w:rPr>
          <w:spacing w:val="-14"/>
        </w:rPr>
        <w:t> </w:t>
      </w:r>
      <w:r>
        <w:rPr/>
        <w:t>make</w:t>
      </w:r>
      <w:r>
        <w:rPr>
          <w:spacing w:val="-13"/>
        </w:rPr>
        <w:t> </w:t>
      </w:r>
      <w:r>
        <w:rPr/>
        <w:t>multiple trips per day and engage in road crossing during abstraction of water for the home. Households</w:t>
      </w:r>
      <w:r>
        <w:rPr>
          <w:spacing w:val="-3"/>
        </w:rPr>
        <w:t> </w:t>
      </w:r>
      <w:r>
        <w:rPr/>
        <w:t>spend an</w:t>
      </w:r>
      <w:r>
        <w:rPr>
          <w:spacing w:val="-1"/>
        </w:rPr>
        <w:t> </w:t>
      </w:r>
      <w:r>
        <w:rPr/>
        <w:t>average</w:t>
      </w:r>
      <w:r>
        <w:rPr>
          <w:spacing w:val="-1"/>
        </w:rPr>
        <w:t> </w:t>
      </w:r>
      <w:r>
        <w:rPr/>
        <w:t>of</w:t>
      </w:r>
      <w:r>
        <w:rPr>
          <w:spacing w:val="-1"/>
        </w:rPr>
        <w:t> </w:t>
      </w:r>
      <w:r>
        <w:rPr>
          <w:dstrike/>
        </w:rPr>
        <w:t>N</w:t>
      </w:r>
      <w:r>
        <w:rPr>
          <w:strike w:val="0"/>
        </w:rPr>
        <w:t>7834 on</w:t>
      </w:r>
      <w:r>
        <w:rPr>
          <w:strike w:val="0"/>
          <w:spacing w:val="1"/>
        </w:rPr>
        <w:t> </w:t>
      </w:r>
      <w:r>
        <w:rPr>
          <w:strike w:val="0"/>
        </w:rPr>
        <w:t>coping with</w:t>
      </w:r>
      <w:r>
        <w:rPr>
          <w:strike w:val="0"/>
          <w:spacing w:val="-1"/>
        </w:rPr>
        <w:t> </w:t>
      </w:r>
      <w:r>
        <w:rPr>
          <w:strike w:val="0"/>
        </w:rPr>
        <w:t>unreliable water</w:t>
      </w:r>
      <w:r>
        <w:rPr>
          <w:strike w:val="0"/>
          <w:spacing w:val="-3"/>
        </w:rPr>
        <w:t> </w:t>
      </w:r>
      <w:r>
        <w:rPr>
          <w:strike w:val="0"/>
        </w:rPr>
        <w:t>supply</w:t>
      </w:r>
      <w:r>
        <w:rPr>
          <w:strike w:val="0"/>
          <w:spacing w:val="-5"/>
        </w:rPr>
        <w:t> </w:t>
      </w:r>
      <w:r>
        <w:rPr>
          <w:strike w:val="0"/>
        </w:rPr>
        <w:t>for</w:t>
      </w:r>
      <w:r>
        <w:rPr>
          <w:strike w:val="0"/>
          <w:spacing w:val="-2"/>
        </w:rPr>
        <w:t> drinking</w:t>
      </w:r>
    </w:p>
    <w:p>
      <w:pPr>
        <w:pStyle w:val="BodyText"/>
        <w:spacing w:before="1"/>
        <w:ind w:left="547"/>
      </w:pPr>
      <w:r>
        <w:rPr/>
        <w:t>and</w:t>
      </w:r>
      <w:r>
        <w:rPr>
          <w:spacing w:val="-2"/>
        </w:rPr>
        <w:t> </w:t>
      </w:r>
      <w:r>
        <w:rPr/>
        <w:t>domestic use</w:t>
      </w:r>
      <w:r>
        <w:rPr>
          <w:spacing w:val="-1"/>
        </w:rPr>
        <w:t> </w:t>
      </w:r>
      <w:r>
        <w:rPr/>
        <w:t>compared</w:t>
      </w:r>
      <w:r>
        <w:rPr>
          <w:spacing w:val="1"/>
        </w:rPr>
        <w:t> </w:t>
      </w:r>
      <w:r>
        <w:rPr/>
        <w:t>to</w:t>
      </w:r>
      <w:r>
        <w:rPr>
          <w:spacing w:val="2"/>
        </w:rPr>
        <w:t> </w:t>
      </w:r>
      <w:r>
        <w:rPr>
          <w:dstrike/>
        </w:rPr>
        <w:t>N</w:t>
      </w:r>
      <w:r>
        <w:rPr>
          <w:strike w:val="0"/>
        </w:rPr>
        <w:t> 3185</w:t>
      </w:r>
      <w:r>
        <w:rPr>
          <w:strike w:val="0"/>
          <w:spacing w:val="1"/>
        </w:rPr>
        <w:t> </w:t>
      </w:r>
      <w:r>
        <w:rPr>
          <w:strike w:val="0"/>
        </w:rPr>
        <w:t>spent on</w:t>
      </w:r>
      <w:r>
        <w:rPr>
          <w:strike w:val="0"/>
          <w:spacing w:val="1"/>
        </w:rPr>
        <w:t> </w:t>
      </w:r>
      <w:r>
        <w:rPr>
          <w:strike w:val="0"/>
        </w:rPr>
        <w:t>public</w:t>
      </w:r>
      <w:r>
        <w:rPr>
          <w:strike w:val="0"/>
          <w:spacing w:val="-1"/>
        </w:rPr>
        <w:t> </w:t>
      </w:r>
      <w:r>
        <w:rPr>
          <w:strike w:val="0"/>
        </w:rPr>
        <w:t>water</w:t>
      </w:r>
      <w:r>
        <w:rPr>
          <w:strike w:val="0"/>
          <w:spacing w:val="-1"/>
        </w:rPr>
        <w:t> </w:t>
      </w:r>
      <w:r>
        <w:rPr>
          <w:strike w:val="0"/>
        </w:rPr>
        <w:t>supply</w:t>
      </w:r>
      <w:r>
        <w:rPr>
          <w:strike w:val="0"/>
          <w:spacing w:val="-5"/>
        </w:rPr>
        <w:t> </w:t>
      </w:r>
      <w:r>
        <w:rPr>
          <w:strike w:val="0"/>
        </w:rPr>
        <w:t>on</w:t>
      </w:r>
      <w:r>
        <w:rPr>
          <w:strike w:val="0"/>
          <w:spacing w:val="2"/>
        </w:rPr>
        <w:t> </w:t>
      </w:r>
      <w:r>
        <w:rPr>
          <w:strike w:val="0"/>
        </w:rPr>
        <w:t>monthly</w:t>
      </w:r>
      <w:r>
        <w:rPr>
          <w:strike w:val="0"/>
          <w:spacing w:val="-3"/>
        </w:rPr>
        <w:t> </w:t>
      </w:r>
      <w:r>
        <w:rPr>
          <w:strike w:val="0"/>
          <w:spacing w:val="-2"/>
        </w:rPr>
        <w:t>basis.</w:t>
      </w:r>
    </w:p>
    <w:p>
      <w:pPr>
        <w:pStyle w:val="BodyText"/>
      </w:pPr>
    </w:p>
    <w:p>
      <w:pPr>
        <w:pStyle w:val="BodyText"/>
      </w:pPr>
    </w:p>
    <w:p>
      <w:pPr>
        <w:pStyle w:val="BodyText"/>
        <w:spacing w:line="480" w:lineRule="auto"/>
        <w:ind w:left="547"/>
      </w:pPr>
      <w:r>
        <w:rPr/>
        <w:t>The study revealed that none out of the eight (8) neighbourhood sampled portrayed a very poor,</w:t>
      </w:r>
      <w:r>
        <w:rPr>
          <w:spacing w:val="-9"/>
        </w:rPr>
        <w:t> </w:t>
      </w:r>
      <w:r>
        <w:rPr/>
        <w:t>good</w:t>
      </w:r>
      <w:r>
        <w:rPr>
          <w:spacing w:val="-8"/>
        </w:rPr>
        <w:t> </w:t>
      </w:r>
      <w:r>
        <w:rPr/>
        <w:t>or</w:t>
      </w:r>
      <w:r>
        <w:rPr>
          <w:spacing w:val="-7"/>
        </w:rPr>
        <w:t> </w:t>
      </w:r>
      <w:r>
        <w:rPr/>
        <w:t>excellent</w:t>
      </w:r>
      <w:r>
        <w:rPr>
          <w:spacing w:val="-7"/>
        </w:rPr>
        <w:t> </w:t>
      </w:r>
      <w:r>
        <w:rPr/>
        <w:t>water</w:t>
      </w:r>
      <w:r>
        <w:rPr>
          <w:spacing w:val="-9"/>
        </w:rPr>
        <w:t> </w:t>
      </w:r>
      <w:r>
        <w:rPr/>
        <w:t>poverty</w:t>
      </w:r>
      <w:r>
        <w:rPr>
          <w:spacing w:val="-11"/>
        </w:rPr>
        <w:t> </w:t>
      </w:r>
      <w:r>
        <w:rPr/>
        <w:t>conditions</w:t>
      </w:r>
      <w:r>
        <w:rPr>
          <w:spacing w:val="-7"/>
        </w:rPr>
        <w:t> </w:t>
      </w:r>
      <w:r>
        <w:rPr/>
        <w:t>as</w:t>
      </w:r>
      <w:r>
        <w:rPr>
          <w:spacing w:val="-7"/>
        </w:rPr>
        <w:t> </w:t>
      </w:r>
      <w:r>
        <w:rPr/>
        <w:t>their</w:t>
      </w:r>
      <w:r>
        <w:rPr>
          <w:spacing w:val="-9"/>
        </w:rPr>
        <w:t> </w:t>
      </w:r>
      <w:r>
        <w:rPr/>
        <w:t>score</w:t>
      </w:r>
      <w:r>
        <w:rPr>
          <w:spacing w:val="-7"/>
        </w:rPr>
        <w:t> </w:t>
      </w:r>
      <w:r>
        <w:rPr/>
        <w:t>ranged</w:t>
      </w:r>
      <w:r>
        <w:rPr>
          <w:spacing w:val="-6"/>
        </w:rPr>
        <w:t> </w:t>
      </w:r>
      <w:r>
        <w:rPr/>
        <w:t>between</w:t>
      </w:r>
      <w:r>
        <w:rPr>
          <w:spacing w:val="-9"/>
        </w:rPr>
        <w:t> </w:t>
      </w:r>
      <w:r>
        <w:rPr/>
        <w:t>poor</w:t>
      </w:r>
      <w:r>
        <w:rPr>
          <w:spacing w:val="-6"/>
        </w:rPr>
        <w:t> </w:t>
      </w:r>
      <w:r>
        <w:rPr/>
        <w:t>and</w:t>
      </w:r>
      <w:r>
        <w:rPr>
          <w:spacing w:val="-5"/>
        </w:rPr>
        <w:t> </w:t>
      </w:r>
      <w:r>
        <w:rPr>
          <w:spacing w:val="-2"/>
        </w:rPr>
        <w:t>fair.</w:t>
      </w:r>
    </w:p>
    <w:p>
      <w:pPr>
        <w:spacing w:after="0" w:line="480" w:lineRule="auto"/>
        <w:sectPr>
          <w:pgSz w:w="12240" w:h="15840"/>
          <w:pgMar w:header="0" w:footer="1068" w:top="1340" w:bottom="1260" w:left="1440" w:right="1300"/>
        </w:sectPr>
      </w:pPr>
    </w:p>
    <w:p>
      <w:pPr>
        <w:pStyle w:val="BodyText"/>
        <w:spacing w:line="480" w:lineRule="auto" w:before="63"/>
        <w:ind w:left="547" w:right="106"/>
        <w:jc w:val="both"/>
      </w:pPr>
      <w:r>
        <w:rPr/>
        <w:t>Tudun wada south neighbourhood exhibited</w:t>
      </w:r>
      <w:r>
        <w:rPr>
          <w:spacing w:val="-2"/>
        </w:rPr>
        <w:t> </w:t>
      </w:r>
      <w:r>
        <w:rPr/>
        <w:t>the best water situation while</w:t>
      </w:r>
      <w:r>
        <w:rPr>
          <w:spacing w:val="-2"/>
        </w:rPr>
        <w:t> </w:t>
      </w:r>
      <w:r>
        <w:rPr/>
        <w:t>F-Layout has the worst water situation. Water resource availability was seen to be poor in F-Layout, Saukakauta, and Tudun-Fulani neighbourhoods whereas the remaining neighbourhoods has a fair water resource. In-term of access the study</w:t>
      </w:r>
      <w:r>
        <w:rPr>
          <w:spacing w:val="-1"/>
        </w:rPr>
        <w:t> </w:t>
      </w:r>
      <w:r>
        <w:rPr/>
        <w:t>showed that two neighbourhoods (Tudun- wada</w:t>
      </w:r>
      <w:r>
        <w:rPr>
          <w:spacing w:val="-11"/>
        </w:rPr>
        <w:t> </w:t>
      </w:r>
      <w:r>
        <w:rPr/>
        <w:t>and</w:t>
      </w:r>
      <w:r>
        <w:rPr>
          <w:spacing w:val="-7"/>
        </w:rPr>
        <w:t> </w:t>
      </w:r>
      <w:r>
        <w:rPr/>
        <w:t>Dutsen</w:t>
      </w:r>
      <w:r>
        <w:rPr>
          <w:spacing w:val="-10"/>
        </w:rPr>
        <w:t> </w:t>
      </w:r>
      <w:r>
        <w:rPr/>
        <w:t>kura)</w:t>
      </w:r>
      <w:r>
        <w:rPr>
          <w:spacing w:val="-10"/>
        </w:rPr>
        <w:t> </w:t>
      </w:r>
      <w:r>
        <w:rPr/>
        <w:t>within</w:t>
      </w:r>
      <w:r>
        <w:rPr>
          <w:spacing w:val="-9"/>
        </w:rPr>
        <w:t> </w:t>
      </w:r>
      <w:r>
        <w:rPr/>
        <w:t>the</w:t>
      </w:r>
      <w:r>
        <w:rPr>
          <w:spacing w:val="-10"/>
        </w:rPr>
        <w:t> </w:t>
      </w:r>
      <w:r>
        <w:rPr/>
        <w:t>coverage</w:t>
      </w:r>
      <w:r>
        <w:rPr>
          <w:spacing w:val="-11"/>
        </w:rPr>
        <w:t> </w:t>
      </w:r>
      <w:r>
        <w:rPr/>
        <w:t>of</w:t>
      </w:r>
      <w:r>
        <w:rPr>
          <w:spacing w:val="-10"/>
        </w:rPr>
        <w:t> </w:t>
      </w:r>
      <w:r>
        <w:rPr/>
        <w:t>public</w:t>
      </w:r>
      <w:r>
        <w:rPr>
          <w:spacing w:val="-10"/>
        </w:rPr>
        <w:t> </w:t>
      </w:r>
      <w:r>
        <w:rPr/>
        <w:t>water</w:t>
      </w:r>
      <w:r>
        <w:rPr>
          <w:spacing w:val="-11"/>
        </w:rPr>
        <w:t> </w:t>
      </w:r>
      <w:r>
        <w:rPr/>
        <w:t>mains</w:t>
      </w:r>
      <w:r>
        <w:rPr>
          <w:spacing w:val="-9"/>
        </w:rPr>
        <w:t> </w:t>
      </w:r>
      <w:r>
        <w:rPr/>
        <w:t>has</w:t>
      </w:r>
      <w:r>
        <w:rPr>
          <w:spacing w:val="-9"/>
        </w:rPr>
        <w:t> </w:t>
      </w:r>
      <w:r>
        <w:rPr/>
        <w:t>a</w:t>
      </w:r>
      <w:r>
        <w:rPr>
          <w:spacing w:val="-11"/>
        </w:rPr>
        <w:t> </w:t>
      </w:r>
      <w:r>
        <w:rPr/>
        <w:t>fair</w:t>
      </w:r>
      <w:r>
        <w:rPr>
          <w:spacing w:val="-8"/>
        </w:rPr>
        <w:t> </w:t>
      </w:r>
      <w:r>
        <w:rPr/>
        <w:t>access</w:t>
      </w:r>
      <w:r>
        <w:rPr>
          <w:spacing w:val="-9"/>
        </w:rPr>
        <w:t> </w:t>
      </w:r>
      <w:r>
        <w:rPr/>
        <w:t>except</w:t>
      </w:r>
      <w:r>
        <w:rPr>
          <w:spacing w:val="-9"/>
        </w:rPr>
        <w:t> </w:t>
      </w:r>
      <w:r>
        <w:rPr/>
        <w:t>for F-Layout with a poor access (also within coverage of public water mains).</w:t>
      </w:r>
    </w:p>
    <w:p>
      <w:pPr>
        <w:pStyle w:val="BodyText"/>
        <w:spacing w:before="1"/>
      </w:pPr>
    </w:p>
    <w:p>
      <w:pPr>
        <w:pStyle w:val="BodyText"/>
        <w:spacing w:line="480" w:lineRule="auto"/>
        <w:ind w:left="547" w:right="103"/>
        <w:jc w:val="both"/>
      </w:pPr>
      <w:r>
        <w:rPr/>
        <w:t>Tudun-wada South is the only neighbourhood that portrayed a good environment the remaining</w:t>
      </w:r>
      <w:r>
        <w:rPr>
          <w:spacing w:val="-12"/>
        </w:rPr>
        <w:t> </w:t>
      </w:r>
      <w:r>
        <w:rPr/>
        <w:t>seven</w:t>
      </w:r>
      <w:r>
        <w:rPr>
          <w:spacing w:val="-12"/>
        </w:rPr>
        <w:t> </w:t>
      </w:r>
      <w:r>
        <w:rPr/>
        <w:t>(7)</w:t>
      </w:r>
      <w:r>
        <w:rPr>
          <w:spacing w:val="-13"/>
        </w:rPr>
        <w:t> </w:t>
      </w:r>
      <w:r>
        <w:rPr/>
        <w:t>neighbourhood</w:t>
      </w:r>
      <w:r>
        <w:rPr>
          <w:spacing w:val="-12"/>
        </w:rPr>
        <w:t> </w:t>
      </w:r>
      <w:r>
        <w:rPr/>
        <w:t>has</w:t>
      </w:r>
      <w:r>
        <w:rPr>
          <w:spacing w:val="-10"/>
        </w:rPr>
        <w:t> </w:t>
      </w:r>
      <w:r>
        <w:rPr/>
        <w:t>a</w:t>
      </w:r>
      <w:r>
        <w:rPr>
          <w:spacing w:val="-11"/>
        </w:rPr>
        <w:t> </w:t>
      </w:r>
      <w:r>
        <w:rPr/>
        <w:t>fair</w:t>
      </w:r>
      <w:r>
        <w:rPr>
          <w:spacing w:val="-10"/>
        </w:rPr>
        <w:t> </w:t>
      </w:r>
      <w:r>
        <w:rPr/>
        <w:t>environment</w:t>
      </w:r>
      <w:r>
        <w:rPr>
          <w:spacing w:val="-12"/>
        </w:rPr>
        <w:t> </w:t>
      </w:r>
      <w:r>
        <w:rPr/>
        <w:t>condition</w:t>
      </w:r>
      <w:r>
        <w:rPr>
          <w:spacing w:val="-12"/>
        </w:rPr>
        <w:t> </w:t>
      </w:r>
      <w:r>
        <w:rPr/>
        <w:t>such</w:t>
      </w:r>
      <w:r>
        <w:rPr>
          <w:spacing w:val="-10"/>
        </w:rPr>
        <w:t> </w:t>
      </w:r>
      <w:r>
        <w:rPr/>
        <w:t>as</w:t>
      </w:r>
      <w:r>
        <w:rPr>
          <w:spacing w:val="-12"/>
        </w:rPr>
        <w:t> </w:t>
      </w:r>
      <w:r>
        <w:rPr/>
        <w:t>improved</w:t>
      </w:r>
      <w:r>
        <w:rPr>
          <w:spacing w:val="-12"/>
        </w:rPr>
        <w:t> </w:t>
      </w:r>
      <w:r>
        <w:rPr/>
        <w:t>water quality and presence of sanitation services necessary for healthy living. While the use component has the lowest water poverty index in all the eight (8) neighbourhood it shows that households exhibited a poor use and management of public water supply. The capacity to</w:t>
      </w:r>
      <w:r>
        <w:rPr>
          <w:spacing w:val="-10"/>
        </w:rPr>
        <w:t> </w:t>
      </w:r>
      <w:r>
        <w:rPr/>
        <w:t>manage</w:t>
      </w:r>
      <w:r>
        <w:rPr>
          <w:spacing w:val="-11"/>
        </w:rPr>
        <w:t> </w:t>
      </w:r>
      <w:r>
        <w:rPr/>
        <w:t>water</w:t>
      </w:r>
      <w:r>
        <w:rPr>
          <w:spacing w:val="-10"/>
        </w:rPr>
        <w:t> </w:t>
      </w:r>
      <w:r>
        <w:rPr/>
        <w:t>and</w:t>
      </w:r>
      <w:r>
        <w:rPr>
          <w:spacing w:val="-10"/>
        </w:rPr>
        <w:t> </w:t>
      </w:r>
      <w:r>
        <w:rPr/>
        <w:t>sanitation</w:t>
      </w:r>
      <w:r>
        <w:rPr>
          <w:spacing w:val="-9"/>
        </w:rPr>
        <w:t> </w:t>
      </w:r>
      <w:r>
        <w:rPr/>
        <w:t>services</w:t>
      </w:r>
      <w:r>
        <w:rPr>
          <w:spacing w:val="-9"/>
        </w:rPr>
        <w:t> </w:t>
      </w:r>
      <w:r>
        <w:rPr/>
        <w:t>was</w:t>
      </w:r>
      <w:r>
        <w:rPr>
          <w:spacing w:val="-7"/>
        </w:rPr>
        <w:t> </w:t>
      </w:r>
      <w:r>
        <w:rPr/>
        <w:t>fairly</w:t>
      </w:r>
      <w:r>
        <w:rPr>
          <w:spacing w:val="-12"/>
        </w:rPr>
        <w:t> </w:t>
      </w:r>
      <w:r>
        <w:rPr/>
        <w:t>exhibited</w:t>
      </w:r>
      <w:r>
        <w:rPr>
          <w:spacing w:val="-10"/>
        </w:rPr>
        <w:t> </w:t>
      </w:r>
      <w:r>
        <w:rPr/>
        <w:t>by</w:t>
      </w:r>
      <w:r>
        <w:rPr>
          <w:spacing w:val="-15"/>
        </w:rPr>
        <w:t> </w:t>
      </w:r>
      <w:r>
        <w:rPr/>
        <w:t>all</w:t>
      </w:r>
      <w:r>
        <w:rPr>
          <w:spacing w:val="-9"/>
        </w:rPr>
        <w:t> </w:t>
      </w:r>
      <w:r>
        <w:rPr/>
        <w:t>the</w:t>
      </w:r>
      <w:r>
        <w:rPr>
          <w:spacing w:val="-10"/>
        </w:rPr>
        <w:t> </w:t>
      </w:r>
      <w:r>
        <w:rPr/>
        <w:t>neighbourhoods</w:t>
      </w:r>
      <w:r>
        <w:rPr>
          <w:spacing w:val="-9"/>
        </w:rPr>
        <w:t> </w:t>
      </w:r>
      <w:r>
        <w:rPr/>
        <w:t>in</w:t>
      </w:r>
      <w:r>
        <w:rPr>
          <w:spacing w:val="-9"/>
        </w:rPr>
        <w:t> </w:t>
      </w:r>
      <w:r>
        <w:rPr/>
        <w:t>the study area.</w:t>
      </w:r>
    </w:p>
    <w:p>
      <w:pPr>
        <w:pStyle w:val="BodyText"/>
        <w:spacing w:before="8"/>
      </w:pPr>
    </w:p>
    <w:p>
      <w:pPr>
        <w:pStyle w:val="Heading1"/>
        <w:numPr>
          <w:ilvl w:val="2"/>
          <w:numId w:val="10"/>
        </w:numPr>
        <w:tabs>
          <w:tab w:pos="1098" w:val="left" w:leader="none"/>
          <w:tab w:pos="1207" w:val="left" w:leader="none"/>
        </w:tabs>
        <w:spacing w:line="360" w:lineRule="auto" w:before="0" w:after="0"/>
        <w:ind w:left="1207" w:right="110" w:hanging="660"/>
        <w:jc w:val="both"/>
      </w:pPr>
      <w:r>
        <w:rPr/>
        <w:t>Comparison of water poverty index of neighbourhood within and outside public water mains</w:t>
      </w:r>
    </w:p>
    <w:p>
      <w:pPr>
        <w:pStyle w:val="BodyText"/>
        <w:spacing w:line="480" w:lineRule="auto" w:before="233"/>
        <w:ind w:left="547" w:right="109"/>
        <w:jc w:val="both"/>
      </w:pPr>
      <w:r>
        <w:rPr/>
        <w:t>The</w:t>
      </w:r>
      <w:r>
        <w:rPr>
          <w:spacing w:val="-11"/>
        </w:rPr>
        <w:t> </w:t>
      </w:r>
      <w:r>
        <w:rPr/>
        <w:t>study</w:t>
      </w:r>
      <w:r>
        <w:rPr>
          <w:spacing w:val="-14"/>
        </w:rPr>
        <w:t> </w:t>
      </w:r>
      <w:r>
        <w:rPr/>
        <w:t>revealed</w:t>
      </w:r>
      <w:r>
        <w:rPr>
          <w:spacing w:val="-10"/>
        </w:rPr>
        <w:t> </w:t>
      </w:r>
      <w:r>
        <w:rPr/>
        <w:t>that</w:t>
      </w:r>
      <w:r>
        <w:rPr>
          <w:spacing w:val="-10"/>
        </w:rPr>
        <w:t> </w:t>
      </w:r>
      <w:r>
        <w:rPr/>
        <w:t>there</w:t>
      </w:r>
      <w:r>
        <w:rPr>
          <w:spacing w:val="-9"/>
        </w:rPr>
        <w:t> </w:t>
      </w:r>
      <w:r>
        <w:rPr/>
        <w:t>exists</w:t>
      </w:r>
      <w:r>
        <w:rPr>
          <w:spacing w:val="-9"/>
        </w:rPr>
        <w:t> </w:t>
      </w:r>
      <w:r>
        <w:rPr/>
        <w:t>water</w:t>
      </w:r>
      <w:r>
        <w:rPr>
          <w:spacing w:val="-11"/>
        </w:rPr>
        <w:t> </w:t>
      </w:r>
      <w:r>
        <w:rPr/>
        <w:t>poverty</w:t>
      </w:r>
      <w:r>
        <w:rPr>
          <w:spacing w:val="-12"/>
        </w:rPr>
        <w:t> </w:t>
      </w:r>
      <w:r>
        <w:rPr/>
        <w:t>index</w:t>
      </w:r>
      <w:r>
        <w:rPr>
          <w:spacing w:val="-8"/>
        </w:rPr>
        <w:t> </w:t>
      </w:r>
      <w:r>
        <w:rPr/>
        <w:t>of</w:t>
      </w:r>
      <w:r>
        <w:rPr>
          <w:spacing w:val="-10"/>
        </w:rPr>
        <w:t> </w:t>
      </w:r>
      <w:r>
        <w:rPr/>
        <w:t>neighbourhoods</w:t>
      </w:r>
      <w:r>
        <w:rPr>
          <w:spacing w:val="-7"/>
        </w:rPr>
        <w:t> </w:t>
      </w:r>
      <w:r>
        <w:rPr/>
        <w:t>within</w:t>
      </w:r>
      <w:r>
        <w:rPr>
          <w:spacing w:val="-10"/>
        </w:rPr>
        <w:t> </w:t>
      </w:r>
      <w:r>
        <w:rPr/>
        <w:t>the</w:t>
      </w:r>
      <w:r>
        <w:rPr>
          <w:spacing w:val="-10"/>
        </w:rPr>
        <w:t> </w:t>
      </w:r>
      <w:r>
        <w:rPr/>
        <w:t>public water mains increase by 8.14% over the water poverty index of neighbourhoods which are partly outside the public water mains.</w:t>
      </w:r>
    </w:p>
    <w:p>
      <w:pPr>
        <w:pStyle w:val="Heading1"/>
        <w:numPr>
          <w:ilvl w:val="2"/>
          <w:numId w:val="10"/>
        </w:numPr>
        <w:tabs>
          <w:tab w:pos="1086" w:val="left" w:leader="none"/>
        </w:tabs>
        <w:spacing w:line="240" w:lineRule="auto" w:before="8" w:after="0"/>
        <w:ind w:left="1086" w:right="0" w:hanging="539"/>
        <w:jc w:val="both"/>
      </w:pPr>
      <w:r>
        <w:rPr/>
        <w:t>Households</w:t>
      </w:r>
      <w:r>
        <w:rPr>
          <w:spacing w:val="-2"/>
        </w:rPr>
        <w:t> </w:t>
      </w:r>
      <w:r>
        <w:rPr/>
        <w:t>adaptation</w:t>
      </w:r>
      <w:r>
        <w:rPr>
          <w:spacing w:val="-2"/>
        </w:rPr>
        <w:t> </w:t>
      </w:r>
      <w:r>
        <w:rPr/>
        <w:t>measures</w:t>
      </w:r>
      <w:r>
        <w:rPr>
          <w:spacing w:val="-2"/>
        </w:rPr>
        <w:t> </w:t>
      </w:r>
      <w:r>
        <w:rPr/>
        <w:t>to</w:t>
      </w:r>
      <w:r>
        <w:rPr>
          <w:spacing w:val="-2"/>
        </w:rPr>
        <w:t> </w:t>
      </w:r>
      <w:r>
        <w:rPr/>
        <w:t>water</w:t>
      </w:r>
      <w:r>
        <w:rPr>
          <w:spacing w:val="-1"/>
        </w:rPr>
        <w:t> </w:t>
      </w:r>
      <w:r>
        <w:rPr/>
        <w:t>poverty</w:t>
      </w:r>
      <w:r>
        <w:rPr>
          <w:spacing w:val="-2"/>
        </w:rPr>
        <w:t> </w:t>
      </w:r>
      <w:r>
        <w:rPr/>
        <w:t>and</w:t>
      </w:r>
      <w:r>
        <w:rPr>
          <w:spacing w:val="-2"/>
        </w:rPr>
        <w:t> </w:t>
      </w:r>
      <w:r>
        <w:rPr/>
        <w:t>unreliable</w:t>
      </w:r>
      <w:r>
        <w:rPr>
          <w:spacing w:val="-1"/>
        </w:rPr>
        <w:t> </w:t>
      </w:r>
      <w:r>
        <w:rPr/>
        <w:t>water</w:t>
      </w:r>
      <w:r>
        <w:rPr>
          <w:spacing w:val="-2"/>
        </w:rPr>
        <w:t> supply</w:t>
      </w:r>
    </w:p>
    <w:p>
      <w:pPr>
        <w:pStyle w:val="BodyText"/>
        <w:spacing w:before="96"/>
        <w:rPr>
          <w:b/>
        </w:rPr>
      </w:pPr>
    </w:p>
    <w:p>
      <w:pPr>
        <w:pStyle w:val="BodyText"/>
        <w:spacing w:line="480" w:lineRule="auto"/>
        <w:ind w:left="547" w:right="108"/>
        <w:jc w:val="both"/>
      </w:pPr>
      <w:r>
        <w:rPr/>
        <w:t>The study revealed that storage of water in drums (100 liters and above), rainwater harvest and installation of storage tanks were the three (3) top ranked most effective adaptive strategies</w:t>
      </w:r>
      <w:r>
        <w:rPr>
          <w:spacing w:val="18"/>
        </w:rPr>
        <w:t> </w:t>
      </w:r>
      <w:r>
        <w:rPr/>
        <w:t>for</w:t>
      </w:r>
      <w:r>
        <w:rPr>
          <w:spacing w:val="18"/>
        </w:rPr>
        <w:t> </w:t>
      </w:r>
      <w:r>
        <w:rPr/>
        <w:t>water</w:t>
      </w:r>
      <w:r>
        <w:rPr>
          <w:spacing w:val="19"/>
        </w:rPr>
        <w:t> </w:t>
      </w:r>
      <w:r>
        <w:rPr/>
        <w:t>poverty</w:t>
      </w:r>
      <w:r>
        <w:rPr>
          <w:spacing w:val="15"/>
        </w:rPr>
        <w:t> </w:t>
      </w:r>
      <w:r>
        <w:rPr/>
        <w:t>based</w:t>
      </w:r>
      <w:r>
        <w:rPr>
          <w:spacing w:val="21"/>
        </w:rPr>
        <w:t> </w:t>
      </w:r>
      <w:r>
        <w:rPr/>
        <w:t>on</w:t>
      </w:r>
      <w:r>
        <w:rPr>
          <w:spacing w:val="20"/>
        </w:rPr>
        <w:t> </w:t>
      </w:r>
      <w:r>
        <w:rPr/>
        <w:t>respondent’s</w:t>
      </w:r>
      <w:r>
        <w:rPr>
          <w:spacing w:val="20"/>
        </w:rPr>
        <w:t> </w:t>
      </w:r>
      <w:r>
        <w:rPr/>
        <w:t>perception</w:t>
      </w:r>
      <w:r>
        <w:rPr>
          <w:spacing w:val="20"/>
        </w:rPr>
        <w:t> </w:t>
      </w:r>
      <w:r>
        <w:rPr/>
        <w:t>in</w:t>
      </w:r>
      <w:r>
        <w:rPr>
          <w:spacing w:val="21"/>
        </w:rPr>
        <w:t> </w:t>
      </w:r>
      <w:r>
        <w:rPr/>
        <w:t>the</w:t>
      </w:r>
      <w:r>
        <w:rPr>
          <w:spacing w:val="19"/>
        </w:rPr>
        <w:t> </w:t>
      </w:r>
      <w:r>
        <w:rPr/>
        <w:t>study</w:t>
      </w:r>
      <w:r>
        <w:rPr>
          <w:spacing w:val="15"/>
        </w:rPr>
        <w:t> </w:t>
      </w:r>
      <w:r>
        <w:rPr/>
        <w:t>area.</w:t>
      </w:r>
      <w:r>
        <w:rPr>
          <w:spacing w:val="22"/>
        </w:rPr>
        <w:t> </w:t>
      </w:r>
      <w:r>
        <w:rPr/>
        <w:t>Protest</w:t>
      </w:r>
      <w:r>
        <w:rPr>
          <w:spacing w:val="22"/>
        </w:rPr>
        <w:t> </w:t>
      </w:r>
      <w:r>
        <w:rPr>
          <w:spacing w:val="-5"/>
        </w:rPr>
        <w:t>to</w:t>
      </w:r>
    </w:p>
    <w:p>
      <w:pPr>
        <w:spacing w:after="0" w:line="480" w:lineRule="auto"/>
        <w:jc w:val="both"/>
        <w:sectPr>
          <w:pgSz w:w="12240" w:h="15840"/>
          <w:pgMar w:header="0" w:footer="1068" w:top="1340" w:bottom="1260" w:left="1440" w:right="1300"/>
        </w:sectPr>
      </w:pPr>
    </w:p>
    <w:p>
      <w:pPr>
        <w:pStyle w:val="BodyText"/>
        <w:spacing w:line="480" w:lineRule="auto" w:before="63"/>
        <w:ind w:left="547" w:right="113"/>
        <w:jc w:val="both"/>
      </w:pPr>
      <w:r>
        <w:rPr/>
        <w:t>water</w:t>
      </w:r>
      <w:r>
        <w:rPr>
          <w:spacing w:val="-8"/>
        </w:rPr>
        <w:t> </w:t>
      </w:r>
      <w:r>
        <w:rPr/>
        <w:t>authorities,</w:t>
      </w:r>
      <w:r>
        <w:rPr>
          <w:spacing w:val="-7"/>
        </w:rPr>
        <w:t> </w:t>
      </w:r>
      <w:r>
        <w:rPr/>
        <w:t>water</w:t>
      </w:r>
      <w:r>
        <w:rPr>
          <w:spacing w:val="-8"/>
        </w:rPr>
        <w:t> </w:t>
      </w:r>
      <w:r>
        <w:rPr/>
        <w:t>treatment</w:t>
      </w:r>
      <w:r>
        <w:rPr>
          <w:spacing w:val="-6"/>
        </w:rPr>
        <w:t> </w:t>
      </w:r>
      <w:r>
        <w:rPr/>
        <w:t>by</w:t>
      </w:r>
      <w:r>
        <w:rPr>
          <w:spacing w:val="-12"/>
        </w:rPr>
        <w:t> </w:t>
      </w:r>
      <w:r>
        <w:rPr/>
        <w:t>application</w:t>
      </w:r>
      <w:r>
        <w:rPr>
          <w:spacing w:val="-7"/>
        </w:rPr>
        <w:t> </w:t>
      </w:r>
      <w:r>
        <w:rPr/>
        <w:t>of</w:t>
      </w:r>
      <w:r>
        <w:rPr>
          <w:spacing w:val="-5"/>
        </w:rPr>
        <w:t> </w:t>
      </w:r>
      <w:r>
        <w:rPr/>
        <w:t>alum</w:t>
      </w:r>
      <w:r>
        <w:rPr>
          <w:spacing w:val="-6"/>
        </w:rPr>
        <w:t> </w:t>
      </w:r>
      <w:r>
        <w:rPr/>
        <w:t>or</w:t>
      </w:r>
      <w:r>
        <w:rPr>
          <w:spacing w:val="-8"/>
        </w:rPr>
        <w:t> </w:t>
      </w:r>
      <w:r>
        <w:rPr/>
        <w:t>chlorination</w:t>
      </w:r>
      <w:r>
        <w:rPr>
          <w:spacing w:val="-7"/>
        </w:rPr>
        <w:t> </w:t>
      </w:r>
      <w:r>
        <w:rPr/>
        <w:t>and</w:t>
      </w:r>
      <w:r>
        <w:rPr>
          <w:spacing w:val="-9"/>
        </w:rPr>
        <w:t> </w:t>
      </w:r>
      <w:r>
        <w:rPr/>
        <w:t>water</w:t>
      </w:r>
      <w:r>
        <w:rPr>
          <w:spacing w:val="-8"/>
        </w:rPr>
        <w:t> </w:t>
      </w:r>
      <w:r>
        <w:rPr/>
        <w:t>recycling were ranked as the three (3) most ineffective adaptive strategies used in coping with water shortage and poverty in the study area.</w:t>
      </w:r>
    </w:p>
    <w:p>
      <w:pPr>
        <w:spacing w:after="0" w:line="480" w:lineRule="auto"/>
        <w:jc w:val="both"/>
        <w:sectPr>
          <w:pgSz w:w="12240" w:h="15840"/>
          <w:pgMar w:header="0" w:footer="1068" w:top="1340" w:bottom="1260" w:left="1440" w:right="1300"/>
        </w:sectPr>
      </w:pPr>
    </w:p>
    <w:p>
      <w:pPr>
        <w:spacing w:before="70"/>
        <w:ind w:left="436" w:right="4" w:firstLine="0"/>
        <w:jc w:val="center"/>
        <w:rPr>
          <w:b/>
          <w:sz w:val="24"/>
        </w:rPr>
      </w:pPr>
      <w:r>
        <w:rPr>
          <w:b/>
          <w:sz w:val="24"/>
        </w:rPr>
        <w:t>CHAPTER</w:t>
      </w:r>
      <w:r>
        <w:rPr>
          <w:b/>
          <w:spacing w:val="-5"/>
          <w:sz w:val="24"/>
        </w:rPr>
        <w:t> </w:t>
      </w:r>
      <w:r>
        <w:rPr>
          <w:b/>
          <w:spacing w:val="-4"/>
          <w:sz w:val="24"/>
        </w:rPr>
        <w:t>FIVE</w:t>
      </w:r>
    </w:p>
    <w:p>
      <w:pPr>
        <w:pStyle w:val="BodyText"/>
        <w:spacing w:before="22"/>
        <w:rPr>
          <w:b/>
        </w:rPr>
      </w:pPr>
    </w:p>
    <w:p>
      <w:pPr>
        <w:pStyle w:val="ListParagraph"/>
        <w:numPr>
          <w:ilvl w:val="1"/>
          <w:numId w:val="13"/>
        </w:numPr>
        <w:tabs>
          <w:tab w:pos="2549" w:val="left" w:leader="none"/>
        </w:tabs>
        <w:spacing w:line="240" w:lineRule="auto" w:before="0" w:after="0"/>
        <w:ind w:left="2549" w:right="0" w:hanging="2002"/>
        <w:jc w:val="left"/>
        <w:rPr>
          <w:b/>
          <w:sz w:val="24"/>
        </w:rPr>
      </w:pPr>
      <w:r>
        <w:rPr>
          <w:b/>
          <w:sz w:val="24"/>
        </w:rPr>
        <w:t>CONCLUSION</w:t>
      </w:r>
      <w:r>
        <w:rPr>
          <w:b/>
          <w:spacing w:val="-1"/>
          <w:sz w:val="24"/>
        </w:rPr>
        <w:t> </w:t>
      </w:r>
      <w:r>
        <w:rPr>
          <w:b/>
          <w:sz w:val="24"/>
        </w:rPr>
        <w:t>AND</w:t>
      </w:r>
      <w:r>
        <w:rPr>
          <w:b/>
          <w:spacing w:val="-2"/>
          <w:sz w:val="24"/>
        </w:rPr>
        <w:t> RECOMMENDATIONS</w:t>
      </w:r>
    </w:p>
    <w:p>
      <w:pPr>
        <w:pStyle w:val="BodyText"/>
        <w:spacing w:before="22"/>
        <w:rPr>
          <w:b/>
        </w:rPr>
      </w:pPr>
    </w:p>
    <w:p>
      <w:pPr>
        <w:pStyle w:val="ListParagraph"/>
        <w:numPr>
          <w:ilvl w:val="1"/>
          <w:numId w:val="13"/>
        </w:numPr>
        <w:tabs>
          <w:tab w:pos="1267" w:val="left" w:leader="none"/>
        </w:tabs>
        <w:spacing w:line="240" w:lineRule="auto" w:before="0" w:after="0"/>
        <w:ind w:left="1267" w:right="0" w:hanging="720"/>
        <w:jc w:val="left"/>
        <w:rPr>
          <w:b/>
          <w:sz w:val="24"/>
        </w:rPr>
      </w:pPr>
      <w:r>
        <w:rPr>
          <w:b/>
          <w:spacing w:val="-2"/>
          <w:sz w:val="24"/>
        </w:rPr>
        <w:t>Conclusion</w:t>
      </w:r>
    </w:p>
    <w:p>
      <w:pPr>
        <w:pStyle w:val="BodyText"/>
        <w:spacing w:before="14"/>
        <w:rPr>
          <w:b/>
        </w:rPr>
      </w:pPr>
    </w:p>
    <w:p>
      <w:pPr>
        <w:pStyle w:val="BodyText"/>
        <w:spacing w:line="480" w:lineRule="auto"/>
        <w:ind w:left="547" w:right="103"/>
        <w:jc w:val="both"/>
      </w:pPr>
      <w:r>
        <w:rPr/>
        <w:t>This</w:t>
      </w:r>
      <w:r>
        <w:rPr>
          <w:spacing w:val="-5"/>
        </w:rPr>
        <w:t> </w:t>
      </w:r>
      <w:r>
        <w:rPr/>
        <w:t>research</w:t>
      </w:r>
      <w:r>
        <w:rPr>
          <w:spacing w:val="-6"/>
        </w:rPr>
        <w:t> </w:t>
      </w:r>
      <w:r>
        <w:rPr/>
        <w:t>has</w:t>
      </w:r>
      <w:r>
        <w:rPr>
          <w:spacing w:val="-6"/>
        </w:rPr>
        <w:t> </w:t>
      </w:r>
      <w:r>
        <w:rPr/>
        <w:t>employed</w:t>
      </w:r>
      <w:r>
        <w:rPr>
          <w:spacing w:val="-6"/>
        </w:rPr>
        <w:t> </w:t>
      </w:r>
      <w:r>
        <w:rPr/>
        <w:t>the</w:t>
      </w:r>
      <w:r>
        <w:rPr>
          <w:spacing w:val="-6"/>
        </w:rPr>
        <w:t> </w:t>
      </w:r>
      <w:r>
        <w:rPr/>
        <w:t>water</w:t>
      </w:r>
      <w:r>
        <w:rPr>
          <w:spacing w:val="-7"/>
        </w:rPr>
        <w:t> </w:t>
      </w:r>
      <w:r>
        <w:rPr/>
        <w:t>poverty</w:t>
      </w:r>
      <w:r>
        <w:rPr>
          <w:spacing w:val="-11"/>
        </w:rPr>
        <w:t> </w:t>
      </w:r>
      <w:r>
        <w:rPr/>
        <w:t>assessment</w:t>
      </w:r>
      <w:r>
        <w:rPr>
          <w:spacing w:val="-5"/>
        </w:rPr>
        <w:t> </w:t>
      </w:r>
      <w:r>
        <w:rPr/>
        <w:t>framework</w:t>
      </w:r>
      <w:r>
        <w:rPr>
          <w:spacing w:val="-3"/>
        </w:rPr>
        <w:t> </w:t>
      </w:r>
      <w:r>
        <w:rPr/>
        <w:t>(Water</w:t>
      </w:r>
      <w:r>
        <w:rPr>
          <w:spacing w:val="-7"/>
        </w:rPr>
        <w:t> </w:t>
      </w:r>
      <w:r>
        <w:rPr/>
        <w:t>Poverty</w:t>
      </w:r>
      <w:r>
        <w:rPr>
          <w:spacing w:val="-6"/>
        </w:rPr>
        <w:t> </w:t>
      </w:r>
      <w:r>
        <w:rPr/>
        <w:t>Index) to provide evidence on the water poverty situations of the neighbourhoods for policy intervention in the study area. The water poverty index as a multidimensional measure has highlighted the water poverty level and water needs of the neigbourhoods as well as areas where significant transitions are required in terms of improvement and prioritization. From the analysis contained in this thesis, spatial differences exist in water poverty levels of the eight neighbourhoods in the study. In this case, empirical findings from the research has shown</w:t>
      </w:r>
      <w:r>
        <w:rPr>
          <w:spacing w:val="-5"/>
        </w:rPr>
        <w:t> </w:t>
      </w:r>
      <w:r>
        <w:rPr/>
        <w:t>that</w:t>
      </w:r>
      <w:r>
        <w:rPr>
          <w:spacing w:val="-5"/>
        </w:rPr>
        <w:t> </w:t>
      </w:r>
      <w:r>
        <w:rPr/>
        <w:t>only</w:t>
      </w:r>
      <w:r>
        <w:rPr>
          <w:spacing w:val="-10"/>
        </w:rPr>
        <w:t> </w:t>
      </w:r>
      <w:r>
        <w:rPr/>
        <w:t>Tudun-Wada</w:t>
      </w:r>
      <w:r>
        <w:rPr>
          <w:spacing w:val="-6"/>
        </w:rPr>
        <w:t> </w:t>
      </w:r>
      <w:r>
        <w:rPr/>
        <w:t>South</w:t>
      </w:r>
      <w:r>
        <w:rPr>
          <w:spacing w:val="-4"/>
        </w:rPr>
        <w:t> </w:t>
      </w:r>
      <w:r>
        <w:rPr/>
        <w:t>and</w:t>
      </w:r>
      <w:r>
        <w:rPr>
          <w:spacing w:val="-5"/>
        </w:rPr>
        <w:t> </w:t>
      </w:r>
      <w:r>
        <w:rPr/>
        <w:t>Dutsenkura</w:t>
      </w:r>
      <w:r>
        <w:rPr>
          <w:spacing w:val="-7"/>
        </w:rPr>
        <w:t> </w:t>
      </w:r>
      <w:r>
        <w:rPr/>
        <w:t>have</w:t>
      </w:r>
      <w:r>
        <w:rPr>
          <w:spacing w:val="-3"/>
        </w:rPr>
        <w:t> </w:t>
      </w:r>
      <w:r>
        <w:rPr/>
        <w:t>fair</w:t>
      </w:r>
      <w:r>
        <w:rPr>
          <w:spacing w:val="-5"/>
        </w:rPr>
        <w:t> </w:t>
      </w:r>
      <w:r>
        <w:rPr/>
        <w:t>water</w:t>
      </w:r>
      <w:r>
        <w:rPr>
          <w:spacing w:val="-6"/>
        </w:rPr>
        <w:t> </w:t>
      </w:r>
      <w:r>
        <w:rPr/>
        <w:t>poverty</w:t>
      </w:r>
      <w:r>
        <w:rPr>
          <w:spacing w:val="-10"/>
        </w:rPr>
        <w:t> </w:t>
      </w:r>
      <w:r>
        <w:rPr/>
        <w:t>level,</w:t>
      </w:r>
      <w:r>
        <w:rPr>
          <w:spacing w:val="-3"/>
        </w:rPr>
        <w:t> </w:t>
      </w:r>
      <w:r>
        <w:rPr/>
        <w:t>while</w:t>
      </w:r>
      <w:r>
        <w:rPr>
          <w:spacing w:val="-5"/>
        </w:rPr>
        <w:t> </w:t>
      </w:r>
      <w:r>
        <w:rPr/>
        <w:t>the six</w:t>
      </w:r>
      <w:r>
        <w:rPr>
          <w:spacing w:val="-4"/>
        </w:rPr>
        <w:t> </w:t>
      </w:r>
      <w:r>
        <w:rPr/>
        <w:t>(6)</w:t>
      </w:r>
      <w:r>
        <w:rPr>
          <w:spacing w:val="-8"/>
        </w:rPr>
        <w:t> </w:t>
      </w:r>
      <w:r>
        <w:rPr/>
        <w:t>neighbouhoods</w:t>
      </w:r>
      <w:r>
        <w:rPr>
          <w:spacing w:val="-4"/>
        </w:rPr>
        <w:t> </w:t>
      </w:r>
      <w:r>
        <w:rPr/>
        <w:t>of</w:t>
      </w:r>
      <w:r>
        <w:rPr>
          <w:spacing w:val="-5"/>
        </w:rPr>
        <w:t> </w:t>
      </w:r>
      <w:r>
        <w:rPr/>
        <w:t>Saukakahuta,</w:t>
      </w:r>
      <w:r>
        <w:rPr>
          <w:spacing w:val="-5"/>
        </w:rPr>
        <w:t> </w:t>
      </w:r>
      <w:r>
        <w:rPr/>
        <w:t>Maitumbi,</w:t>
      </w:r>
      <w:r>
        <w:rPr>
          <w:spacing w:val="-7"/>
        </w:rPr>
        <w:t> </w:t>
      </w:r>
      <w:r>
        <w:rPr/>
        <w:t>Kpakungu,</w:t>
      </w:r>
      <w:r>
        <w:rPr>
          <w:spacing w:val="-5"/>
        </w:rPr>
        <w:t> </w:t>
      </w:r>
      <w:r>
        <w:rPr/>
        <w:t>Minna-Central,</w:t>
      </w:r>
      <w:r>
        <w:rPr>
          <w:spacing w:val="-6"/>
        </w:rPr>
        <w:t> </w:t>
      </w:r>
      <w:r>
        <w:rPr/>
        <w:t>Tudun-Fulani and F-Layout are water poor and required first level policy priority attention. A further significant highlight of this research is that improvement and prioritization of the use component</w:t>
      </w:r>
      <w:r>
        <w:rPr>
          <w:spacing w:val="-2"/>
        </w:rPr>
        <w:t> </w:t>
      </w:r>
      <w:r>
        <w:rPr/>
        <w:t>which</w:t>
      </w:r>
      <w:r>
        <w:rPr>
          <w:spacing w:val="-2"/>
        </w:rPr>
        <w:t> </w:t>
      </w:r>
      <w:r>
        <w:rPr/>
        <w:t>is a yardstick</w:t>
      </w:r>
      <w:r>
        <w:rPr>
          <w:spacing w:val="-2"/>
        </w:rPr>
        <w:t> </w:t>
      </w:r>
      <w:r>
        <w:rPr/>
        <w:t>for</w:t>
      </w:r>
      <w:r>
        <w:rPr>
          <w:spacing w:val="-1"/>
        </w:rPr>
        <w:t> </w:t>
      </w:r>
      <w:r>
        <w:rPr/>
        <w:t>efficiency</w:t>
      </w:r>
      <w:r>
        <w:rPr>
          <w:spacing w:val="-7"/>
        </w:rPr>
        <w:t> </w:t>
      </w:r>
      <w:r>
        <w:rPr/>
        <w:t>in water</w:t>
      </w:r>
      <w:r>
        <w:rPr>
          <w:spacing w:val="-4"/>
        </w:rPr>
        <w:t> </w:t>
      </w:r>
      <w:r>
        <w:rPr/>
        <w:t>use would</w:t>
      </w:r>
      <w:r>
        <w:rPr>
          <w:spacing w:val="-2"/>
        </w:rPr>
        <w:t> </w:t>
      </w:r>
      <w:r>
        <w:rPr/>
        <w:t>be</w:t>
      </w:r>
      <w:r>
        <w:rPr>
          <w:spacing w:val="-3"/>
        </w:rPr>
        <w:t> </w:t>
      </w:r>
      <w:r>
        <w:rPr/>
        <w:t>advantageous</w:t>
      </w:r>
      <w:r>
        <w:rPr>
          <w:spacing w:val="-2"/>
        </w:rPr>
        <w:t> </w:t>
      </w:r>
      <w:r>
        <w:rPr/>
        <w:t>to</w:t>
      </w:r>
      <w:r>
        <w:rPr>
          <w:spacing w:val="-2"/>
        </w:rPr>
        <w:t> </w:t>
      </w:r>
      <w:r>
        <w:rPr/>
        <w:t>all the eight (8) neighbourhoods of the study area. This empirical investigation on water poverty would therefore be helpful to water authorities to enable them design a holistic policy to monitor and tackle the differing water poverty levels in the study area.</w:t>
      </w:r>
    </w:p>
    <w:p>
      <w:pPr>
        <w:pStyle w:val="BodyText"/>
        <w:spacing w:before="2"/>
      </w:pPr>
    </w:p>
    <w:p>
      <w:pPr>
        <w:pStyle w:val="BodyText"/>
        <w:spacing w:line="480" w:lineRule="auto" w:before="1"/>
        <w:ind w:left="547" w:right="106"/>
        <w:jc w:val="both"/>
      </w:pPr>
      <w:r>
        <w:rPr/>
        <w:t>Beyond the outcome of the water poverty assessment in the study, limited public water coverage was observed in the study area, as improved public water supply is partly outside the reach of some neighbourhoods, especially those at the urban fringe (Maitumbi, Tudun- Fulani,</w:t>
      </w:r>
      <w:r>
        <w:rPr>
          <w:spacing w:val="-1"/>
        </w:rPr>
        <w:t> </w:t>
      </w:r>
      <w:r>
        <w:rPr/>
        <w:t>Saukakahuta and</w:t>
      </w:r>
      <w:r>
        <w:rPr>
          <w:spacing w:val="-1"/>
        </w:rPr>
        <w:t> </w:t>
      </w:r>
      <w:r>
        <w:rPr/>
        <w:t>Kpakungu).</w:t>
      </w:r>
      <w:r>
        <w:rPr>
          <w:spacing w:val="-1"/>
        </w:rPr>
        <w:t> </w:t>
      </w:r>
      <w:r>
        <w:rPr/>
        <w:t>This</w:t>
      </w:r>
      <w:r>
        <w:rPr>
          <w:spacing w:val="-1"/>
        </w:rPr>
        <w:t> </w:t>
      </w:r>
      <w:r>
        <w:rPr/>
        <w:t>limited</w:t>
      </w:r>
      <w:r>
        <w:rPr>
          <w:spacing w:val="-3"/>
        </w:rPr>
        <w:t> </w:t>
      </w:r>
      <w:r>
        <w:rPr/>
        <w:t>water</w:t>
      </w:r>
      <w:r>
        <w:rPr>
          <w:spacing w:val="-3"/>
        </w:rPr>
        <w:t> </w:t>
      </w:r>
      <w:r>
        <w:rPr/>
        <w:t>coverage</w:t>
      </w:r>
      <w:r>
        <w:rPr>
          <w:spacing w:val="-2"/>
        </w:rPr>
        <w:t> </w:t>
      </w:r>
      <w:r>
        <w:rPr/>
        <w:t>in</w:t>
      </w:r>
      <w:r>
        <w:rPr>
          <w:spacing w:val="-1"/>
        </w:rPr>
        <w:t> </w:t>
      </w:r>
      <w:r>
        <w:rPr/>
        <w:t>the</w:t>
      </w:r>
      <w:r>
        <w:rPr>
          <w:spacing w:val="-2"/>
        </w:rPr>
        <w:t> </w:t>
      </w:r>
      <w:r>
        <w:rPr/>
        <w:t>study</w:t>
      </w:r>
      <w:r>
        <w:rPr>
          <w:spacing w:val="-5"/>
        </w:rPr>
        <w:t> </w:t>
      </w:r>
      <w:r>
        <w:rPr/>
        <w:t>is</w:t>
      </w:r>
      <w:r>
        <w:rPr>
          <w:spacing w:val="-1"/>
        </w:rPr>
        <w:t> </w:t>
      </w:r>
      <w:r>
        <w:rPr/>
        <w:t>at</w:t>
      </w:r>
      <w:r>
        <w:rPr>
          <w:spacing w:val="-1"/>
        </w:rPr>
        <w:t> </w:t>
      </w:r>
      <w:r>
        <w:rPr/>
        <w:t>variance to</w:t>
      </w:r>
      <w:r>
        <w:rPr>
          <w:spacing w:val="5"/>
        </w:rPr>
        <w:t> </w:t>
      </w:r>
      <w:r>
        <w:rPr/>
        <w:t>the</w:t>
      </w:r>
      <w:r>
        <w:rPr>
          <w:spacing w:val="5"/>
        </w:rPr>
        <w:t> </w:t>
      </w:r>
      <w:r>
        <w:rPr/>
        <w:t>Sustainable</w:t>
      </w:r>
      <w:r>
        <w:rPr>
          <w:spacing w:val="5"/>
        </w:rPr>
        <w:t> </w:t>
      </w:r>
      <w:r>
        <w:rPr/>
        <w:t>Development</w:t>
      </w:r>
      <w:r>
        <w:rPr>
          <w:spacing w:val="6"/>
        </w:rPr>
        <w:t> </w:t>
      </w:r>
      <w:r>
        <w:rPr/>
        <w:t>Goal</w:t>
      </w:r>
      <w:r>
        <w:rPr>
          <w:spacing w:val="6"/>
        </w:rPr>
        <w:t> </w:t>
      </w:r>
      <w:r>
        <w:rPr/>
        <w:t>(SDG)</w:t>
      </w:r>
      <w:r>
        <w:rPr>
          <w:spacing w:val="5"/>
        </w:rPr>
        <w:t> </w:t>
      </w:r>
      <w:r>
        <w:rPr/>
        <w:t>6.1</w:t>
      </w:r>
      <w:r>
        <w:rPr>
          <w:spacing w:val="5"/>
        </w:rPr>
        <w:t> </w:t>
      </w:r>
      <w:r>
        <w:rPr/>
        <w:t>which</w:t>
      </w:r>
      <w:r>
        <w:rPr>
          <w:spacing w:val="5"/>
        </w:rPr>
        <w:t> </w:t>
      </w:r>
      <w:r>
        <w:rPr/>
        <w:t>requires</w:t>
      </w:r>
      <w:r>
        <w:rPr>
          <w:spacing w:val="6"/>
        </w:rPr>
        <w:t> </w:t>
      </w:r>
      <w:r>
        <w:rPr/>
        <w:t>extending</w:t>
      </w:r>
      <w:r>
        <w:rPr>
          <w:spacing w:val="5"/>
        </w:rPr>
        <w:t> </w:t>
      </w:r>
      <w:r>
        <w:rPr/>
        <w:t>improved</w:t>
      </w:r>
      <w:r>
        <w:rPr>
          <w:spacing w:val="5"/>
        </w:rPr>
        <w:t> </w:t>
      </w:r>
      <w:r>
        <w:rPr>
          <w:spacing w:val="-2"/>
        </w:rPr>
        <w:t>public</w:t>
      </w:r>
    </w:p>
    <w:p>
      <w:pPr>
        <w:spacing w:after="0" w:line="480" w:lineRule="auto"/>
        <w:jc w:val="both"/>
        <w:sectPr>
          <w:pgSz w:w="12240" w:h="15840"/>
          <w:pgMar w:header="0" w:footer="1068" w:top="1340" w:bottom="1260" w:left="1440" w:right="1300"/>
        </w:sectPr>
      </w:pPr>
    </w:p>
    <w:p>
      <w:pPr>
        <w:pStyle w:val="BodyText"/>
        <w:spacing w:line="480" w:lineRule="auto" w:before="63"/>
        <w:ind w:left="547" w:right="105"/>
        <w:jc w:val="both"/>
      </w:pPr>
      <w:r>
        <w:rPr/>
        <w:t>water coverage by 100%. The implication of this is that un-served households residing in these</w:t>
      </w:r>
      <w:r>
        <w:rPr>
          <w:spacing w:val="-5"/>
        </w:rPr>
        <w:t> </w:t>
      </w:r>
      <w:r>
        <w:rPr/>
        <w:t>neighbourhoods</w:t>
      </w:r>
      <w:r>
        <w:rPr>
          <w:spacing w:val="-2"/>
        </w:rPr>
        <w:t> </w:t>
      </w:r>
      <w:r>
        <w:rPr/>
        <w:t>lack</w:t>
      </w:r>
      <w:r>
        <w:rPr>
          <w:spacing w:val="-3"/>
        </w:rPr>
        <w:t> </w:t>
      </w:r>
      <w:r>
        <w:rPr/>
        <w:t>equitable</w:t>
      </w:r>
      <w:r>
        <w:rPr>
          <w:spacing w:val="-3"/>
        </w:rPr>
        <w:t> </w:t>
      </w:r>
      <w:r>
        <w:rPr/>
        <w:t>access</w:t>
      </w:r>
      <w:r>
        <w:rPr>
          <w:spacing w:val="-3"/>
        </w:rPr>
        <w:t> </w:t>
      </w:r>
      <w:r>
        <w:rPr/>
        <w:t>and</w:t>
      </w:r>
      <w:r>
        <w:rPr>
          <w:spacing w:val="-3"/>
        </w:rPr>
        <w:t> </w:t>
      </w:r>
      <w:r>
        <w:rPr/>
        <w:t>quality</w:t>
      </w:r>
      <w:r>
        <w:rPr>
          <w:spacing w:val="-8"/>
        </w:rPr>
        <w:t> </w:t>
      </w:r>
      <w:r>
        <w:rPr/>
        <w:t>water</w:t>
      </w:r>
      <w:r>
        <w:rPr>
          <w:spacing w:val="-2"/>
        </w:rPr>
        <w:t> </w:t>
      </w:r>
      <w:r>
        <w:rPr/>
        <w:t>and</w:t>
      </w:r>
      <w:r>
        <w:rPr>
          <w:spacing w:val="-3"/>
        </w:rPr>
        <w:t> </w:t>
      </w:r>
      <w:r>
        <w:rPr/>
        <w:t>that</w:t>
      </w:r>
      <w:r>
        <w:rPr>
          <w:spacing w:val="-3"/>
        </w:rPr>
        <w:t> </w:t>
      </w:r>
      <w:r>
        <w:rPr/>
        <w:t>the</w:t>
      </w:r>
      <w:r>
        <w:rPr>
          <w:spacing w:val="-3"/>
        </w:rPr>
        <w:t> </w:t>
      </w:r>
      <w:r>
        <w:rPr/>
        <w:t>burden</w:t>
      </w:r>
      <w:r>
        <w:rPr>
          <w:spacing w:val="-3"/>
        </w:rPr>
        <w:t> </w:t>
      </w:r>
      <w:r>
        <w:rPr/>
        <w:t>to</w:t>
      </w:r>
      <w:r>
        <w:rPr>
          <w:spacing w:val="-3"/>
        </w:rPr>
        <w:t> </w:t>
      </w:r>
      <w:r>
        <w:rPr/>
        <w:t>provide safe</w:t>
      </w:r>
      <w:r>
        <w:rPr>
          <w:spacing w:val="-11"/>
        </w:rPr>
        <w:t> </w:t>
      </w:r>
      <w:r>
        <w:rPr/>
        <w:t>drinking</w:t>
      </w:r>
      <w:r>
        <w:rPr>
          <w:spacing w:val="-12"/>
        </w:rPr>
        <w:t> </w:t>
      </w:r>
      <w:r>
        <w:rPr/>
        <w:t>and</w:t>
      </w:r>
      <w:r>
        <w:rPr>
          <w:spacing w:val="-10"/>
        </w:rPr>
        <w:t> </w:t>
      </w:r>
      <w:r>
        <w:rPr/>
        <w:t>domestic</w:t>
      </w:r>
      <w:r>
        <w:rPr>
          <w:spacing w:val="-10"/>
        </w:rPr>
        <w:t> </w:t>
      </w:r>
      <w:r>
        <w:rPr/>
        <w:t>water</w:t>
      </w:r>
      <w:r>
        <w:rPr>
          <w:spacing w:val="-11"/>
        </w:rPr>
        <w:t> </w:t>
      </w:r>
      <w:r>
        <w:rPr/>
        <w:t>shift</w:t>
      </w:r>
      <w:r>
        <w:rPr>
          <w:spacing w:val="-9"/>
        </w:rPr>
        <w:t> </w:t>
      </w:r>
      <w:r>
        <w:rPr/>
        <w:t>to</w:t>
      </w:r>
      <w:r>
        <w:rPr>
          <w:spacing w:val="-9"/>
        </w:rPr>
        <w:t> </w:t>
      </w:r>
      <w:r>
        <w:rPr/>
        <w:t>the</w:t>
      </w:r>
      <w:r>
        <w:rPr>
          <w:spacing w:val="-10"/>
        </w:rPr>
        <w:t> </w:t>
      </w:r>
      <w:r>
        <w:rPr/>
        <w:t>households.</w:t>
      </w:r>
      <w:r>
        <w:rPr>
          <w:spacing w:val="-10"/>
        </w:rPr>
        <w:t> </w:t>
      </w:r>
      <w:r>
        <w:rPr/>
        <w:t>Aside,</w:t>
      </w:r>
      <w:r>
        <w:rPr>
          <w:spacing w:val="-10"/>
        </w:rPr>
        <w:t> </w:t>
      </w:r>
      <w:r>
        <w:rPr/>
        <w:t>a</w:t>
      </w:r>
      <w:r>
        <w:rPr>
          <w:spacing w:val="-11"/>
        </w:rPr>
        <w:t> </w:t>
      </w:r>
      <w:r>
        <w:rPr/>
        <w:t>significant</w:t>
      </w:r>
      <w:r>
        <w:rPr>
          <w:spacing w:val="-9"/>
        </w:rPr>
        <w:t> </w:t>
      </w:r>
      <w:r>
        <w:rPr/>
        <w:t>outcome</w:t>
      </w:r>
      <w:r>
        <w:rPr>
          <w:spacing w:val="-11"/>
        </w:rPr>
        <w:t> </w:t>
      </w:r>
      <w:r>
        <w:rPr/>
        <w:t>of</w:t>
      </w:r>
      <w:r>
        <w:rPr>
          <w:spacing w:val="-10"/>
        </w:rPr>
        <w:t> </w:t>
      </w:r>
      <w:r>
        <w:rPr/>
        <w:t>this research is that access to pipe water source/supply</w:t>
      </w:r>
      <w:r>
        <w:rPr>
          <w:spacing w:val="-1"/>
        </w:rPr>
        <w:t> </w:t>
      </w:r>
      <w:r>
        <w:rPr/>
        <w:t>is below the unimproved water source in the water service ladder, with households using informal non-network sources (private unprotected dug well, pond and lake, dam, water truck and water vendor) to complement their public pipe water supply for drinking and domestic use.</w:t>
      </w:r>
    </w:p>
    <w:p>
      <w:pPr>
        <w:pStyle w:val="BodyText"/>
        <w:spacing w:line="480" w:lineRule="auto" w:before="1"/>
        <w:ind w:left="547" w:right="103"/>
        <w:jc w:val="both"/>
      </w:pPr>
      <w:r>
        <w:rPr/>
        <w:t>In view of the level of water poverty, the research has revealed that households in the study area have adopted a combination of effective and not effective coping strategies or measure against water poverty and water shortages. Most of these adaptive strategies are however accommodative in nature, and geared towards improving the physical access to water.</w:t>
      </w:r>
    </w:p>
    <w:p>
      <w:pPr>
        <w:pStyle w:val="BodyText"/>
        <w:spacing w:before="7"/>
      </w:pPr>
    </w:p>
    <w:p>
      <w:pPr>
        <w:pStyle w:val="Heading1"/>
        <w:numPr>
          <w:ilvl w:val="1"/>
          <w:numId w:val="13"/>
        </w:numPr>
        <w:tabs>
          <w:tab w:pos="1267" w:val="left" w:leader="none"/>
        </w:tabs>
        <w:spacing w:line="240" w:lineRule="auto" w:before="1" w:after="0"/>
        <w:ind w:left="1267" w:right="0" w:hanging="720"/>
        <w:jc w:val="left"/>
      </w:pPr>
      <w:r>
        <w:rPr>
          <w:spacing w:val="-2"/>
        </w:rPr>
        <w:t>Recommendations</w:t>
      </w:r>
    </w:p>
    <w:p>
      <w:pPr>
        <w:pStyle w:val="BodyText"/>
        <w:spacing w:before="14"/>
        <w:rPr>
          <w:b/>
        </w:rPr>
      </w:pPr>
    </w:p>
    <w:p>
      <w:pPr>
        <w:pStyle w:val="BodyText"/>
        <w:ind w:left="547"/>
        <w:jc w:val="both"/>
      </w:pPr>
      <w:r>
        <w:rPr/>
        <w:t>The</w:t>
      </w:r>
      <w:r>
        <w:rPr>
          <w:spacing w:val="-3"/>
        </w:rPr>
        <w:t> </w:t>
      </w:r>
      <w:r>
        <w:rPr/>
        <w:t>recommendations for the</w:t>
      </w:r>
      <w:r>
        <w:rPr>
          <w:spacing w:val="-2"/>
        </w:rPr>
        <w:t> </w:t>
      </w:r>
      <w:r>
        <w:rPr/>
        <w:t>study</w:t>
      </w:r>
      <w:r>
        <w:rPr>
          <w:spacing w:val="-3"/>
        </w:rPr>
        <w:t> </w:t>
      </w:r>
      <w:r>
        <w:rPr/>
        <w:t>are</w:t>
      </w:r>
      <w:r>
        <w:rPr>
          <w:spacing w:val="-2"/>
        </w:rPr>
        <w:t> </w:t>
      </w:r>
      <w:r>
        <w:rPr/>
        <w:t>outlined as </w:t>
      </w:r>
      <w:r>
        <w:rPr>
          <w:spacing w:val="-2"/>
        </w:rPr>
        <w:t>follows;</w:t>
      </w:r>
    </w:p>
    <w:p>
      <w:pPr>
        <w:pStyle w:val="ListParagraph"/>
        <w:numPr>
          <w:ilvl w:val="0"/>
          <w:numId w:val="14"/>
        </w:numPr>
        <w:tabs>
          <w:tab w:pos="972" w:val="left" w:leader="none"/>
        </w:tabs>
        <w:spacing w:line="480" w:lineRule="auto" w:before="240" w:after="0"/>
        <w:ind w:left="972" w:right="107" w:hanging="360"/>
        <w:jc w:val="both"/>
        <w:rPr>
          <w:sz w:val="24"/>
        </w:rPr>
      </w:pPr>
      <w:r>
        <w:rPr>
          <w:sz w:val="24"/>
        </w:rPr>
        <w:t>In view of the limited public water coverage, investment in water infrastructure is required by the water authorities to extend the existing public water supply network to neighbourhoods which are currently served and partly unserved, especially those neighbourhoods located in the periphery/fringe of the study area. The availability of water infrastructure would increase equitable access to safely managed water supply, reduce over-reliance on non-networked water sources/unimproved sources and household stress/burden in water search process.</w:t>
      </w:r>
    </w:p>
    <w:p>
      <w:pPr>
        <w:pStyle w:val="ListParagraph"/>
        <w:numPr>
          <w:ilvl w:val="0"/>
          <w:numId w:val="14"/>
        </w:numPr>
        <w:tabs>
          <w:tab w:pos="972" w:val="left" w:leader="none"/>
        </w:tabs>
        <w:spacing w:line="480" w:lineRule="auto" w:before="1" w:after="0"/>
        <w:ind w:left="972" w:right="108" w:hanging="360"/>
        <w:jc w:val="both"/>
        <w:rPr>
          <w:sz w:val="24"/>
        </w:rPr>
      </w:pPr>
      <w:r>
        <w:rPr>
          <w:sz w:val="24"/>
        </w:rPr>
        <w:t>Policy makers as a matter of priority should give first level priority attention to improving water use across all the neighbourhoods in the study area. Access requires second</w:t>
      </w:r>
      <w:r>
        <w:rPr>
          <w:spacing w:val="-8"/>
          <w:sz w:val="24"/>
        </w:rPr>
        <w:t> </w:t>
      </w:r>
      <w:r>
        <w:rPr>
          <w:sz w:val="24"/>
        </w:rPr>
        <w:t>level</w:t>
      </w:r>
      <w:r>
        <w:rPr>
          <w:spacing w:val="-8"/>
          <w:sz w:val="24"/>
        </w:rPr>
        <w:t> </w:t>
      </w:r>
      <w:r>
        <w:rPr>
          <w:sz w:val="24"/>
        </w:rPr>
        <w:t>priority</w:t>
      </w:r>
      <w:r>
        <w:rPr>
          <w:spacing w:val="-13"/>
          <w:sz w:val="24"/>
        </w:rPr>
        <w:t> </w:t>
      </w:r>
      <w:r>
        <w:rPr>
          <w:sz w:val="24"/>
        </w:rPr>
        <w:t>in</w:t>
      </w:r>
      <w:r>
        <w:rPr>
          <w:spacing w:val="-8"/>
          <w:sz w:val="24"/>
        </w:rPr>
        <w:t> </w:t>
      </w:r>
      <w:r>
        <w:rPr>
          <w:sz w:val="24"/>
        </w:rPr>
        <w:t>term</w:t>
      </w:r>
      <w:r>
        <w:rPr>
          <w:spacing w:val="-8"/>
          <w:sz w:val="24"/>
        </w:rPr>
        <w:t> </w:t>
      </w:r>
      <w:r>
        <w:rPr>
          <w:sz w:val="24"/>
        </w:rPr>
        <w:t>of</w:t>
      </w:r>
      <w:r>
        <w:rPr>
          <w:spacing w:val="-9"/>
          <w:sz w:val="24"/>
        </w:rPr>
        <w:t> </w:t>
      </w:r>
      <w:r>
        <w:rPr>
          <w:sz w:val="24"/>
        </w:rPr>
        <w:t>water</w:t>
      </w:r>
      <w:r>
        <w:rPr>
          <w:spacing w:val="-9"/>
          <w:sz w:val="24"/>
        </w:rPr>
        <w:t> </w:t>
      </w:r>
      <w:r>
        <w:rPr>
          <w:sz w:val="24"/>
        </w:rPr>
        <w:t>improvement</w:t>
      </w:r>
      <w:r>
        <w:rPr>
          <w:spacing w:val="-7"/>
          <w:sz w:val="24"/>
        </w:rPr>
        <w:t> </w:t>
      </w:r>
      <w:r>
        <w:rPr>
          <w:sz w:val="24"/>
        </w:rPr>
        <w:t>and</w:t>
      </w:r>
      <w:r>
        <w:rPr>
          <w:spacing w:val="-8"/>
          <w:sz w:val="24"/>
        </w:rPr>
        <w:t> </w:t>
      </w:r>
      <w:r>
        <w:rPr>
          <w:sz w:val="24"/>
        </w:rPr>
        <w:t>it</w:t>
      </w:r>
      <w:r>
        <w:rPr>
          <w:spacing w:val="-8"/>
          <w:sz w:val="24"/>
        </w:rPr>
        <w:t> </w:t>
      </w:r>
      <w:r>
        <w:rPr>
          <w:sz w:val="24"/>
        </w:rPr>
        <w:t>will</w:t>
      </w:r>
      <w:r>
        <w:rPr>
          <w:spacing w:val="-8"/>
          <w:sz w:val="24"/>
        </w:rPr>
        <w:t> </w:t>
      </w:r>
      <w:r>
        <w:rPr>
          <w:sz w:val="24"/>
        </w:rPr>
        <w:t>be</w:t>
      </w:r>
      <w:r>
        <w:rPr>
          <w:spacing w:val="-9"/>
          <w:sz w:val="24"/>
        </w:rPr>
        <w:t> </w:t>
      </w:r>
      <w:r>
        <w:rPr>
          <w:sz w:val="24"/>
        </w:rPr>
        <w:t>beneficial</w:t>
      </w:r>
      <w:r>
        <w:rPr>
          <w:spacing w:val="-8"/>
          <w:sz w:val="24"/>
        </w:rPr>
        <w:t> </w:t>
      </w:r>
      <w:r>
        <w:rPr>
          <w:sz w:val="24"/>
        </w:rPr>
        <w:t>to</w:t>
      </w:r>
      <w:r>
        <w:rPr>
          <w:spacing w:val="-8"/>
          <w:sz w:val="24"/>
        </w:rPr>
        <w:t> </w:t>
      </w:r>
      <w:r>
        <w:rPr>
          <w:sz w:val="24"/>
        </w:rPr>
        <w:t>F-Layout,</w:t>
      </w:r>
    </w:p>
    <w:p>
      <w:pPr>
        <w:spacing w:after="0" w:line="480" w:lineRule="auto"/>
        <w:jc w:val="both"/>
        <w:rPr>
          <w:sz w:val="24"/>
        </w:rPr>
        <w:sectPr>
          <w:pgSz w:w="12240" w:h="15840"/>
          <w:pgMar w:header="0" w:footer="1068" w:top="1340" w:bottom="1260" w:left="1440" w:right="1300"/>
        </w:sectPr>
      </w:pPr>
    </w:p>
    <w:p>
      <w:pPr>
        <w:pStyle w:val="BodyText"/>
        <w:spacing w:line="480" w:lineRule="auto" w:before="63"/>
        <w:ind w:left="972" w:right="110"/>
        <w:jc w:val="both"/>
      </w:pPr>
      <w:r>
        <w:rPr/>
        <w:t>Kpakungu,</w:t>
      </w:r>
      <w:r>
        <w:rPr>
          <w:spacing w:val="-15"/>
        </w:rPr>
        <w:t> </w:t>
      </w:r>
      <w:r>
        <w:rPr/>
        <w:t>Maitumbi,</w:t>
      </w:r>
      <w:r>
        <w:rPr>
          <w:spacing w:val="-15"/>
        </w:rPr>
        <w:t> </w:t>
      </w:r>
      <w:r>
        <w:rPr/>
        <w:t>Saukakahuta</w:t>
      </w:r>
      <w:r>
        <w:rPr>
          <w:spacing w:val="-15"/>
        </w:rPr>
        <w:t> </w:t>
      </w:r>
      <w:r>
        <w:rPr/>
        <w:t>and</w:t>
      </w:r>
      <w:r>
        <w:rPr>
          <w:spacing w:val="-15"/>
        </w:rPr>
        <w:t> </w:t>
      </w:r>
      <w:r>
        <w:rPr/>
        <w:t>Tudun-Fulani.</w:t>
      </w:r>
      <w:r>
        <w:rPr>
          <w:spacing w:val="-15"/>
        </w:rPr>
        <w:t> </w:t>
      </w:r>
      <w:r>
        <w:rPr/>
        <w:t>Resource</w:t>
      </w:r>
      <w:r>
        <w:rPr>
          <w:spacing w:val="-15"/>
        </w:rPr>
        <w:t> </w:t>
      </w:r>
      <w:r>
        <w:rPr/>
        <w:t>is</w:t>
      </w:r>
      <w:r>
        <w:rPr>
          <w:spacing w:val="-15"/>
        </w:rPr>
        <w:t> </w:t>
      </w:r>
      <w:r>
        <w:rPr/>
        <w:t>the</w:t>
      </w:r>
      <w:r>
        <w:rPr>
          <w:spacing w:val="-15"/>
        </w:rPr>
        <w:t> </w:t>
      </w:r>
      <w:r>
        <w:rPr/>
        <w:t>third</w:t>
      </w:r>
      <w:r>
        <w:rPr>
          <w:spacing w:val="-15"/>
        </w:rPr>
        <w:t> </w:t>
      </w:r>
      <w:r>
        <w:rPr/>
        <w:t>priority</w:t>
      </w:r>
      <w:r>
        <w:rPr>
          <w:spacing w:val="-15"/>
        </w:rPr>
        <w:t> </w:t>
      </w:r>
      <w:r>
        <w:rPr/>
        <w:t>area for attention and would be advantageous to F-Layout, Saukakahuta and Tudun-Fulani.</w:t>
      </w:r>
    </w:p>
    <w:p>
      <w:pPr>
        <w:pStyle w:val="ListParagraph"/>
        <w:numPr>
          <w:ilvl w:val="0"/>
          <w:numId w:val="14"/>
        </w:numPr>
        <w:tabs>
          <w:tab w:pos="972" w:val="left" w:leader="none"/>
        </w:tabs>
        <w:spacing w:line="480" w:lineRule="auto" w:before="0" w:after="0"/>
        <w:ind w:left="972" w:right="109" w:hanging="360"/>
        <w:jc w:val="both"/>
        <w:rPr>
          <w:sz w:val="24"/>
        </w:rPr>
      </w:pPr>
      <w:r>
        <w:rPr>
          <w:sz w:val="24"/>
        </w:rPr>
        <w:t>Public</w:t>
      </w:r>
      <w:r>
        <w:rPr>
          <w:spacing w:val="-2"/>
          <w:sz w:val="24"/>
        </w:rPr>
        <w:t> </w:t>
      </w:r>
      <w:r>
        <w:rPr>
          <w:sz w:val="24"/>
        </w:rPr>
        <w:t>water authorities should sensitize</w:t>
      </w:r>
      <w:r>
        <w:rPr>
          <w:spacing w:val="-2"/>
          <w:sz w:val="24"/>
        </w:rPr>
        <w:t> </w:t>
      </w:r>
      <w:r>
        <w:rPr>
          <w:sz w:val="24"/>
        </w:rPr>
        <w:t>and</w:t>
      </w:r>
      <w:r>
        <w:rPr>
          <w:spacing w:val="-1"/>
          <w:sz w:val="24"/>
        </w:rPr>
        <w:t> </w:t>
      </w:r>
      <w:r>
        <w:rPr>
          <w:sz w:val="24"/>
        </w:rPr>
        <w:t>create public/</w:t>
      </w:r>
      <w:r>
        <w:rPr>
          <w:spacing w:val="-1"/>
          <w:sz w:val="24"/>
        </w:rPr>
        <w:t> </w:t>
      </w:r>
      <w:r>
        <w:rPr>
          <w:sz w:val="24"/>
        </w:rPr>
        <w:t>household awareness on the need for effective water utilization and management of public water supply. This is against</w:t>
      </w:r>
      <w:r>
        <w:rPr>
          <w:spacing w:val="-4"/>
          <w:sz w:val="24"/>
        </w:rPr>
        <w:t> </w:t>
      </w:r>
      <w:r>
        <w:rPr>
          <w:sz w:val="24"/>
        </w:rPr>
        <w:t>the</w:t>
      </w:r>
      <w:r>
        <w:rPr>
          <w:spacing w:val="-5"/>
          <w:sz w:val="24"/>
        </w:rPr>
        <w:t> </w:t>
      </w:r>
      <w:r>
        <w:rPr>
          <w:sz w:val="24"/>
        </w:rPr>
        <w:t>background</w:t>
      </w:r>
      <w:r>
        <w:rPr>
          <w:spacing w:val="-5"/>
          <w:sz w:val="24"/>
        </w:rPr>
        <w:t> </w:t>
      </w:r>
      <w:r>
        <w:rPr>
          <w:sz w:val="24"/>
        </w:rPr>
        <w:t>that</w:t>
      </w:r>
      <w:r>
        <w:rPr>
          <w:spacing w:val="-5"/>
          <w:sz w:val="24"/>
        </w:rPr>
        <w:t> </w:t>
      </w:r>
      <w:r>
        <w:rPr>
          <w:sz w:val="24"/>
        </w:rPr>
        <w:t>virtually</w:t>
      </w:r>
      <w:r>
        <w:rPr>
          <w:spacing w:val="-10"/>
          <w:sz w:val="24"/>
        </w:rPr>
        <w:t> </w:t>
      </w:r>
      <w:r>
        <w:rPr>
          <w:sz w:val="24"/>
        </w:rPr>
        <w:t>all</w:t>
      </w:r>
      <w:r>
        <w:rPr>
          <w:spacing w:val="-4"/>
          <w:sz w:val="24"/>
        </w:rPr>
        <w:t> </w:t>
      </w:r>
      <w:r>
        <w:rPr>
          <w:sz w:val="24"/>
        </w:rPr>
        <w:t>households</w:t>
      </w:r>
      <w:r>
        <w:rPr>
          <w:spacing w:val="-5"/>
          <w:sz w:val="24"/>
        </w:rPr>
        <w:t> </w:t>
      </w:r>
      <w:r>
        <w:rPr>
          <w:sz w:val="24"/>
        </w:rPr>
        <w:t>in</w:t>
      </w:r>
      <w:r>
        <w:rPr>
          <w:spacing w:val="-2"/>
          <w:sz w:val="24"/>
        </w:rPr>
        <w:t> </w:t>
      </w:r>
      <w:r>
        <w:rPr>
          <w:sz w:val="24"/>
        </w:rPr>
        <w:t>the</w:t>
      </w:r>
      <w:r>
        <w:rPr>
          <w:spacing w:val="-5"/>
          <w:sz w:val="24"/>
        </w:rPr>
        <w:t> </w:t>
      </w:r>
      <w:r>
        <w:rPr>
          <w:sz w:val="24"/>
        </w:rPr>
        <w:t>study</w:t>
      </w:r>
      <w:r>
        <w:rPr>
          <w:spacing w:val="-10"/>
          <w:sz w:val="24"/>
        </w:rPr>
        <w:t> </w:t>
      </w:r>
      <w:r>
        <w:rPr>
          <w:sz w:val="24"/>
        </w:rPr>
        <w:t>area</w:t>
      </w:r>
      <w:r>
        <w:rPr>
          <w:spacing w:val="-6"/>
          <w:sz w:val="24"/>
        </w:rPr>
        <w:t> </w:t>
      </w:r>
      <w:r>
        <w:rPr>
          <w:sz w:val="24"/>
        </w:rPr>
        <w:t>lack</w:t>
      </w:r>
      <w:r>
        <w:rPr>
          <w:spacing w:val="-3"/>
          <w:sz w:val="24"/>
        </w:rPr>
        <w:t> </w:t>
      </w:r>
      <w:r>
        <w:rPr>
          <w:sz w:val="24"/>
        </w:rPr>
        <w:t>and</w:t>
      </w:r>
      <w:r>
        <w:rPr>
          <w:spacing w:val="-5"/>
          <w:sz w:val="24"/>
        </w:rPr>
        <w:t> </w:t>
      </w:r>
      <w:r>
        <w:rPr>
          <w:sz w:val="24"/>
        </w:rPr>
        <w:t>engage</w:t>
      </w:r>
      <w:r>
        <w:rPr>
          <w:spacing w:val="-6"/>
          <w:sz w:val="24"/>
        </w:rPr>
        <w:t> </w:t>
      </w:r>
      <w:r>
        <w:rPr>
          <w:sz w:val="24"/>
        </w:rPr>
        <w:t>in ineffective water use for drinking and greenery.</w:t>
      </w:r>
    </w:p>
    <w:p>
      <w:pPr>
        <w:pStyle w:val="ListParagraph"/>
        <w:numPr>
          <w:ilvl w:val="0"/>
          <w:numId w:val="14"/>
        </w:numPr>
        <w:tabs>
          <w:tab w:pos="972" w:val="left" w:leader="none"/>
        </w:tabs>
        <w:spacing w:line="480" w:lineRule="auto" w:before="1" w:after="0"/>
        <w:ind w:left="972" w:right="109" w:hanging="360"/>
        <w:jc w:val="both"/>
        <w:rPr>
          <w:sz w:val="24"/>
        </w:rPr>
      </w:pPr>
      <w:r>
        <w:rPr>
          <w:sz w:val="24"/>
        </w:rPr>
        <w:t>Households should imbibe the use of simple and effective technologies such as water seer (which is capable of extracting 37 litres of water per day) in coping with water poverty as most households are more kin at increasing their physical access to water.</w:t>
      </w:r>
    </w:p>
    <w:p>
      <w:pPr>
        <w:pStyle w:val="ListParagraph"/>
        <w:numPr>
          <w:ilvl w:val="0"/>
          <w:numId w:val="14"/>
        </w:numPr>
        <w:tabs>
          <w:tab w:pos="972" w:val="left" w:leader="none"/>
        </w:tabs>
        <w:spacing w:line="480" w:lineRule="auto" w:before="0" w:after="0"/>
        <w:ind w:left="972" w:right="111" w:hanging="360"/>
        <w:jc w:val="both"/>
        <w:rPr>
          <w:sz w:val="24"/>
        </w:rPr>
      </w:pPr>
      <w:r>
        <w:rPr>
          <w:sz w:val="24"/>
        </w:rPr>
        <w:t>A joint neighbourhood /community action on evolving effective water poverty adaptation strategies through households’ participation is required to increase the physical availability of water in the study area.</w:t>
      </w:r>
    </w:p>
    <w:p>
      <w:pPr>
        <w:spacing w:after="0" w:line="480" w:lineRule="auto"/>
        <w:jc w:val="both"/>
        <w:rPr>
          <w:sz w:val="24"/>
        </w:rPr>
        <w:sectPr>
          <w:pgSz w:w="12240" w:h="15840"/>
          <w:pgMar w:header="0" w:footer="1068" w:top="1340" w:bottom="1260" w:left="1440" w:right="1300"/>
        </w:sectPr>
      </w:pPr>
    </w:p>
    <w:p>
      <w:pPr>
        <w:pStyle w:val="Heading1"/>
        <w:spacing w:before="68"/>
        <w:ind w:left="439" w:right="3"/>
        <w:jc w:val="center"/>
      </w:pPr>
      <w:r>
        <w:rPr>
          <w:spacing w:val="-2"/>
        </w:rPr>
        <w:t>REFERENCES</w:t>
      </w:r>
    </w:p>
    <w:p>
      <w:pPr>
        <w:pStyle w:val="BodyText"/>
        <w:spacing w:before="271"/>
        <w:ind w:left="547" w:right="110" w:hanging="432"/>
        <w:jc w:val="both"/>
      </w:pPr>
      <w:r>
        <w:rPr/>
        <w:t>Abrahams,</w:t>
      </w:r>
      <w:r>
        <w:rPr>
          <w:spacing w:val="-8"/>
        </w:rPr>
        <w:t> </w:t>
      </w:r>
      <w:r>
        <w:rPr/>
        <w:t>N.</w:t>
      </w:r>
      <w:r>
        <w:rPr>
          <w:spacing w:val="-9"/>
        </w:rPr>
        <w:t> </w:t>
      </w:r>
      <w:r>
        <w:rPr/>
        <w:t>A.,</w:t>
      </w:r>
      <w:r>
        <w:rPr>
          <w:spacing w:val="-6"/>
        </w:rPr>
        <w:t> </w:t>
      </w:r>
      <w:r>
        <w:rPr/>
        <w:t>Hubbell,</w:t>
      </w:r>
      <w:r>
        <w:rPr>
          <w:spacing w:val="-8"/>
        </w:rPr>
        <w:t> </w:t>
      </w:r>
      <w:r>
        <w:rPr/>
        <w:t>B.J.,</w:t>
      </w:r>
      <w:r>
        <w:rPr>
          <w:spacing w:val="-8"/>
        </w:rPr>
        <w:t> </w:t>
      </w:r>
      <w:r>
        <w:rPr/>
        <w:t>&amp;</w:t>
      </w:r>
      <w:r>
        <w:rPr>
          <w:spacing w:val="-10"/>
        </w:rPr>
        <w:t> </w:t>
      </w:r>
      <w:r>
        <w:rPr/>
        <w:t>Jordan,</w:t>
      </w:r>
      <w:r>
        <w:rPr>
          <w:spacing w:val="-8"/>
        </w:rPr>
        <w:t> </w:t>
      </w:r>
      <w:r>
        <w:rPr/>
        <w:t>J.L.</w:t>
      </w:r>
      <w:r>
        <w:rPr>
          <w:spacing w:val="-8"/>
        </w:rPr>
        <w:t> </w:t>
      </w:r>
      <w:r>
        <w:rPr/>
        <w:t>(2000).</w:t>
      </w:r>
      <w:r>
        <w:rPr>
          <w:spacing w:val="-9"/>
        </w:rPr>
        <w:t> </w:t>
      </w:r>
      <w:r>
        <w:rPr/>
        <w:t>Joint</w:t>
      </w:r>
      <w:r>
        <w:rPr>
          <w:spacing w:val="-8"/>
        </w:rPr>
        <w:t> </w:t>
      </w:r>
      <w:r>
        <w:rPr/>
        <w:t>production</w:t>
      </w:r>
      <w:r>
        <w:rPr>
          <w:spacing w:val="-8"/>
        </w:rPr>
        <w:t> </w:t>
      </w:r>
      <w:r>
        <w:rPr/>
        <w:t>and</w:t>
      </w:r>
      <w:r>
        <w:rPr>
          <w:spacing w:val="-11"/>
        </w:rPr>
        <w:t> </w:t>
      </w:r>
      <w:r>
        <w:rPr/>
        <w:t>averting</w:t>
      </w:r>
      <w:r>
        <w:rPr>
          <w:spacing w:val="-11"/>
        </w:rPr>
        <w:t> </w:t>
      </w:r>
      <w:r>
        <w:rPr/>
        <w:t>expenditure measures of willingness to pay: Do water expenditures really measure avoidance costs? </w:t>
      </w:r>
      <w:r>
        <w:rPr>
          <w:i/>
        </w:rPr>
        <w:t>American Journal of Agricultural Economics, </w:t>
      </w:r>
      <w:r>
        <w:rPr/>
        <w:t>82(2), 427–437.</w:t>
      </w:r>
    </w:p>
    <w:p>
      <w:pPr>
        <w:pStyle w:val="BodyText"/>
      </w:pPr>
    </w:p>
    <w:p>
      <w:pPr>
        <w:spacing w:before="0"/>
        <w:ind w:left="547" w:right="109" w:hanging="432"/>
        <w:jc w:val="both"/>
        <w:rPr>
          <w:sz w:val="24"/>
        </w:rPr>
      </w:pPr>
      <w:r>
        <w:rPr>
          <w:sz w:val="24"/>
        </w:rPr>
        <w:t>Abubakar, I.R. (2012). </w:t>
      </w:r>
      <w:r>
        <w:rPr>
          <w:i/>
          <w:sz w:val="24"/>
        </w:rPr>
        <w:t>Households' Coping Strategies with Unsatisfactory Urban Services in a Planned City of Developing Countries </w:t>
      </w:r>
      <w:r>
        <w:rPr>
          <w:sz w:val="24"/>
        </w:rPr>
        <w:t>(Unpublished Doctoral dissertation). Florida State University, USA.</w:t>
      </w:r>
    </w:p>
    <w:p>
      <w:pPr>
        <w:pStyle w:val="BodyText"/>
      </w:pPr>
    </w:p>
    <w:p>
      <w:pPr>
        <w:spacing w:before="0"/>
        <w:ind w:left="547" w:right="115" w:hanging="432"/>
        <w:jc w:val="both"/>
        <w:rPr>
          <w:sz w:val="24"/>
        </w:rPr>
      </w:pPr>
      <w:r>
        <w:rPr>
          <w:sz w:val="24"/>
        </w:rPr>
        <w:t>Abubakar, S. D. (2017). An assessment of gully</w:t>
      </w:r>
      <w:r>
        <w:rPr>
          <w:spacing w:val="-4"/>
          <w:sz w:val="24"/>
        </w:rPr>
        <w:t> </w:t>
      </w:r>
      <w:r>
        <w:rPr>
          <w:sz w:val="24"/>
        </w:rPr>
        <w:t>erosion in selected areas of Minna, Niger State, Nigeria. IOSR </w:t>
      </w:r>
      <w:r>
        <w:rPr>
          <w:i/>
          <w:sz w:val="24"/>
        </w:rPr>
        <w:t>Journal of Humanities and Social Science, </w:t>
      </w:r>
      <w:r>
        <w:rPr>
          <w:sz w:val="24"/>
        </w:rPr>
        <w:t>22(8), 54-59.</w:t>
      </w:r>
    </w:p>
    <w:p>
      <w:pPr>
        <w:pStyle w:val="BodyText"/>
        <w:spacing w:before="1"/>
      </w:pPr>
    </w:p>
    <w:p>
      <w:pPr>
        <w:pStyle w:val="BodyText"/>
        <w:ind w:left="547" w:right="114" w:hanging="432"/>
        <w:jc w:val="both"/>
      </w:pPr>
      <w:r>
        <w:rPr/>
        <w:t>Abubakar, I. R. (2018). Strategies for coping with inadequate domestic water supply in Abuja, Nigeria. </w:t>
      </w:r>
      <w:r>
        <w:rPr>
          <w:i/>
        </w:rPr>
        <w:t>Water international</w:t>
      </w:r>
      <w:r>
        <w:rPr/>
        <w:t>, </w:t>
      </w:r>
      <w:r>
        <w:rPr>
          <w:i/>
        </w:rPr>
        <w:t>43</w:t>
      </w:r>
      <w:r>
        <w:rPr/>
        <w:t>(5), 570-590.</w:t>
      </w:r>
    </w:p>
    <w:p>
      <w:pPr>
        <w:pStyle w:val="BodyText"/>
      </w:pPr>
    </w:p>
    <w:p>
      <w:pPr>
        <w:spacing w:before="0"/>
        <w:ind w:left="547" w:right="107" w:hanging="432"/>
        <w:jc w:val="both"/>
        <w:rPr>
          <w:sz w:val="24"/>
        </w:rPr>
      </w:pPr>
      <w:r>
        <w:rPr>
          <w:sz w:val="24"/>
        </w:rPr>
        <w:t>Acey, C. (2008). Neighborhood effects and household responses to water supply problems in Nigerian cities. </w:t>
      </w:r>
      <w:r>
        <w:rPr>
          <w:i/>
          <w:sz w:val="24"/>
        </w:rPr>
        <w:t>The Journal for Transdisciplinary Research in Southern Africa, </w:t>
      </w:r>
      <w:r>
        <w:rPr>
          <w:sz w:val="24"/>
        </w:rPr>
        <w:t>4(1), 123 – </w:t>
      </w:r>
      <w:r>
        <w:rPr>
          <w:spacing w:val="-4"/>
          <w:sz w:val="24"/>
        </w:rPr>
        <w:t>156.</w:t>
      </w:r>
    </w:p>
    <w:p>
      <w:pPr>
        <w:pStyle w:val="BodyText"/>
      </w:pPr>
    </w:p>
    <w:p>
      <w:pPr>
        <w:spacing w:before="0"/>
        <w:ind w:left="547" w:right="109" w:hanging="432"/>
        <w:jc w:val="both"/>
        <w:rPr>
          <w:sz w:val="24"/>
        </w:rPr>
      </w:pPr>
      <w:r>
        <w:rPr>
          <w:sz w:val="24"/>
        </w:rPr>
        <w:t>Achore,</w:t>
      </w:r>
      <w:r>
        <w:rPr>
          <w:spacing w:val="-10"/>
          <w:sz w:val="24"/>
        </w:rPr>
        <w:t> </w:t>
      </w:r>
      <w:r>
        <w:rPr>
          <w:sz w:val="24"/>
        </w:rPr>
        <w:t>M.,</w:t>
      </w:r>
      <w:r>
        <w:rPr>
          <w:spacing w:val="-9"/>
          <w:sz w:val="24"/>
        </w:rPr>
        <w:t> </w:t>
      </w:r>
      <w:r>
        <w:rPr>
          <w:sz w:val="24"/>
        </w:rPr>
        <w:t>Bisung,</w:t>
      </w:r>
      <w:r>
        <w:rPr>
          <w:spacing w:val="-10"/>
          <w:sz w:val="24"/>
        </w:rPr>
        <w:t> </w:t>
      </w:r>
      <w:r>
        <w:rPr>
          <w:sz w:val="24"/>
        </w:rPr>
        <w:t>E.,</w:t>
      </w:r>
      <w:r>
        <w:rPr>
          <w:spacing w:val="-10"/>
          <w:sz w:val="24"/>
        </w:rPr>
        <w:t> </w:t>
      </w:r>
      <w:r>
        <w:rPr>
          <w:sz w:val="24"/>
        </w:rPr>
        <w:t>&amp;</w:t>
      </w:r>
      <w:r>
        <w:rPr>
          <w:spacing w:val="-13"/>
          <w:sz w:val="24"/>
        </w:rPr>
        <w:t> </w:t>
      </w:r>
      <w:r>
        <w:rPr>
          <w:sz w:val="24"/>
        </w:rPr>
        <w:t>Kuusaana,</w:t>
      </w:r>
      <w:r>
        <w:rPr>
          <w:spacing w:val="-10"/>
          <w:sz w:val="24"/>
        </w:rPr>
        <w:t> </w:t>
      </w:r>
      <w:r>
        <w:rPr>
          <w:sz w:val="24"/>
        </w:rPr>
        <w:t>E.</w:t>
      </w:r>
      <w:r>
        <w:rPr>
          <w:spacing w:val="-10"/>
          <w:sz w:val="24"/>
        </w:rPr>
        <w:t> </w:t>
      </w:r>
      <w:r>
        <w:rPr>
          <w:sz w:val="24"/>
        </w:rPr>
        <w:t>D.</w:t>
      </w:r>
      <w:r>
        <w:rPr>
          <w:spacing w:val="-13"/>
          <w:sz w:val="24"/>
        </w:rPr>
        <w:t> </w:t>
      </w:r>
      <w:r>
        <w:rPr>
          <w:sz w:val="24"/>
        </w:rPr>
        <w:t>(2020).</w:t>
      </w:r>
      <w:r>
        <w:rPr>
          <w:spacing w:val="-13"/>
          <w:sz w:val="24"/>
        </w:rPr>
        <w:t> </w:t>
      </w:r>
      <w:r>
        <w:rPr>
          <w:sz w:val="24"/>
        </w:rPr>
        <w:t>Coping</w:t>
      </w:r>
      <w:r>
        <w:rPr>
          <w:spacing w:val="-12"/>
          <w:sz w:val="24"/>
        </w:rPr>
        <w:t> </w:t>
      </w:r>
      <w:r>
        <w:rPr>
          <w:sz w:val="24"/>
        </w:rPr>
        <w:t>with</w:t>
      </w:r>
      <w:r>
        <w:rPr>
          <w:spacing w:val="-12"/>
          <w:sz w:val="24"/>
        </w:rPr>
        <w:t> </w:t>
      </w:r>
      <w:r>
        <w:rPr>
          <w:sz w:val="24"/>
        </w:rPr>
        <w:t>water</w:t>
      </w:r>
      <w:r>
        <w:rPr>
          <w:spacing w:val="-13"/>
          <w:sz w:val="24"/>
        </w:rPr>
        <w:t> </w:t>
      </w:r>
      <w:r>
        <w:rPr>
          <w:sz w:val="24"/>
        </w:rPr>
        <w:t>insecurity</w:t>
      </w:r>
      <w:r>
        <w:rPr>
          <w:spacing w:val="-14"/>
          <w:sz w:val="24"/>
        </w:rPr>
        <w:t> </w:t>
      </w:r>
      <w:r>
        <w:rPr>
          <w:sz w:val="24"/>
        </w:rPr>
        <w:t>at</w:t>
      </w:r>
      <w:r>
        <w:rPr>
          <w:spacing w:val="-12"/>
          <w:sz w:val="24"/>
        </w:rPr>
        <w:t> </w:t>
      </w:r>
      <w:r>
        <w:rPr>
          <w:sz w:val="24"/>
        </w:rPr>
        <w:t>the</w:t>
      </w:r>
      <w:r>
        <w:rPr>
          <w:spacing w:val="-10"/>
          <w:sz w:val="24"/>
        </w:rPr>
        <w:t> </w:t>
      </w:r>
      <w:r>
        <w:rPr>
          <w:sz w:val="24"/>
        </w:rPr>
        <w:t>household level: A synthesis of qualitative evidence. </w:t>
      </w:r>
      <w:r>
        <w:rPr>
          <w:i/>
          <w:sz w:val="24"/>
        </w:rPr>
        <w:t>International Journal of Hygiene and Environmental Health</w:t>
      </w:r>
      <w:r>
        <w:rPr>
          <w:sz w:val="24"/>
        </w:rPr>
        <w:t>, </w:t>
      </w:r>
      <w:r>
        <w:rPr>
          <w:i/>
          <w:sz w:val="24"/>
        </w:rPr>
        <w:t>230</w:t>
      </w:r>
      <w:r>
        <w:rPr>
          <w:sz w:val="24"/>
        </w:rPr>
        <w:t>, 113598.</w:t>
      </w:r>
    </w:p>
    <w:p>
      <w:pPr>
        <w:pStyle w:val="BodyText"/>
      </w:pPr>
    </w:p>
    <w:p>
      <w:pPr>
        <w:pStyle w:val="BodyText"/>
        <w:ind w:left="547" w:right="106" w:hanging="432"/>
        <w:jc w:val="both"/>
      </w:pPr>
      <w:hyperlink r:id="rId69">
        <w:r>
          <w:rPr/>
          <w:t>Adekalu,</w:t>
        </w:r>
        <w:r>
          <w:rPr>
            <w:spacing w:val="-2"/>
          </w:rPr>
          <w:t> </w:t>
        </w:r>
        <w:r>
          <w:rPr/>
          <w:t>K.O.,</w:t>
        </w:r>
      </w:hyperlink>
      <w:r>
        <w:rPr>
          <w:spacing w:val="-3"/>
        </w:rPr>
        <w:t> </w:t>
      </w:r>
      <w:hyperlink r:id="rId69">
        <w:r>
          <w:rPr/>
          <w:t>Osunbitan</w:t>
        </w:r>
      </w:hyperlink>
      <w:r>
        <w:rPr/>
        <w:t>,</w:t>
      </w:r>
      <w:r>
        <w:rPr>
          <w:spacing w:val="-2"/>
        </w:rPr>
        <w:t> </w:t>
      </w:r>
      <w:r>
        <w:rPr/>
        <w:t>J.A</w:t>
      </w:r>
      <w:r>
        <w:rPr>
          <w:spacing w:val="-3"/>
        </w:rPr>
        <w:t> </w:t>
      </w:r>
      <w:hyperlink r:id="rId69">
        <w:r>
          <w:rPr/>
          <w:t>&amp;</w:t>
        </w:r>
        <w:r>
          <w:rPr>
            <w:spacing w:val="-2"/>
          </w:rPr>
          <w:t> </w:t>
        </w:r>
        <w:r>
          <w:rPr/>
          <w:t>Ojo,</w:t>
        </w:r>
      </w:hyperlink>
      <w:r>
        <w:rPr>
          <w:spacing w:val="-2"/>
        </w:rPr>
        <w:t> </w:t>
      </w:r>
      <w:r>
        <w:rPr/>
        <w:t>O.E</w:t>
      </w:r>
      <w:r>
        <w:rPr>
          <w:spacing w:val="-1"/>
        </w:rPr>
        <w:t> </w:t>
      </w:r>
      <w:r>
        <w:rPr/>
        <w:t>(2002).</w:t>
      </w:r>
      <w:r>
        <w:rPr>
          <w:spacing w:val="-2"/>
        </w:rPr>
        <w:t> </w:t>
      </w:r>
      <w:r>
        <w:rPr/>
        <w:t>Water</w:t>
      </w:r>
      <w:r>
        <w:rPr>
          <w:spacing w:val="-4"/>
        </w:rPr>
        <w:t> </w:t>
      </w:r>
      <w:r>
        <w:rPr/>
        <w:t>sources and</w:t>
      </w:r>
      <w:r>
        <w:rPr>
          <w:spacing w:val="-2"/>
        </w:rPr>
        <w:t> </w:t>
      </w:r>
      <w:r>
        <w:rPr/>
        <w:t>demand</w:t>
      </w:r>
      <w:r>
        <w:rPr>
          <w:spacing w:val="-2"/>
        </w:rPr>
        <w:t> </w:t>
      </w:r>
      <w:r>
        <w:rPr/>
        <w:t>in</w:t>
      </w:r>
      <w:r>
        <w:rPr>
          <w:spacing w:val="-2"/>
        </w:rPr>
        <w:t> </w:t>
      </w:r>
      <w:r>
        <w:rPr/>
        <w:t>South</w:t>
      </w:r>
      <w:r>
        <w:rPr>
          <w:spacing w:val="-2"/>
        </w:rPr>
        <w:t> </w:t>
      </w:r>
      <w:r>
        <w:rPr/>
        <w:t>Western Nigeria: Implications for water development planners and scientists. </w:t>
      </w:r>
      <w:r>
        <w:rPr>
          <w:i/>
        </w:rPr>
        <w:t>Technovation</w:t>
      </w:r>
      <w:r>
        <w:rPr/>
        <w:t>, 22(12), </w:t>
      </w:r>
      <w:r>
        <w:rPr>
          <w:spacing w:val="-2"/>
        </w:rPr>
        <w:t>799-805.</w:t>
      </w:r>
    </w:p>
    <w:p>
      <w:pPr>
        <w:pStyle w:val="BodyText"/>
        <w:spacing w:before="1"/>
      </w:pPr>
    </w:p>
    <w:p>
      <w:pPr>
        <w:pStyle w:val="BodyText"/>
        <w:ind w:left="547" w:right="108" w:hanging="432"/>
        <w:jc w:val="both"/>
      </w:pPr>
      <w:r>
        <w:rPr/>
        <w:t>Adeniji-Oloukoi, G., Urmilla, B., &amp; Vadi, M. (2013). Households' coping strategies for climate variability related water shortages in Oke-Ogun region, Nigeria. </w:t>
      </w:r>
      <w:r>
        <w:rPr>
          <w:i/>
        </w:rPr>
        <w:t>Environmental Development</w:t>
      </w:r>
      <w:r>
        <w:rPr/>
        <w:t>, </w:t>
      </w:r>
      <w:r>
        <w:rPr>
          <w:i/>
        </w:rPr>
        <w:t>5</w:t>
      </w:r>
      <w:r>
        <w:rPr/>
        <w:t>, 23-38.</w:t>
      </w:r>
    </w:p>
    <w:p>
      <w:pPr>
        <w:pStyle w:val="BodyText"/>
      </w:pPr>
    </w:p>
    <w:p>
      <w:pPr>
        <w:spacing w:before="0"/>
        <w:ind w:left="115" w:right="0" w:firstLine="0"/>
        <w:jc w:val="left"/>
        <w:rPr>
          <w:sz w:val="24"/>
        </w:rPr>
      </w:pPr>
      <w:r>
        <w:rPr>
          <w:sz w:val="24"/>
        </w:rPr>
        <w:t>Agnew,</w:t>
      </w:r>
      <w:r>
        <w:rPr>
          <w:spacing w:val="-3"/>
          <w:sz w:val="24"/>
        </w:rPr>
        <w:t> </w:t>
      </w:r>
      <w:r>
        <w:rPr>
          <w:sz w:val="24"/>
        </w:rPr>
        <w:t>C.</w:t>
      </w:r>
      <w:r>
        <w:rPr>
          <w:spacing w:val="-1"/>
          <w:sz w:val="24"/>
        </w:rPr>
        <w:t> </w:t>
      </w:r>
      <w:r>
        <w:rPr>
          <w:sz w:val="24"/>
        </w:rPr>
        <w:t>&amp;</w:t>
      </w:r>
      <w:r>
        <w:rPr>
          <w:spacing w:val="-2"/>
          <w:sz w:val="24"/>
        </w:rPr>
        <w:t> </w:t>
      </w:r>
      <w:r>
        <w:rPr>
          <w:sz w:val="24"/>
        </w:rPr>
        <w:t>Woodhouse,</w:t>
      </w:r>
      <w:r>
        <w:rPr>
          <w:spacing w:val="-1"/>
          <w:sz w:val="24"/>
        </w:rPr>
        <w:t> </w:t>
      </w:r>
      <w:r>
        <w:rPr>
          <w:sz w:val="24"/>
        </w:rPr>
        <w:t>P.</w:t>
      </w:r>
      <w:r>
        <w:rPr>
          <w:spacing w:val="-1"/>
          <w:sz w:val="24"/>
        </w:rPr>
        <w:t> </w:t>
      </w:r>
      <w:r>
        <w:rPr>
          <w:sz w:val="24"/>
        </w:rPr>
        <w:t>(2011).</w:t>
      </w:r>
      <w:r>
        <w:rPr>
          <w:spacing w:val="3"/>
          <w:sz w:val="24"/>
        </w:rPr>
        <w:t> </w:t>
      </w:r>
      <w:r>
        <w:rPr>
          <w:i/>
          <w:sz w:val="24"/>
        </w:rPr>
        <w:t>Water</w:t>
      </w:r>
      <w:r>
        <w:rPr>
          <w:i/>
          <w:spacing w:val="-1"/>
          <w:sz w:val="24"/>
        </w:rPr>
        <w:t> </w:t>
      </w:r>
      <w:r>
        <w:rPr>
          <w:i/>
          <w:sz w:val="24"/>
        </w:rPr>
        <w:t>resource</w:t>
      </w:r>
      <w:r>
        <w:rPr>
          <w:i/>
          <w:spacing w:val="-2"/>
          <w:sz w:val="24"/>
        </w:rPr>
        <w:t> </w:t>
      </w:r>
      <w:r>
        <w:rPr>
          <w:i/>
          <w:sz w:val="24"/>
        </w:rPr>
        <w:t>and development</w:t>
      </w:r>
      <w:r>
        <w:rPr>
          <w:sz w:val="24"/>
        </w:rPr>
        <w:t>.</w:t>
      </w:r>
      <w:r>
        <w:rPr>
          <w:spacing w:val="1"/>
          <w:sz w:val="24"/>
        </w:rPr>
        <w:t> </w:t>
      </w:r>
      <w:r>
        <w:rPr>
          <w:sz w:val="24"/>
        </w:rPr>
        <w:t>London: </w:t>
      </w:r>
      <w:r>
        <w:rPr>
          <w:spacing w:val="-2"/>
          <w:sz w:val="24"/>
        </w:rPr>
        <w:t>Routledge.</w:t>
      </w:r>
    </w:p>
    <w:p>
      <w:pPr>
        <w:pStyle w:val="BodyText"/>
      </w:pPr>
    </w:p>
    <w:p>
      <w:pPr>
        <w:pStyle w:val="BodyText"/>
        <w:ind w:left="547" w:right="109" w:hanging="432"/>
        <w:jc w:val="both"/>
      </w:pPr>
      <w:r>
        <w:rPr/>
        <w:t>Agrawal A., &amp; Sanjeev, G. (2001). Group size and collective action: third-party monitoring in common-pool resources. Comparative Political Studies, 34(1), 63–93.</w:t>
      </w:r>
    </w:p>
    <w:p>
      <w:pPr>
        <w:pStyle w:val="BodyText"/>
      </w:pPr>
    </w:p>
    <w:p>
      <w:pPr>
        <w:spacing w:before="1"/>
        <w:ind w:left="547" w:right="106" w:hanging="432"/>
        <w:jc w:val="both"/>
        <w:rPr>
          <w:sz w:val="24"/>
        </w:rPr>
      </w:pPr>
      <w:r>
        <w:rPr>
          <w:sz w:val="24"/>
        </w:rPr>
        <w:t>Ahile, S.I., Udoumoh, E.F., and Adzande, P. (2015). Residents Coping Strategies with Water Scarcity</w:t>
      </w:r>
      <w:r>
        <w:rPr>
          <w:spacing w:val="12"/>
          <w:sz w:val="24"/>
        </w:rPr>
        <w:t> </w:t>
      </w:r>
      <w:r>
        <w:rPr>
          <w:sz w:val="24"/>
        </w:rPr>
        <w:t>in</w:t>
      </w:r>
      <w:r>
        <w:rPr>
          <w:spacing w:val="19"/>
          <w:sz w:val="24"/>
        </w:rPr>
        <w:t> </w:t>
      </w:r>
      <w:r>
        <w:rPr>
          <w:sz w:val="24"/>
        </w:rPr>
        <w:t>Makurdi</w:t>
      </w:r>
      <w:r>
        <w:rPr>
          <w:spacing w:val="18"/>
          <w:sz w:val="24"/>
        </w:rPr>
        <w:t> </w:t>
      </w:r>
      <w:r>
        <w:rPr>
          <w:sz w:val="24"/>
        </w:rPr>
        <w:t>Town,</w:t>
      </w:r>
      <w:r>
        <w:rPr>
          <w:spacing w:val="18"/>
          <w:sz w:val="24"/>
        </w:rPr>
        <w:t> </w:t>
      </w:r>
      <w:r>
        <w:rPr>
          <w:sz w:val="24"/>
        </w:rPr>
        <w:t>Nigeria.</w:t>
      </w:r>
      <w:r>
        <w:rPr>
          <w:spacing w:val="22"/>
          <w:sz w:val="24"/>
        </w:rPr>
        <w:t> </w:t>
      </w:r>
      <w:r>
        <w:rPr>
          <w:i/>
          <w:sz w:val="24"/>
        </w:rPr>
        <w:t>Mediterranean</w:t>
      </w:r>
      <w:r>
        <w:rPr>
          <w:i/>
          <w:spacing w:val="18"/>
          <w:sz w:val="24"/>
        </w:rPr>
        <w:t> </w:t>
      </w:r>
      <w:r>
        <w:rPr>
          <w:i/>
          <w:sz w:val="24"/>
        </w:rPr>
        <w:t>Journal</w:t>
      </w:r>
      <w:r>
        <w:rPr>
          <w:i/>
          <w:spacing w:val="21"/>
          <w:sz w:val="24"/>
        </w:rPr>
        <w:t> </w:t>
      </w:r>
      <w:r>
        <w:rPr>
          <w:i/>
          <w:sz w:val="24"/>
        </w:rPr>
        <w:t>of</w:t>
      </w:r>
      <w:r>
        <w:rPr>
          <w:i/>
          <w:spacing w:val="21"/>
          <w:sz w:val="24"/>
        </w:rPr>
        <w:t> </w:t>
      </w:r>
      <w:r>
        <w:rPr>
          <w:i/>
          <w:sz w:val="24"/>
        </w:rPr>
        <w:t>Social</w:t>
      </w:r>
      <w:r>
        <w:rPr>
          <w:i/>
          <w:spacing w:val="19"/>
          <w:sz w:val="24"/>
        </w:rPr>
        <w:t> </w:t>
      </w:r>
      <w:r>
        <w:rPr>
          <w:i/>
          <w:sz w:val="24"/>
        </w:rPr>
        <w:t>Sciences</w:t>
      </w:r>
      <w:r>
        <w:rPr>
          <w:sz w:val="24"/>
        </w:rPr>
        <w:t>,</w:t>
      </w:r>
      <w:r>
        <w:rPr>
          <w:spacing w:val="18"/>
          <w:sz w:val="24"/>
        </w:rPr>
        <w:t> </w:t>
      </w:r>
      <w:r>
        <w:rPr>
          <w:sz w:val="24"/>
        </w:rPr>
        <w:t>6(4),</w:t>
      </w:r>
      <w:r>
        <w:rPr>
          <w:spacing w:val="19"/>
          <w:sz w:val="24"/>
        </w:rPr>
        <w:t> </w:t>
      </w:r>
      <w:r>
        <w:rPr>
          <w:spacing w:val="-4"/>
          <w:sz w:val="24"/>
        </w:rPr>
        <w:t>100-</w:t>
      </w:r>
    </w:p>
    <w:p>
      <w:pPr>
        <w:pStyle w:val="BodyText"/>
        <w:ind w:left="547"/>
      </w:pPr>
      <w:r>
        <w:rPr/>
        <w:t>108. Doi:10.5901/mj </w:t>
      </w:r>
      <w:r>
        <w:rPr>
          <w:spacing w:val="-2"/>
        </w:rPr>
        <w:t>ss.2015v6n4s2p100.</w:t>
      </w:r>
    </w:p>
    <w:p>
      <w:pPr>
        <w:pStyle w:val="BodyText"/>
      </w:pPr>
    </w:p>
    <w:p>
      <w:pPr>
        <w:spacing w:line="240" w:lineRule="auto" w:before="0"/>
        <w:ind w:left="547" w:right="109" w:hanging="432"/>
        <w:jc w:val="both"/>
        <w:rPr>
          <w:sz w:val="24"/>
        </w:rPr>
      </w:pPr>
      <w:r>
        <w:rPr>
          <w:sz w:val="24"/>
        </w:rPr>
        <w:t>Ahuchaogu, I., Etim, I., &amp; Anwana, E. (2015). Evaluation of Seepage Losses in an Earth Lined Canal: A Case Study of University of Uyo Farm, Uyo, Nigeria. </w:t>
      </w:r>
      <w:r>
        <w:rPr>
          <w:i/>
          <w:sz w:val="24"/>
        </w:rPr>
        <w:t>International Journal of Engineering Sciences and Management Research</w:t>
      </w:r>
      <w:r>
        <w:rPr>
          <w:sz w:val="24"/>
        </w:rPr>
        <w:t>, </w:t>
      </w:r>
      <w:r>
        <w:rPr>
          <w:i/>
          <w:sz w:val="24"/>
        </w:rPr>
        <w:t>2</w:t>
      </w:r>
      <w:r>
        <w:rPr>
          <w:sz w:val="24"/>
        </w:rPr>
        <w:t>(2), 2349-6193.</w:t>
      </w:r>
    </w:p>
    <w:p>
      <w:pPr>
        <w:spacing w:after="0" w:line="240" w:lineRule="auto"/>
        <w:jc w:val="both"/>
        <w:rPr>
          <w:sz w:val="24"/>
        </w:rPr>
        <w:sectPr>
          <w:pgSz w:w="12240" w:h="15840"/>
          <w:pgMar w:header="0" w:footer="1068" w:top="1340" w:bottom="1260" w:left="1440" w:right="1300"/>
        </w:sectPr>
      </w:pPr>
    </w:p>
    <w:p>
      <w:pPr>
        <w:spacing w:before="63"/>
        <w:ind w:left="547" w:right="107" w:hanging="432"/>
        <w:jc w:val="both"/>
        <w:rPr>
          <w:sz w:val="24"/>
        </w:rPr>
      </w:pPr>
      <w:r>
        <w:rPr>
          <w:sz w:val="24"/>
        </w:rPr>
        <w:t>Akpor, O.B., &amp; Munchie, M. (2011). Challenges in meeting the MDGs: the Nigerian drinking water supply and distribution sector. </w:t>
      </w:r>
      <w:r>
        <w:rPr>
          <w:i/>
          <w:sz w:val="24"/>
        </w:rPr>
        <w:t>Journal of Environmental Science and Technology, </w:t>
      </w:r>
      <w:r>
        <w:rPr>
          <w:sz w:val="24"/>
        </w:rPr>
        <w:t>4(5), pp 480-489. Doi: 10.3923/jest.2011.480.489.</w:t>
      </w:r>
    </w:p>
    <w:p>
      <w:pPr>
        <w:pStyle w:val="BodyText"/>
      </w:pPr>
    </w:p>
    <w:p>
      <w:pPr>
        <w:pStyle w:val="BodyText"/>
        <w:ind w:left="547" w:right="108" w:hanging="432"/>
        <w:jc w:val="both"/>
      </w:pPr>
      <w:r>
        <w:rPr/>
        <w:t>Alcamo,</w:t>
      </w:r>
      <w:r>
        <w:rPr>
          <w:spacing w:val="-3"/>
        </w:rPr>
        <w:t> </w:t>
      </w:r>
      <w:r>
        <w:rPr/>
        <w:t>J.,</w:t>
      </w:r>
      <w:r>
        <w:rPr>
          <w:spacing w:val="-3"/>
        </w:rPr>
        <w:t> </w:t>
      </w:r>
      <w:r>
        <w:rPr/>
        <w:t>Doll,</w:t>
      </w:r>
      <w:r>
        <w:rPr>
          <w:spacing w:val="-3"/>
        </w:rPr>
        <w:t> </w:t>
      </w:r>
      <w:r>
        <w:rPr/>
        <w:t>P.,</w:t>
      </w:r>
      <w:r>
        <w:rPr>
          <w:spacing w:val="-6"/>
        </w:rPr>
        <w:t> </w:t>
      </w:r>
      <w:r>
        <w:rPr/>
        <w:t>Henrichs,</w:t>
      </w:r>
      <w:r>
        <w:rPr>
          <w:spacing w:val="-3"/>
        </w:rPr>
        <w:t> </w:t>
      </w:r>
      <w:r>
        <w:rPr/>
        <w:t>T.,</w:t>
      </w:r>
      <w:r>
        <w:rPr>
          <w:spacing w:val="-3"/>
        </w:rPr>
        <w:t> </w:t>
      </w:r>
      <w:r>
        <w:rPr/>
        <w:t>Kaspar,</w:t>
      </w:r>
      <w:r>
        <w:rPr>
          <w:spacing w:val="-2"/>
        </w:rPr>
        <w:t> </w:t>
      </w:r>
      <w:r>
        <w:rPr/>
        <w:t>F.,</w:t>
      </w:r>
      <w:r>
        <w:rPr>
          <w:spacing w:val="-1"/>
        </w:rPr>
        <w:t> </w:t>
      </w:r>
      <w:r>
        <w:rPr/>
        <w:t>Lehner,</w:t>
      </w:r>
      <w:r>
        <w:rPr>
          <w:spacing w:val="-3"/>
        </w:rPr>
        <w:t> </w:t>
      </w:r>
      <w:r>
        <w:rPr/>
        <w:t>B.,</w:t>
      </w:r>
      <w:r>
        <w:rPr>
          <w:spacing w:val="-3"/>
        </w:rPr>
        <w:t> </w:t>
      </w:r>
      <w:r>
        <w:rPr/>
        <w:t>Rosch,</w:t>
      </w:r>
      <w:r>
        <w:rPr>
          <w:spacing w:val="-3"/>
        </w:rPr>
        <w:t> </w:t>
      </w:r>
      <w:r>
        <w:rPr/>
        <w:t>T. &amp;</w:t>
      </w:r>
      <w:r>
        <w:rPr>
          <w:spacing w:val="-5"/>
        </w:rPr>
        <w:t> </w:t>
      </w:r>
      <w:r>
        <w:rPr/>
        <w:t>Siebert,</w:t>
      </w:r>
      <w:r>
        <w:rPr>
          <w:spacing w:val="-3"/>
        </w:rPr>
        <w:t> </w:t>
      </w:r>
      <w:r>
        <w:rPr/>
        <w:t>S.</w:t>
      </w:r>
      <w:r>
        <w:rPr>
          <w:spacing w:val="-3"/>
        </w:rPr>
        <w:t> </w:t>
      </w:r>
      <w:r>
        <w:rPr/>
        <w:t>(2003).</w:t>
      </w:r>
      <w:r>
        <w:rPr>
          <w:spacing w:val="-3"/>
        </w:rPr>
        <w:t> </w:t>
      </w:r>
      <w:r>
        <w:rPr/>
        <w:t>Global estimates of water withdrawal and availability under current and future business as usual conditions. </w:t>
      </w:r>
      <w:r>
        <w:rPr>
          <w:i/>
        </w:rPr>
        <w:t>Hydrological science journal, </w:t>
      </w:r>
      <w:r>
        <w:rPr/>
        <w:t>48, 339-348.</w:t>
      </w:r>
    </w:p>
    <w:p>
      <w:pPr>
        <w:pStyle w:val="BodyText"/>
      </w:pPr>
    </w:p>
    <w:p>
      <w:pPr>
        <w:pStyle w:val="BodyText"/>
        <w:ind w:left="547" w:right="111" w:hanging="432"/>
        <w:jc w:val="both"/>
      </w:pPr>
      <w:r>
        <w:rPr/>
        <w:t>Alcamo,</w:t>
      </w:r>
      <w:r>
        <w:rPr>
          <w:spacing w:val="-11"/>
        </w:rPr>
        <w:t> </w:t>
      </w:r>
      <w:r>
        <w:rPr/>
        <w:t>J.,</w:t>
      </w:r>
      <w:r>
        <w:rPr>
          <w:spacing w:val="-12"/>
        </w:rPr>
        <w:t> </w:t>
      </w:r>
      <w:r>
        <w:rPr/>
        <w:t>Florke,</w:t>
      </w:r>
      <w:r>
        <w:rPr>
          <w:spacing w:val="-12"/>
        </w:rPr>
        <w:t> </w:t>
      </w:r>
      <w:r>
        <w:rPr/>
        <w:t>M.,</w:t>
      </w:r>
      <w:r>
        <w:rPr>
          <w:spacing w:val="-12"/>
        </w:rPr>
        <w:t> </w:t>
      </w:r>
      <w:r>
        <w:rPr/>
        <w:t>&amp;</w:t>
      </w:r>
      <w:r>
        <w:rPr>
          <w:spacing w:val="-14"/>
        </w:rPr>
        <w:t> </w:t>
      </w:r>
      <w:r>
        <w:rPr/>
        <w:t>Marker,</w:t>
      </w:r>
      <w:r>
        <w:rPr>
          <w:spacing w:val="-12"/>
        </w:rPr>
        <w:t> </w:t>
      </w:r>
      <w:r>
        <w:rPr/>
        <w:t>M.</w:t>
      </w:r>
      <w:r>
        <w:rPr>
          <w:spacing w:val="-11"/>
        </w:rPr>
        <w:t> </w:t>
      </w:r>
      <w:r>
        <w:rPr/>
        <w:t>(2007).</w:t>
      </w:r>
      <w:r>
        <w:rPr>
          <w:spacing w:val="-12"/>
        </w:rPr>
        <w:t> </w:t>
      </w:r>
      <w:r>
        <w:rPr/>
        <w:t>Future</w:t>
      </w:r>
      <w:r>
        <w:rPr>
          <w:spacing w:val="-13"/>
        </w:rPr>
        <w:t> </w:t>
      </w:r>
      <w:r>
        <w:rPr/>
        <w:t>long-term</w:t>
      </w:r>
      <w:r>
        <w:rPr>
          <w:spacing w:val="-12"/>
        </w:rPr>
        <w:t> </w:t>
      </w:r>
      <w:r>
        <w:rPr/>
        <w:t>changes</w:t>
      </w:r>
      <w:r>
        <w:rPr>
          <w:spacing w:val="-11"/>
        </w:rPr>
        <w:t> </w:t>
      </w:r>
      <w:r>
        <w:rPr/>
        <w:t>in</w:t>
      </w:r>
      <w:r>
        <w:rPr>
          <w:spacing w:val="-11"/>
        </w:rPr>
        <w:t> </w:t>
      </w:r>
      <w:r>
        <w:rPr/>
        <w:t>global</w:t>
      </w:r>
      <w:r>
        <w:rPr>
          <w:spacing w:val="-12"/>
        </w:rPr>
        <w:t> </w:t>
      </w:r>
      <w:r>
        <w:rPr/>
        <w:t>water</w:t>
      </w:r>
      <w:r>
        <w:rPr>
          <w:spacing w:val="-13"/>
        </w:rPr>
        <w:t> </w:t>
      </w:r>
      <w:r>
        <w:rPr/>
        <w:t>resources driven</w:t>
      </w:r>
      <w:r>
        <w:rPr>
          <w:spacing w:val="-3"/>
        </w:rPr>
        <w:t> </w:t>
      </w:r>
      <w:r>
        <w:rPr/>
        <w:t>by</w:t>
      </w:r>
      <w:r>
        <w:rPr>
          <w:spacing w:val="-6"/>
        </w:rPr>
        <w:t> </w:t>
      </w:r>
      <w:r>
        <w:rPr/>
        <w:t>socio economic</w:t>
      </w:r>
      <w:r>
        <w:rPr>
          <w:spacing w:val="-2"/>
        </w:rPr>
        <w:t> </w:t>
      </w:r>
      <w:r>
        <w:rPr/>
        <w:t>and</w:t>
      </w:r>
      <w:r>
        <w:rPr>
          <w:spacing w:val="-1"/>
        </w:rPr>
        <w:t> </w:t>
      </w:r>
      <w:r>
        <w:rPr/>
        <w:t>climatic changes.</w:t>
      </w:r>
      <w:r>
        <w:rPr>
          <w:spacing w:val="4"/>
        </w:rPr>
        <w:t> </w:t>
      </w:r>
      <w:r>
        <w:rPr>
          <w:i/>
        </w:rPr>
        <w:t>Hydrological</w:t>
      </w:r>
      <w:r>
        <w:rPr>
          <w:i/>
          <w:spacing w:val="-1"/>
        </w:rPr>
        <w:t> </w:t>
      </w:r>
      <w:r>
        <w:rPr>
          <w:i/>
        </w:rPr>
        <w:t>science</w:t>
      </w:r>
      <w:r>
        <w:rPr>
          <w:i/>
          <w:spacing w:val="-1"/>
        </w:rPr>
        <w:t> </w:t>
      </w:r>
      <w:r>
        <w:rPr>
          <w:i/>
        </w:rPr>
        <w:t>journal,</w:t>
      </w:r>
      <w:r>
        <w:rPr>
          <w:i/>
          <w:spacing w:val="1"/>
        </w:rPr>
        <w:t> </w:t>
      </w:r>
      <w:r>
        <w:rPr/>
        <w:t>52, 247-</w:t>
      </w:r>
      <w:r>
        <w:rPr>
          <w:spacing w:val="-4"/>
        </w:rPr>
        <w:t>275.</w:t>
      </w:r>
    </w:p>
    <w:p>
      <w:pPr>
        <w:pStyle w:val="BodyText"/>
      </w:pPr>
    </w:p>
    <w:p>
      <w:pPr>
        <w:spacing w:before="0"/>
        <w:ind w:left="547" w:right="108" w:hanging="432"/>
        <w:jc w:val="both"/>
        <w:rPr>
          <w:sz w:val="24"/>
        </w:rPr>
      </w:pPr>
      <w:r>
        <w:rPr>
          <w:sz w:val="24"/>
        </w:rPr>
        <w:t>Allan,</w:t>
      </w:r>
      <w:r>
        <w:rPr>
          <w:spacing w:val="-11"/>
          <w:sz w:val="24"/>
        </w:rPr>
        <w:t> </w:t>
      </w:r>
      <w:r>
        <w:rPr>
          <w:sz w:val="24"/>
        </w:rPr>
        <w:t>J.A.,</w:t>
      </w:r>
      <w:r>
        <w:rPr>
          <w:spacing w:val="-11"/>
          <w:sz w:val="24"/>
        </w:rPr>
        <w:t> </w:t>
      </w:r>
      <w:r>
        <w:rPr>
          <w:sz w:val="24"/>
        </w:rPr>
        <w:t>&amp;</w:t>
      </w:r>
      <w:r>
        <w:rPr>
          <w:spacing w:val="-13"/>
          <w:sz w:val="24"/>
        </w:rPr>
        <w:t> </w:t>
      </w:r>
      <w:r>
        <w:rPr>
          <w:sz w:val="24"/>
        </w:rPr>
        <w:t>Karshenas,</w:t>
      </w:r>
      <w:r>
        <w:rPr>
          <w:spacing w:val="-8"/>
          <w:sz w:val="24"/>
        </w:rPr>
        <w:t> </w:t>
      </w:r>
      <w:r>
        <w:rPr>
          <w:sz w:val="24"/>
        </w:rPr>
        <w:t>M.</w:t>
      </w:r>
      <w:r>
        <w:rPr>
          <w:spacing w:val="-11"/>
          <w:sz w:val="24"/>
        </w:rPr>
        <w:t> </w:t>
      </w:r>
      <w:r>
        <w:rPr>
          <w:sz w:val="24"/>
        </w:rPr>
        <w:t>(1996).</w:t>
      </w:r>
      <w:r>
        <w:rPr>
          <w:spacing w:val="-11"/>
          <w:sz w:val="24"/>
        </w:rPr>
        <w:t> </w:t>
      </w:r>
      <w:r>
        <w:rPr>
          <w:sz w:val="24"/>
        </w:rPr>
        <w:t>Managing</w:t>
      </w:r>
      <w:r>
        <w:rPr>
          <w:spacing w:val="-13"/>
          <w:sz w:val="24"/>
        </w:rPr>
        <w:t> </w:t>
      </w:r>
      <w:r>
        <w:rPr>
          <w:sz w:val="24"/>
        </w:rPr>
        <w:t>environmental</w:t>
      </w:r>
      <w:r>
        <w:rPr>
          <w:spacing w:val="-10"/>
          <w:sz w:val="24"/>
        </w:rPr>
        <w:t> </w:t>
      </w:r>
      <w:r>
        <w:rPr>
          <w:sz w:val="24"/>
        </w:rPr>
        <w:t>capital:</w:t>
      </w:r>
      <w:r>
        <w:rPr>
          <w:spacing w:val="-10"/>
          <w:sz w:val="24"/>
        </w:rPr>
        <w:t> </w:t>
      </w:r>
      <w:r>
        <w:rPr>
          <w:sz w:val="24"/>
        </w:rPr>
        <w:t>the</w:t>
      </w:r>
      <w:r>
        <w:rPr>
          <w:spacing w:val="-11"/>
          <w:sz w:val="24"/>
        </w:rPr>
        <w:t> </w:t>
      </w:r>
      <w:r>
        <w:rPr>
          <w:sz w:val="24"/>
        </w:rPr>
        <w:t>case</w:t>
      </w:r>
      <w:r>
        <w:rPr>
          <w:spacing w:val="-11"/>
          <w:sz w:val="24"/>
        </w:rPr>
        <w:t> </w:t>
      </w:r>
      <w:r>
        <w:rPr>
          <w:sz w:val="24"/>
        </w:rPr>
        <w:t>of</w:t>
      </w:r>
      <w:r>
        <w:rPr>
          <w:spacing w:val="-11"/>
          <w:sz w:val="24"/>
        </w:rPr>
        <w:t> </w:t>
      </w:r>
      <w:r>
        <w:rPr>
          <w:sz w:val="24"/>
        </w:rPr>
        <w:t>water</w:t>
      </w:r>
      <w:r>
        <w:rPr>
          <w:spacing w:val="-11"/>
          <w:sz w:val="24"/>
        </w:rPr>
        <w:t> </w:t>
      </w:r>
      <w:r>
        <w:rPr>
          <w:sz w:val="24"/>
        </w:rPr>
        <w:t>in</w:t>
      </w:r>
      <w:r>
        <w:rPr>
          <w:spacing w:val="-8"/>
          <w:sz w:val="24"/>
        </w:rPr>
        <w:t> </w:t>
      </w:r>
      <w:r>
        <w:rPr>
          <w:sz w:val="24"/>
        </w:rPr>
        <w:t>Israel, Jordan, the West Bank and Gaza, 1947 to 1995. In: Allan, J.A. &amp;</w:t>
      </w:r>
      <w:r>
        <w:rPr>
          <w:spacing w:val="-1"/>
          <w:sz w:val="24"/>
        </w:rPr>
        <w:t> </w:t>
      </w:r>
      <w:r>
        <w:rPr>
          <w:sz w:val="24"/>
        </w:rPr>
        <w:t>Court,</w:t>
      </w:r>
      <w:r>
        <w:rPr>
          <w:spacing w:val="-2"/>
          <w:sz w:val="24"/>
        </w:rPr>
        <w:t> </w:t>
      </w:r>
      <w:r>
        <w:rPr>
          <w:sz w:val="24"/>
        </w:rPr>
        <w:t>J.H. (Eds.), </w:t>
      </w:r>
      <w:r>
        <w:rPr>
          <w:i/>
          <w:sz w:val="24"/>
        </w:rPr>
        <w:t>Water, Peace</w:t>
      </w:r>
      <w:r>
        <w:rPr>
          <w:i/>
          <w:spacing w:val="-12"/>
          <w:sz w:val="24"/>
        </w:rPr>
        <w:t> </w:t>
      </w:r>
      <w:r>
        <w:rPr>
          <w:i/>
          <w:sz w:val="24"/>
        </w:rPr>
        <w:t>and</w:t>
      </w:r>
      <w:r>
        <w:rPr>
          <w:i/>
          <w:spacing w:val="-9"/>
          <w:sz w:val="24"/>
        </w:rPr>
        <w:t> </w:t>
      </w:r>
      <w:r>
        <w:rPr>
          <w:i/>
          <w:sz w:val="24"/>
        </w:rPr>
        <w:t>the</w:t>
      </w:r>
      <w:r>
        <w:rPr>
          <w:i/>
          <w:spacing w:val="-11"/>
          <w:sz w:val="24"/>
        </w:rPr>
        <w:t> </w:t>
      </w:r>
      <w:r>
        <w:rPr>
          <w:i/>
          <w:sz w:val="24"/>
        </w:rPr>
        <w:t>Middle</w:t>
      </w:r>
      <w:r>
        <w:rPr>
          <w:i/>
          <w:spacing w:val="-12"/>
          <w:sz w:val="24"/>
        </w:rPr>
        <w:t> </w:t>
      </w:r>
      <w:r>
        <w:rPr>
          <w:i/>
          <w:sz w:val="24"/>
        </w:rPr>
        <w:t>East:</w:t>
      </w:r>
      <w:r>
        <w:rPr>
          <w:i/>
          <w:spacing w:val="-11"/>
          <w:sz w:val="24"/>
        </w:rPr>
        <w:t> </w:t>
      </w:r>
      <w:r>
        <w:rPr>
          <w:i/>
          <w:sz w:val="24"/>
        </w:rPr>
        <w:t>Negotiating</w:t>
      </w:r>
      <w:r>
        <w:rPr>
          <w:i/>
          <w:spacing w:val="-11"/>
          <w:sz w:val="24"/>
        </w:rPr>
        <w:t> </w:t>
      </w:r>
      <w:r>
        <w:rPr>
          <w:i/>
          <w:sz w:val="24"/>
        </w:rPr>
        <w:t>Resources</w:t>
      </w:r>
      <w:r>
        <w:rPr>
          <w:i/>
          <w:spacing w:val="-10"/>
          <w:sz w:val="24"/>
        </w:rPr>
        <w:t> </w:t>
      </w:r>
      <w:r>
        <w:rPr>
          <w:i/>
          <w:sz w:val="24"/>
        </w:rPr>
        <w:t>in</w:t>
      </w:r>
      <w:r>
        <w:rPr>
          <w:i/>
          <w:spacing w:val="-10"/>
          <w:sz w:val="24"/>
        </w:rPr>
        <w:t> </w:t>
      </w:r>
      <w:r>
        <w:rPr>
          <w:i/>
          <w:sz w:val="24"/>
        </w:rPr>
        <w:t>the</w:t>
      </w:r>
      <w:r>
        <w:rPr>
          <w:i/>
          <w:spacing w:val="-11"/>
          <w:sz w:val="24"/>
        </w:rPr>
        <w:t> </w:t>
      </w:r>
      <w:r>
        <w:rPr>
          <w:i/>
          <w:sz w:val="24"/>
        </w:rPr>
        <w:t>Jordan</w:t>
      </w:r>
      <w:r>
        <w:rPr>
          <w:i/>
          <w:spacing w:val="-7"/>
          <w:sz w:val="24"/>
        </w:rPr>
        <w:t> </w:t>
      </w:r>
      <w:r>
        <w:rPr>
          <w:i/>
          <w:sz w:val="24"/>
        </w:rPr>
        <w:t>Basin</w:t>
      </w:r>
      <w:r>
        <w:rPr>
          <w:sz w:val="24"/>
        </w:rPr>
        <w:t>.</w:t>
      </w:r>
      <w:r>
        <w:rPr>
          <w:spacing w:val="-8"/>
          <w:sz w:val="24"/>
        </w:rPr>
        <w:t> </w:t>
      </w:r>
      <w:r>
        <w:rPr>
          <w:sz w:val="24"/>
        </w:rPr>
        <w:t>I.B.</w:t>
      </w:r>
      <w:r>
        <w:rPr>
          <w:spacing w:val="-8"/>
          <w:sz w:val="24"/>
        </w:rPr>
        <w:t> </w:t>
      </w:r>
      <w:r>
        <w:rPr>
          <w:sz w:val="24"/>
        </w:rPr>
        <w:t>London:</w:t>
      </w:r>
      <w:r>
        <w:rPr>
          <w:spacing w:val="-10"/>
          <w:sz w:val="24"/>
        </w:rPr>
        <w:t> </w:t>
      </w:r>
      <w:r>
        <w:rPr>
          <w:sz w:val="24"/>
        </w:rPr>
        <w:t>Taurus </w:t>
      </w:r>
      <w:r>
        <w:rPr>
          <w:spacing w:val="-2"/>
          <w:sz w:val="24"/>
        </w:rPr>
        <w:t>Publishers.</w:t>
      </w:r>
    </w:p>
    <w:p>
      <w:pPr>
        <w:pStyle w:val="BodyText"/>
        <w:spacing w:before="1"/>
      </w:pPr>
    </w:p>
    <w:p>
      <w:pPr>
        <w:pStyle w:val="BodyText"/>
        <w:ind w:left="547" w:right="107" w:hanging="432"/>
        <w:jc w:val="both"/>
      </w:pPr>
      <w:r>
        <w:rPr/>
        <w:t>Anabo,</w:t>
      </w:r>
      <w:r>
        <w:rPr>
          <w:spacing w:val="-7"/>
        </w:rPr>
        <w:t> </w:t>
      </w:r>
      <w:r>
        <w:rPr/>
        <w:t>A.H.</w:t>
      </w:r>
      <w:r>
        <w:rPr>
          <w:spacing w:val="-5"/>
        </w:rPr>
        <w:t> </w:t>
      </w:r>
      <w:r>
        <w:rPr/>
        <w:t>(2013).</w:t>
      </w:r>
      <w:r>
        <w:rPr>
          <w:spacing w:val="-8"/>
        </w:rPr>
        <w:t> </w:t>
      </w:r>
      <w:r>
        <w:rPr/>
        <w:t>The</w:t>
      </w:r>
      <w:r>
        <w:rPr>
          <w:spacing w:val="-6"/>
        </w:rPr>
        <w:t> </w:t>
      </w:r>
      <w:r>
        <w:rPr/>
        <w:t>myth</w:t>
      </w:r>
      <w:r>
        <w:rPr>
          <w:spacing w:val="-7"/>
        </w:rPr>
        <w:t> </w:t>
      </w:r>
      <w:r>
        <w:rPr/>
        <w:t>of</w:t>
      </w:r>
      <w:r>
        <w:rPr>
          <w:spacing w:val="-8"/>
        </w:rPr>
        <w:t> </w:t>
      </w:r>
      <w:r>
        <w:rPr/>
        <w:t>‘tragedy</w:t>
      </w:r>
      <w:r>
        <w:rPr>
          <w:spacing w:val="-12"/>
        </w:rPr>
        <w:t> </w:t>
      </w:r>
      <w:r>
        <w:rPr/>
        <w:t>of</w:t>
      </w:r>
      <w:r>
        <w:rPr>
          <w:spacing w:val="-8"/>
        </w:rPr>
        <w:t> </w:t>
      </w:r>
      <w:r>
        <w:rPr/>
        <w:t>the</w:t>
      </w:r>
      <w:r>
        <w:rPr>
          <w:spacing w:val="-5"/>
        </w:rPr>
        <w:t> </w:t>
      </w:r>
      <w:r>
        <w:rPr/>
        <w:t>commons’</w:t>
      </w:r>
      <w:r>
        <w:rPr>
          <w:spacing w:val="-8"/>
        </w:rPr>
        <w:t> </w:t>
      </w:r>
      <w:r>
        <w:rPr/>
        <w:t>in</w:t>
      </w:r>
      <w:r>
        <w:rPr>
          <w:spacing w:val="-7"/>
        </w:rPr>
        <w:t> </w:t>
      </w:r>
      <w:r>
        <w:rPr/>
        <w:t>sustaining</w:t>
      </w:r>
      <w:r>
        <w:rPr>
          <w:spacing w:val="-10"/>
        </w:rPr>
        <w:t> </w:t>
      </w:r>
      <w:r>
        <w:rPr/>
        <w:t>water</w:t>
      </w:r>
      <w:r>
        <w:rPr>
          <w:spacing w:val="-8"/>
        </w:rPr>
        <w:t> </w:t>
      </w:r>
      <w:r>
        <w:rPr/>
        <w:t>resources.</w:t>
      </w:r>
      <w:r>
        <w:rPr>
          <w:spacing w:val="-3"/>
        </w:rPr>
        <w:t> </w:t>
      </w:r>
      <w:r>
        <w:rPr>
          <w:i/>
        </w:rPr>
        <w:t>Mizan Law Review, </w:t>
      </w:r>
      <w:r>
        <w:rPr/>
        <w:t>7(2), 309-350. Doi: </w:t>
      </w:r>
      <w:hyperlink r:id="rId70">
        <w:r>
          <w:rPr>
            <w:u w:val="single"/>
          </w:rPr>
          <w:t>http://dx.doi.org/10.4314/mlr.v7i2.5</w:t>
        </w:r>
      </w:hyperlink>
    </w:p>
    <w:p>
      <w:pPr>
        <w:pStyle w:val="BodyText"/>
      </w:pPr>
    </w:p>
    <w:p>
      <w:pPr>
        <w:spacing w:before="0"/>
        <w:ind w:left="547" w:right="106" w:hanging="432"/>
        <w:jc w:val="both"/>
        <w:rPr>
          <w:sz w:val="24"/>
        </w:rPr>
      </w:pPr>
      <w:r>
        <w:rPr>
          <w:sz w:val="24"/>
        </w:rPr>
        <w:t>Anju, A. M., Vicky, S. E., &amp; Kumar, P. S. (2017). Water poverty analysis using Water Poverty Index (WPI)-A critical review. </w:t>
      </w:r>
      <w:r>
        <w:rPr>
          <w:i/>
          <w:sz w:val="24"/>
        </w:rPr>
        <w:t>International Journal of Environmental Sciences &amp;</w:t>
      </w:r>
      <w:r>
        <w:rPr>
          <w:i/>
          <w:spacing w:val="-2"/>
          <w:sz w:val="24"/>
        </w:rPr>
        <w:t> </w:t>
      </w:r>
      <w:r>
        <w:rPr>
          <w:i/>
          <w:sz w:val="24"/>
        </w:rPr>
        <w:t>Natural Resources</w:t>
      </w:r>
      <w:r>
        <w:rPr>
          <w:sz w:val="24"/>
        </w:rPr>
        <w:t>, </w:t>
      </w:r>
      <w:r>
        <w:rPr>
          <w:i/>
          <w:sz w:val="24"/>
        </w:rPr>
        <w:t>1</w:t>
      </w:r>
      <w:r>
        <w:rPr>
          <w:sz w:val="24"/>
        </w:rPr>
        <w:t>(4), 1-3.</w:t>
      </w:r>
    </w:p>
    <w:p>
      <w:pPr>
        <w:pStyle w:val="BodyText"/>
      </w:pPr>
    </w:p>
    <w:p>
      <w:pPr>
        <w:spacing w:before="0"/>
        <w:ind w:left="547" w:right="113" w:hanging="432"/>
        <w:jc w:val="both"/>
        <w:rPr>
          <w:sz w:val="24"/>
        </w:rPr>
      </w:pPr>
      <w:r>
        <w:rPr>
          <w:sz w:val="24"/>
        </w:rPr>
        <w:t>Bair, E., Hastie, T., Paul, D., &amp; Tibshirani, R. (2006). Prediction by supervised principal components. </w:t>
      </w:r>
      <w:r>
        <w:rPr>
          <w:i/>
          <w:sz w:val="24"/>
        </w:rPr>
        <w:t>Journal of The American Statistical Association, </w:t>
      </w:r>
      <w:r>
        <w:rPr>
          <w:sz w:val="24"/>
        </w:rPr>
        <w:t>101(473), 119-137.</w:t>
      </w:r>
    </w:p>
    <w:p>
      <w:pPr>
        <w:pStyle w:val="BodyText"/>
        <w:spacing w:before="1"/>
      </w:pPr>
    </w:p>
    <w:p>
      <w:pPr>
        <w:spacing w:before="0"/>
        <w:ind w:left="547" w:right="111" w:hanging="432"/>
        <w:jc w:val="both"/>
        <w:rPr>
          <w:sz w:val="24"/>
        </w:rPr>
      </w:pPr>
      <w:r>
        <w:rPr>
          <w:sz w:val="24"/>
        </w:rPr>
        <w:t>Baisa, B., Davis, L., Salant, S., &amp; Wilcox, W. (2010). The welfare costs of unreliable water services. </w:t>
      </w:r>
      <w:r>
        <w:rPr>
          <w:i/>
          <w:sz w:val="24"/>
        </w:rPr>
        <w:t>Journal of Development Economics, </w:t>
      </w:r>
      <w:r>
        <w:rPr>
          <w:sz w:val="24"/>
        </w:rPr>
        <w:t>92(1), 1-12.</w:t>
      </w:r>
    </w:p>
    <w:p>
      <w:pPr>
        <w:pStyle w:val="BodyText"/>
      </w:pPr>
    </w:p>
    <w:p>
      <w:pPr>
        <w:pStyle w:val="BodyText"/>
        <w:ind w:left="547" w:right="112" w:hanging="432"/>
        <w:jc w:val="both"/>
      </w:pPr>
      <w:r>
        <w:rPr/>
        <w:t>Baland, J. M., &amp; Platteau, J.P. (1999). The ambiguous impact of inequality on local resource management. </w:t>
      </w:r>
      <w:r>
        <w:rPr>
          <w:i/>
        </w:rPr>
        <w:t>World Development</w:t>
      </w:r>
      <w:r>
        <w:rPr/>
        <w:t>, 27(5), 773-788.</w:t>
      </w:r>
    </w:p>
    <w:p>
      <w:pPr>
        <w:pStyle w:val="BodyText"/>
      </w:pPr>
    </w:p>
    <w:p>
      <w:pPr>
        <w:spacing w:before="0"/>
        <w:ind w:left="547" w:right="115" w:hanging="432"/>
        <w:jc w:val="both"/>
        <w:rPr>
          <w:sz w:val="24"/>
        </w:rPr>
      </w:pPr>
      <w:r>
        <w:rPr>
          <w:sz w:val="24"/>
        </w:rPr>
        <w:t>Bartlett, S. (2003). Water, sanitation and urban children: the need to go beyond “improved” provision. </w:t>
      </w:r>
      <w:r>
        <w:rPr>
          <w:i/>
          <w:sz w:val="24"/>
        </w:rPr>
        <w:t>Journal of Environment and Urbanization, </w:t>
      </w:r>
      <w:r>
        <w:rPr>
          <w:sz w:val="24"/>
        </w:rPr>
        <w:t>15(57), 57-70.</w:t>
      </w:r>
    </w:p>
    <w:p>
      <w:pPr>
        <w:pStyle w:val="BodyText"/>
      </w:pPr>
    </w:p>
    <w:p>
      <w:pPr>
        <w:spacing w:before="0"/>
        <w:ind w:left="547" w:right="111" w:hanging="432"/>
        <w:jc w:val="both"/>
        <w:rPr>
          <w:sz w:val="24"/>
        </w:rPr>
      </w:pPr>
      <w:r>
        <w:rPr>
          <w:sz w:val="24"/>
        </w:rPr>
        <w:t>Bertrand,</w:t>
      </w:r>
      <w:r>
        <w:rPr>
          <w:spacing w:val="-7"/>
          <w:sz w:val="24"/>
        </w:rPr>
        <w:t> </w:t>
      </w:r>
      <w:r>
        <w:rPr>
          <w:sz w:val="24"/>
        </w:rPr>
        <w:t>J.W.M.</w:t>
      </w:r>
      <w:r>
        <w:rPr>
          <w:spacing w:val="-7"/>
          <w:sz w:val="24"/>
        </w:rPr>
        <w:t> </w:t>
      </w:r>
      <w:r>
        <w:rPr>
          <w:sz w:val="24"/>
        </w:rPr>
        <w:t>&amp;</w:t>
      </w:r>
      <w:r>
        <w:rPr>
          <w:spacing w:val="-9"/>
          <w:sz w:val="24"/>
        </w:rPr>
        <w:t> </w:t>
      </w:r>
      <w:r>
        <w:rPr>
          <w:sz w:val="24"/>
        </w:rPr>
        <w:t>Fransco,</w:t>
      </w:r>
      <w:r>
        <w:rPr>
          <w:spacing w:val="-7"/>
          <w:sz w:val="24"/>
        </w:rPr>
        <w:t> </w:t>
      </w:r>
      <w:r>
        <w:rPr>
          <w:sz w:val="24"/>
        </w:rPr>
        <w:t>J.C.</w:t>
      </w:r>
      <w:r>
        <w:rPr>
          <w:spacing w:val="-9"/>
          <w:sz w:val="24"/>
        </w:rPr>
        <w:t> </w:t>
      </w:r>
      <w:r>
        <w:rPr>
          <w:sz w:val="24"/>
        </w:rPr>
        <w:t>(2002).</w:t>
      </w:r>
      <w:r>
        <w:rPr>
          <w:spacing w:val="-8"/>
          <w:sz w:val="24"/>
        </w:rPr>
        <w:t> </w:t>
      </w:r>
      <w:r>
        <w:rPr>
          <w:sz w:val="24"/>
        </w:rPr>
        <w:t>Operations</w:t>
      </w:r>
      <w:r>
        <w:rPr>
          <w:spacing w:val="-7"/>
          <w:sz w:val="24"/>
        </w:rPr>
        <w:t> </w:t>
      </w:r>
      <w:r>
        <w:rPr>
          <w:sz w:val="24"/>
        </w:rPr>
        <w:t>management</w:t>
      </w:r>
      <w:r>
        <w:rPr>
          <w:spacing w:val="-7"/>
          <w:sz w:val="24"/>
        </w:rPr>
        <w:t> </w:t>
      </w:r>
      <w:r>
        <w:rPr>
          <w:sz w:val="24"/>
        </w:rPr>
        <w:t>research</w:t>
      </w:r>
      <w:r>
        <w:rPr>
          <w:spacing w:val="-7"/>
          <w:sz w:val="24"/>
        </w:rPr>
        <w:t> </w:t>
      </w:r>
      <w:r>
        <w:rPr>
          <w:sz w:val="24"/>
        </w:rPr>
        <w:t>methodologies</w:t>
      </w:r>
      <w:r>
        <w:rPr>
          <w:spacing w:val="-7"/>
          <w:sz w:val="24"/>
        </w:rPr>
        <w:t> </w:t>
      </w:r>
      <w:r>
        <w:rPr>
          <w:sz w:val="24"/>
        </w:rPr>
        <w:t>using quantitative modelling. </w:t>
      </w:r>
      <w:r>
        <w:rPr>
          <w:i/>
          <w:sz w:val="24"/>
        </w:rPr>
        <w:t>International Journal of Operations and Production Management, </w:t>
      </w:r>
      <w:r>
        <w:rPr>
          <w:sz w:val="24"/>
        </w:rPr>
        <w:t>22(2), 241-264.</w:t>
      </w:r>
    </w:p>
    <w:p>
      <w:pPr>
        <w:pStyle w:val="BodyText"/>
        <w:spacing w:before="1"/>
      </w:pPr>
    </w:p>
    <w:p>
      <w:pPr>
        <w:spacing w:before="0"/>
        <w:ind w:left="547" w:right="110" w:hanging="432"/>
        <w:jc w:val="both"/>
        <w:rPr>
          <w:sz w:val="24"/>
        </w:rPr>
      </w:pPr>
      <w:r>
        <w:rPr>
          <w:sz w:val="24"/>
        </w:rPr>
        <w:t>Booysen, F. (2002). An overview and evaluation of composite indices of development. </w:t>
      </w:r>
      <w:r>
        <w:rPr>
          <w:i/>
          <w:sz w:val="24"/>
        </w:rPr>
        <w:t>Social indicators research</w:t>
      </w:r>
      <w:r>
        <w:rPr>
          <w:sz w:val="24"/>
        </w:rPr>
        <w:t>, </w:t>
      </w:r>
      <w:r>
        <w:rPr>
          <w:i/>
          <w:sz w:val="24"/>
        </w:rPr>
        <w:t>59</w:t>
      </w:r>
      <w:r>
        <w:rPr>
          <w:sz w:val="24"/>
        </w:rPr>
        <w:t>(2), 115-151.</w:t>
      </w:r>
    </w:p>
    <w:p>
      <w:pPr>
        <w:pStyle w:val="BodyText"/>
      </w:pPr>
    </w:p>
    <w:p>
      <w:pPr>
        <w:pStyle w:val="BodyText"/>
        <w:spacing w:line="275" w:lineRule="exact"/>
        <w:ind w:left="115"/>
      </w:pPr>
      <w:r>
        <w:rPr/>
        <w:t>Brown,</w:t>
      </w:r>
      <w:r>
        <w:rPr>
          <w:spacing w:val="42"/>
        </w:rPr>
        <w:t> </w:t>
      </w:r>
      <w:r>
        <w:rPr/>
        <w:t>A.</w:t>
      </w:r>
      <w:r>
        <w:rPr>
          <w:spacing w:val="42"/>
        </w:rPr>
        <w:t> </w:t>
      </w:r>
      <w:r>
        <w:rPr/>
        <w:t>and</w:t>
      </w:r>
      <w:r>
        <w:rPr>
          <w:spacing w:val="42"/>
        </w:rPr>
        <w:t> </w:t>
      </w:r>
      <w:r>
        <w:rPr/>
        <w:t>Matlock,</w:t>
      </w:r>
      <w:r>
        <w:rPr>
          <w:spacing w:val="41"/>
        </w:rPr>
        <w:t> </w:t>
      </w:r>
      <w:r>
        <w:rPr/>
        <w:t>M.</w:t>
      </w:r>
      <w:r>
        <w:rPr>
          <w:spacing w:val="43"/>
        </w:rPr>
        <w:t> </w:t>
      </w:r>
      <w:r>
        <w:rPr/>
        <w:t>(2011).</w:t>
      </w:r>
      <w:r>
        <w:rPr>
          <w:spacing w:val="42"/>
        </w:rPr>
        <w:t> </w:t>
      </w:r>
      <w:r>
        <w:rPr/>
        <w:t>A</w:t>
      </w:r>
      <w:r>
        <w:rPr>
          <w:spacing w:val="41"/>
        </w:rPr>
        <w:t> </w:t>
      </w:r>
      <w:r>
        <w:rPr/>
        <w:t>review</w:t>
      </w:r>
      <w:r>
        <w:rPr>
          <w:spacing w:val="44"/>
        </w:rPr>
        <w:t> </w:t>
      </w:r>
      <w:r>
        <w:rPr/>
        <w:t>of</w:t>
      </w:r>
      <w:r>
        <w:rPr>
          <w:spacing w:val="42"/>
        </w:rPr>
        <w:t> </w:t>
      </w:r>
      <w:r>
        <w:rPr/>
        <w:t>water</w:t>
      </w:r>
      <w:r>
        <w:rPr>
          <w:spacing w:val="40"/>
        </w:rPr>
        <w:t> </w:t>
      </w:r>
      <w:r>
        <w:rPr/>
        <w:t>scarcity</w:t>
      </w:r>
      <w:r>
        <w:rPr>
          <w:spacing w:val="38"/>
        </w:rPr>
        <w:t> </w:t>
      </w:r>
      <w:r>
        <w:rPr/>
        <w:t>indices</w:t>
      </w:r>
      <w:r>
        <w:rPr>
          <w:spacing w:val="43"/>
        </w:rPr>
        <w:t> </w:t>
      </w:r>
      <w:r>
        <w:rPr/>
        <w:t>and</w:t>
      </w:r>
      <w:r>
        <w:rPr>
          <w:spacing w:val="42"/>
        </w:rPr>
        <w:t> </w:t>
      </w:r>
      <w:r>
        <w:rPr>
          <w:spacing w:val="-2"/>
        </w:rPr>
        <w:t>methodologies.</w:t>
      </w:r>
    </w:p>
    <w:p>
      <w:pPr>
        <w:pStyle w:val="BodyText"/>
        <w:spacing w:line="275" w:lineRule="exact"/>
        <w:ind w:left="547"/>
      </w:pPr>
      <w:r>
        <w:rPr/>
        <w:t>University</w:t>
      </w:r>
      <w:r>
        <w:rPr>
          <w:spacing w:val="-6"/>
        </w:rPr>
        <w:t> </w:t>
      </w:r>
      <w:r>
        <w:rPr/>
        <w:t>of Arkansas</w:t>
      </w:r>
      <w:r>
        <w:rPr>
          <w:spacing w:val="1"/>
        </w:rPr>
        <w:t> </w:t>
      </w:r>
      <w:r>
        <w:rPr/>
        <w:t>white paper</w:t>
      </w:r>
      <w:r>
        <w:rPr>
          <w:spacing w:val="-1"/>
        </w:rPr>
        <w:t> </w:t>
      </w:r>
      <w:r>
        <w:rPr/>
        <w:t>no.</w:t>
      </w:r>
      <w:r>
        <w:rPr>
          <w:spacing w:val="-1"/>
        </w:rPr>
        <w:t> </w:t>
      </w:r>
      <w:r>
        <w:rPr>
          <w:spacing w:val="-5"/>
        </w:rPr>
        <w:t>106</w:t>
      </w:r>
    </w:p>
    <w:p>
      <w:pPr>
        <w:spacing w:after="0" w:line="275" w:lineRule="exact"/>
        <w:sectPr>
          <w:pgSz w:w="12240" w:h="15840"/>
          <w:pgMar w:header="0" w:footer="1068" w:top="1340" w:bottom="1260" w:left="1440" w:right="1300"/>
        </w:sectPr>
      </w:pPr>
    </w:p>
    <w:p>
      <w:pPr>
        <w:pStyle w:val="BodyText"/>
        <w:spacing w:before="63"/>
        <w:ind w:left="115"/>
      </w:pPr>
      <w:r>
        <w:rPr/>
        <w:t>Caprara,</w:t>
      </w:r>
      <w:r>
        <w:rPr>
          <w:spacing w:val="-13"/>
        </w:rPr>
        <w:t> </w:t>
      </w:r>
      <w:r>
        <w:rPr/>
        <w:t>A.,</w:t>
      </w:r>
      <w:r>
        <w:rPr>
          <w:spacing w:val="-9"/>
        </w:rPr>
        <w:t> </w:t>
      </w:r>
      <w:r>
        <w:rPr/>
        <w:t>Lima,</w:t>
      </w:r>
      <w:r>
        <w:rPr>
          <w:spacing w:val="-11"/>
        </w:rPr>
        <w:t> </w:t>
      </w:r>
      <w:r>
        <w:rPr/>
        <w:t>J.</w:t>
      </w:r>
      <w:r>
        <w:rPr>
          <w:spacing w:val="-12"/>
        </w:rPr>
        <w:t> </w:t>
      </w:r>
      <w:r>
        <w:rPr/>
        <w:t>W.</w:t>
      </w:r>
      <w:r>
        <w:rPr>
          <w:spacing w:val="-15"/>
        </w:rPr>
        <w:t> </w:t>
      </w:r>
      <w:r>
        <w:rPr/>
        <w:t>D.</w:t>
      </w:r>
      <w:r>
        <w:rPr>
          <w:spacing w:val="-12"/>
        </w:rPr>
        <w:t> </w:t>
      </w:r>
      <w:r>
        <w:rPr/>
        <w:t>O.,</w:t>
      </w:r>
      <w:r>
        <w:rPr>
          <w:spacing w:val="-12"/>
        </w:rPr>
        <w:t> </w:t>
      </w:r>
      <w:r>
        <w:rPr/>
        <w:t>Marinho,</w:t>
      </w:r>
      <w:r>
        <w:rPr>
          <w:spacing w:val="-11"/>
        </w:rPr>
        <w:t> </w:t>
      </w:r>
      <w:r>
        <w:rPr/>
        <w:t>A.</w:t>
      </w:r>
      <w:r>
        <w:rPr>
          <w:spacing w:val="-12"/>
        </w:rPr>
        <w:t> </w:t>
      </w:r>
      <w:r>
        <w:rPr/>
        <w:t>C.</w:t>
      </w:r>
      <w:r>
        <w:rPr>
          <w:spacing w:val="-10"/>
        </w:rPr>
        <w:t> </w:t>
      </w:r>
      <w:r>
        <w:rPr/>
        <w:t>P.,</w:t>
      </w:r>
      <w:r>
        <w:rPr>
          <w:spacing w:val="-11"/>
        </w:rPr>
        <w:t> </w:t>
      </w:r>
      <w:r>
        <w:rPr/>
        <w:t>Calvasina,</w:t>
      </w:r>
      <w:r>
        <w:rPr>
          <w:spacing w:val="-11"/>
        </w:rPr>
        <w:t> </w:t>
      </w:r>
      <w:r>
        <w:rPr/>
        <w:t>P.</w:t>
      </w:r>
      <w:r>
        <w:rPr>
          <w:spacing w:val="-11"/>
        </w:rPr>
        <w:t> </w:t>
      </w:r>
      <w:r>
        <w:rPr/>
        <w:t>G.,</w:t>
      </w:r>
      <w:r>
        <w:rPr>
          <w:spacing w:val="-10"/>
        </w:rPr>
        <w:t> </w:t>
      </w:r>
      <w:r>
        <w:rPr/>
        <w:t>Landim,</w:t>
      </w:r>
      <w:r>
        <w:rPr>
          <w:spacing w:val="-7"/>
        </w:rPr>
        <w:t> </w:t>
      </w:r>
      <w:r>
        <w:rPr/>
        <w:t>L.</w:t>
      </w:r>
      <w:r>
        <w:rPr>
          <w:spacing w:val="-11"/>
        </w:rPr>
        <w:t> </w:t>
      </w:r>
      <w:r>
        <w:rPr/>
        <w:t>P.</w:t>
      </w:r>
      <w:r>
        <w:rPr>
          <w:spacing w:val="-8"/>
        </w:rPr>
        <w:t> </w:t>
      </w:r>
      <w:r>
        <w:rPr/>
        <w:t>&amp;</w:t>
      </w:r>
      <w:r>
        <w:rPr>
          <w:spacing w:val="-13"/>
        </w:rPr>
        <w:t> </w:t>
      </w:r>
      <w:r>
        <w:rPr>
          <w:spacing w:val="-2"/>
        </w:rPr>
        <w:t>Sommerfeld,</w:t>
      </w:r>
    </w:p>
    <w:p>
      <w:pPr>
        <w:pStyle w:val="BodyText"/>
        <w:ind w:left="547"/>
      </w:pPr>
      <w:r>
        <w:rPr/>
        <w:t>J.</w:t>
      </w:r>
      <w:r>
        <w:rPr>
          <w:spacing w:val="25"/>
        </w:rPr>
        <w:t> </w:t>
      </w:r>
      <w:r>
        <w:rPr/>
        <w:t>(2009).</w:t>
      </w:r>
      <w:r>
        <w:rPr>
          <w:spacing w:val="27"/>
        </w:rPr>
        <w:t> </w:t>
      </w:r>
      <w:r>
        <w:rPr/>
        <w:t>Irregular</w:t>
      </w:r>
      <w:r>
        <w:rPr>
          <w:spacing w:val="24"/>
        </w:rPr>
        <w:t> </w:t>
      </w:r>
      <w:r>
        <w:rPr/>
        <w:t>water</w:t>
      </w:r>
      <w:r>
        <w:rPr>
          <w:spacing w:val="24"/>
        </w:rPr>
        <w:t> </w:t>
      </w:r>
      <w:r>
        <w:rPr/>
        <w:t>supply,</w:t>
      </w:r>
      <w:r>
        <w:rPr>
          <w:spacing w:val="25"/>
        </w:rPr>
        <w:t> </w:t>
      </w:r>
      <w:r>
        <w:rPr/>
        <w:t>household</w:t>
      </w:r>
      <w:r>
        <w:rPr>
          <w:spacing w:val="26"/>
        </w:rPr>
        <w:t> </w:t>
      </w:r>
      <w:r>
        <w:rPr/>
        <w:t>usage</w:t>
      </w:r>
      <w:r>
        <w:rPr>
          <w:spacing w:val="27"/>
        </w:rPr>
        <w:t> </w:t>
      </w:r>
      <w:r>
        <w:rPr/>
        <w:t>and</w:t>
      </w:r>
      <w:r>
        <w:rPr>
          <w:spacing w:val="25"/>
        </w:rPr>
        <w:t> </w:t>
      </w:r>
      <w:r>
        <w:rPr/>
        <w:t>dengue:</w:t>
      </w:r>
      <w:r>
        <w:rPr>
          <w:spacing w:val="26"/>
        </w:rPr>
        <w:t> </w:t>
      </w:r>
      <w:r>
        <w:rPr/>
        <w:t>A</w:t>
      </w:r>
      <w:r>
        <w:rPr>
          <w:spacing w:val="25"/>
        </w:rPr>
        <w:t> </w:t>
      </w:r>
      <w:r>
        <w:rPr/>
        <w:t>bio-social</w:t>
      </w:r>
      <w:r>
        <w:rPr>
          <w:spacing w:val="25"/>
        </w:rPr>
        <w:t> </w:t>
      </w:r>
      <w:r>
        <w:rPr/>
        <w:t>study in</w:t>
      </w:r>
      <w:r>
        <w:rPr>
          <w:spacing w:val="26"/>
        </w:rPr>
        <w:t> </w:t>
      </w:r>
      <w:r>
        <w:rPr/>
        <w:t>the Brazilian Northeast</w:t>
      </w:r>
      <w:r>
        <w:rPr>
          <w:i/>
        </w:rPr>
        <w:t>. Cadernos de Saúde Pública, </w:t>
      </w:r>
      <w:r>
        <w:rPr/>
        <w:t>25, 125-136.</w:t>
      </w:r>
    </w:p>
    <w:p>
      <w:pPr>
        <w:pStyle w:val="BodyText"/>
      </w:pPr>
    </w:p>
    <w:p>
      <w:pPr>
        <w:spacing w:before="0"/>
        <w:ind w:left="547" w:right="105" w:hanging="432"/>
        <w:jc w:val="both"/>
        <w:rPr>
          <w:sz w:val="24"/>
        </w:rPr>
      </w:pPr>
      <w:r>
        <w:rPr>
          <w:sz w:val="24"/>
        </w:rPr>
        <w:t>Chaminuka, L. &amp; Nyatsanza, T. D. (2013). An assessment of water shortages and coping mechanisms</w:t>
      </w:r>
      <w:r>
        <w:rPr>
          <w:spacing w:val="-15"/>
          <w:sz w:val="24"/>
        </w:rPr>
        <w:t> </w:t>
      </w:r>
      <w:r>
        <w:rPr>
          <w:sz w:val="24"/>
        </w:rPr>
        <w:t>of</w:t>
      </w:r>
      <w:r>
        <w:rPr>
          <w:spacing w:val="-15"/>
          <w:sz w:val="24"/>
        </w:rPr>
        <w:t> </w:t>
      </w:r>
      <w:r>
        <w:rPr>
          <w:sz w:val="24"/>
        </w:rPr>
        <w:t>Harare</w:t>
      </w:r>
      <w:r>
        <w:rPr>
          <w:spacing w:val="-15"/>
          <w:sz w:val="24"/>
        </w:rPr>
        <w:t> </w:t>
      </w:r>
      <w:r>
        <w:rPr>
          <w:sz w:val="24"/>
        </w:rPr>
        <w:t>residents:</w:t>
      </w:r>
      <w:r>
        <w:rPr>
          <w:spacing w:val="-15"/>
          <w:sz w:val="24"/>
        </w:rPr>
        <w:t> </w:t>
      </w:r>
      <w:r>
        <w:rPr>
          <w:sz w:val="24"/>
        </w:rPr>
        <w:t>A</w:t>
      </w:r>
      <w:r>
        <w:rPr>
          <w:spacing w:val="-15"/>
          <w:sz w:val="24"/>
        </w:rPr>
        <w:t> </w:t>
      </w:r>
      <w:r>
        <w:rPr>
          <w:sz w:val="24"/>
        </w:rPr>
        <w:t>case</w:t>
      </w:r>
      <w:r>
        <w:rPr>
          <w:spacing w:val="-15"/>
          <w:sz w:val="24"/>
        </w:rPr>
        <w:t> </w:t>
      </w:r>
      <w:r>
        <w:rPr>
          <w:sz w:val="24"/>
        </w:rPr>
        <w:t>of</w:t>
      </w:r>
      <w:r>
        <w:rPr>
          <w:spacing w:val="-15"/>
          <w:sz w:val="24"/>
        </w:rPr>
        <w:t> </w:t>
      </w:r>
      <w:r>
        <w:rPr>
          <w:sz w:val="24"/>
        </w:rPr>
        <w:t>Msasa</w:t>
      </w:r>
      <w:r>
        <w:rPr>
          <w:spacing w:val="-15"/>
          <w:sz w:val="24"/>
        </w:rPr>
        <w:t> </w:t>
      </w:r>
      <w:r>
        <w:rPr>
          <w:sz w:val="24"/>
        </w:rPr>
        <w:t>Park</w:t>
      </w:r>
      <w:r>
        <w:rPr>
          <w:spacing w:val="-15"/>
          <w:sz w:val="24"/>
        </w:rPr>
        <w:t> </w:t>
      </w:r>
      <w:r>
        <w:rPr>
          <w:sz w:val="24"/>
        </w:rPr>
        <w:t>and</w:t>
      </w:r>
      <w:r>
        <w:rPr>
          <w:spacing w:val="-15"/>
          <w:sz w:val="24"/>
        </w:rPr>
        <w:t> </w:t>
      </w:r>
      <w:r>
        <w:rPr>
          <w:sz w:val="24"/>
        </w:rPr>
        <w:t>Dzivaresekwa</w:t>
      </w:r>
      <w:r>
        <w:rPr>
          <w:spacing w:val="-15"/>
          <w:sz w:val="24"/>
        </w:rPr>
        <w:t> </w:t>
      </w:r>
      <w:r>
        <w:rPr>
          <w:sz w:val="24"/>
        </w:rPr>
        <w:t>Extension.</w:t>
      </w:r>
      <w:r>
        <w:rPr>
          <w:spacing w:val="-15"/>
          <w:sz w:val="24"/>
        </w:rPr>
        <w:t> </w:t>
      </w:r>
      <w:r>
        <w:rPr>
          <w:i/>
          <w:sz w:val="24"/>
        </w:rPr>
        <w:t>Journal of Agriculture and Veterinary Science, </w:t>
      </w:r>
      <w:r>
        <w:rPr>
          <w:sz w:val="24"/>
        </w:rPr>
        <w:t>4, 21-35.</w:t>
      </w:r>
    </w:p>
    <w:p>
      <w:pPr>
        <w:pStyle w:val="BodyText"/>
      </w:pPr>
    </w:p>
    <w:p>
      <w:pPr>
        <w:spacing w:before="0"/>
        <w:ind w:left="547" w:right="116" w:hanging="432"/>
        <w:jc w:val="both"/>
        <w:rPr>
          <w:sz w:val="24"/>
        </w:rPr>
      </w:pPr>
      <w:r>
        <w:rPr>
          <w:sz w:val="24"/>
        </w:rPr>
        <w:t>Chileshe, N., &amp; Kikwasi, G. J. (2014). Risk assessment and management practices (RAMP) within the Tanzania construction industry: Implementation barriers and advocated</w:t>
      </w:r>
      <w:r>
        <w:rPr>
          <w:spacing w:val="40"/>
          <w:sz w:val="24"/>
        </w:rPr>
        <w:t> </w:t>
      </w:r>
      <w:r>
        <w:rPr>
          <w:sz w:val="24"/>
        </w:rPr>
        <w:t>solutions. </w:t>
      </w:r>
      <w:r>
        <w:rPr>
          <w:i/>
          <w:sz w:val="24"/>
        </w:rPr>
        <w:t>International Journal of Construction Management</w:t>
      </w:r>
      <w:r>
        <w:rPr>
          <w:sz w:val="24"/>
        </w:rPr>
        <w:t>, </w:t>
      </w:r>
      <w:r>
        <w:rPr>
          <w:i/>
          <w:sz w:val="24"/>
        </w:rPr>
        <w:t>14</w:t>
      </w:r>
      <w:r>
        <w:rPr>
          <w:sz w:val="24"/>
        </w:rPr>
        <w:t>(4), 239-254.</w:t>
      </w:r>
    </w:p>
    <w:p>
      <w:pPr>
        <w:pStyle w:val="BodyText"/>
      </w:pPr>
    </w:p>
    <w:p>
      <w:pPr>
        <w:spacing w:before="1"/>
        <w:ind w:left="547" w:right="105" w:hanging="432"/>
        <w:jc w:val="both"/>
        <w:rPr>
          <w:sz w:val="24"/>
        </w:rPr>
      </w:pPr>
      <w:r>
        <w:rPr>
          <w:sz w:val="24"/>
        </w:rPr>
        <w:t>Cho,</w:t>
      </w:r>
      <w:r>
        <w:rPr>
          <w:spacing w:val="-15"/>
          <w:sz w:val="24"/>
        </w:rPr>
        <w:t> </w:t>
      </w:r>
      <w:r>
        <w:rPr>
          <w:sz w:val="24"/>
        </w:rPr>
        <w:t>D.</w:t>
      </w:r>
      <w:r>
        <w:rPr>
          <w:spacing w:val="-15"/>
          <w:sz w:val="24"/>
        </w:rPr>
        <w:t> </w:t>
      </w:r>
      <w:r>
        <w:rPr>
          <w:sz w:val="24"/>
        </w:rPr>
        <w:t>I.,</w:t>
      </w:r>
      <w:r>
        <w:rPr>
          <w:spacing w:val="-15"/>
          <w:sz w:val="24"/>
        </w:rPr>
        <w:t> </w:t>
      </w:r>
      <w:r>
        <w:rPr>
          <w:sz w:val="24"/>
        </w:rPr>
        <w:t>Ogwang,</w:t>
      </w:r>
      <w:r>
        <w:rPr>
          <w:spacing w:val="-15"/>
          <w:sz w:val="24"/>
        </w:rPr>
        <w:t> </w:t>
      </w:r>
      <w:r>
        <w:rPr>
          <w:sz w:val="24"/>
        </w:rPr>
        <w:t>T.,</w:t>
      </w:r>
      <w:r>
        <w:rPr>
          <w:spacing w:val="-12"/>
          <w:sz w:val="24"/>
        </w:rPr>
        <w:t> </w:t>
      </w:r>
      <w:r>
        <w:rPr>
          <w:sz w:val="24"/>
        </w:rPr>
        <w:t>&amp;</w:t>
      </w:r>
      <w:r>
        <w:rPr>
          <w:spacing w:val="-15"/>
          <w:sz w:val="24"/>
        </w:rPr>
        <w:t> </w:t>
      </w:r>
      <w:r>
        <w:rPr>
          <w:sz w:val="24"/>
        </w:rPr>
        <w:t>Opio,</w:t>
      </w:r>
      <w:r>
        <w:rPr>
          <w:spacing w:val="-14"/>
          <w:sz w:val="24"/>
        </w:rPr>
        <w:t> </w:t>
      </w:r>
      <w:r>
        <w:rPr>
          <w:sz w:val="24"/>
        </w:rPr>
        <w:t>C.</w:t>
      </w:r>
      <w:r>
        <w:rPr>
          <w:spacing w:val="-14"/>
          <w:sz w:val="24"/>
        </w:rPr>
        <w:t> </w:t>
      </w:r>
      <w:r>
        <w:rPr>
          <w:sz w:val="24"/>
        </w:rPr>
        <w:t>(2010).</w:t>
      </w:r>
      <w:r>
        <w:rPr>
          <w:spacing w:val="-15"/>
          <w:sz w:val="24"/>
        </w:rPr>
        <w:t> </w:t>
      </w:r>
      <w:r>
        <w:rPr>
          <w:sz w:val="24"/>
        </w:rPr>
        <w:t>Simplifying</w:t>
      </w:r>
      <w:r>
        <w:rPr>
          <w:spacing w:val="-15"/>
          <w:sz w:val="24"/>
        </w:rPr>
        <w:t> </w:t>
      </w:r>
      <w:r>
        <w:rPr>
          <w:sz w:val="24"/>
        </w:rPr>
        <w:t>the</w:t>
      </w:r>
      <w:r>
        <w:rPr>
          <w:spacing w:val="-15"/>
          <w:sz w:val="24"/>
        </w:rPr>
        <w:t> </w:t>
      </w:r>
      <w:r>
        <w:rPr>
          <w:sz w:val="24"/>
        </w:rPr>
        <w:t>water</w:t>
      </w:r>
      <w:r>
        <w:rPr>
          <w:spacing w:val="-15"/>
          <w:sz w:val="24"/>
        </w:rPr>
        <w:t> </w:t>
      </w:r>
      <w:r>
        <w:rPr>
          <w:sz w:val="24"/>
        </w:rPr>
        <w:t>poverty</w:t>
      </w:r>
      <w:r>
        <w:rPr>
          <w:spacing w:val="-15"/>
          <w:sz w:val="24"/>
        </w:rPr>
        <w:t> </w:t>
      </w:r>
      <w:r>
        <w:rPr>
          <w:sz w:val="24"/>
        </w:rPr>
        <w:t>index.</w:t>
      </w:r>
      <w:r>
        <w:rPr>
          <w:spacing w:val="-10"/>
          <w:sz w:val="24"/>
        </w:rPr>
        <w:t> </w:t>
      </w:r>
      <w:r>
        <w:rPr>
          <w:i/>
          <w:sz w:val="24"/>
        </w:rPr>
        <w:t>Social</w:t>
      </w:r>
      <w:r>
        <w:rPr>
          <w:i/>
          <w:spacing w:val="-14"/>
          <w:sz w:val="24"/>
        </w:rPr>
        <w:t> </w:t>
      </w:r>
      <w:r>
        <w:rPr>
          <w:i/>
          <w:sz w:val="24"/>
        </w:rPr>
        <w:t>indicators research</w:t>
      </w:r>
      <w:r>
        <w:rPr>
          <w:sz w:val="24"/>
        </w:rPr>
        <w:t>, </w:t>
      </w:r>
      <w:r>
        <w:rPr>
          <w:i/>
          <w:sz w:val="24"/>
        </w:rPr>
        <w:t>97</w:t>
      </w:r>
      <w:r>
        <w:rPr>
          <w:sz w:val="24"/>
        </w:rPr>
        <w:t>(2), 257-267.</w:t>
      </w:r>
    </w:p>
    <w:p>
      <w:pPr>
        <w:pStyle w:val="BodyText"/>
      </w:pPr>
    </w:p>
    <w:p>
      <w:pPr>
        <w:spacing w:before="0"/>
        <w:ind w:left="547" w:right="111" w:hanging="432"/>
        <w:jc w:val="both"/>
        <w:rPr>
          <w:sz w:val="24"/>
        </w:rPr>
      </w:pPr>
      <w:r>
        <w:rPr>
          <w:sz w:val="24"/>
        </w:rPr>
        <w:t>Cho, D., &amp; Ogwang, T. (2006). Conceptual perspectives on selecting the principal variables in the purchasing managers index. </w:t>
      </w:r>
      <w:r>
        <w:rPr>
          <w:i/>
          <w:sz w:val="24"/>
        </w:rPr>
        <w:t>Journal of Supply Chain Management, </w:t>
      </w:r>
      <w:r>
        <w:rPr>
          <w:sz w:val="24"/>
        </w:rPr>
        <w:t>42(2), 44-52.</w:t>
      </w:r>
    </w:p>
    <w:p>
      <w:pPr>
        <w:pStyle w:val="BodyText"/>
      </w:pPr>
    </w:p>
    <w:p>
      <w:pPr>
        <w:pStyle w:val="BodyText"/>
        <w:ind w:left="547" w:right="107" w:hanging="432"/>
        <w:jc w:val="both"/>
      </w:pPr>
      <w:r>
        <w:rPr/>
        <w:t>Cho, J.S., Ahn, J.K., Kim, H.C., &amp; Lee, D.W. (1996) Radon concentrations in groundwater in Busan measured with a liquid scintillation counter method. </w:t>
      </w:r>
      <w:r>
        <w:rPr>
          <w:i/>
        </w:rPr>
        <w:t>Journal of</w:t>
      </w:r>
      <w:r>
        <w:rPr>
          <w:i/>
          <w:spacing w:val="40"/>
        </w:rPr>
        <w:t> </w:t>
      </w:r>
      <w:r>
        <w:rPr>
          <w:i/>
        </w:rPr>
        <w:t>Environmental Radioactivity. </w:t>
      </w:r>
      <w:r>
        <w:rPr/>
        <w:t>75:105–112</w:t>
      </w:r>
    </w:p>
    <w:p>
      <w:pPr>
        <w:pStyle w:val="BodyText"/>
      </w:pPr>
    </w:p>
    <w:p>
      <w:pPr>
        <w:pStyle w:val="BodyText"/>
        <w:ind w:left="547" w:right="108" w:hanging="432"/>
        <w:jc w:val="both"/>
      </w:pPr>
      <w:r>
        <w:rPr/>
        <w:t>Cleaver, F &amp; Toner, A. (2006). The evolution of community water governance in Uchira, Tanzania. The implications for equality</w:t>
      </w:r>
      <w:r>
        <w:rPr>
          <w:spacing w:val="-2"/>
        </w:rPr>
        <w:t> </w:t>
      </w:r>
      <w:r>
        <w:rPr/>
        <w:t>of access, sustainability, and effectiveness. </w:t>
      </w:r>
      <w:r>
        <w:rPr>
          <w:i/>
        </w:rPr>
        <w:t>Natural Resource Forum, </w:t>
      </w:r>
      <w:r>
        <w:rPr/>
        <w:t>30, pp. 207-218.</w:t>
      </w:r>
    </w:p>
    <w:p>
      <w:pPr>
        <w:pStyle w:val="BodyText"/>
        <w:spacing w:before="1"/>
      </w:pPr>
    </w:p>
    <w:p>
      <w:pPr>
        <w:spacing w:before="0"/>
        <w:ind w:left="547" w:right="108" w:hanging="432"/>
        <w:jc w:val="both"/>
        <w:rPr>
          <w:sz w:val="24"/>
        </w:rPr>
      </w:pPr>
      <w:r>
        <w:rPr>
          <w:sz w:val="24"/>
        </w:rPr>
        <w:t>Cselenyi, M. N. (2013). </w:t>
      </w:r>
      <w:r>
        <w:rPr>
          <w:i/>
          <w:sz w:val="24"/>
        </w:rPr>
        <w:t>Policy and management of water as a common pool resource in Spain. </w:t>
      </w:r>
      <w:r>
        <w:rPr>
          <w:sz w:val="24"/>
        </w:rPr>
        <w:t>The case of aquifier carbonatadis de la lona de ubeda (Unpublished master thesis) Department of Human Geography, Stockholm University.</w:t>
      </w:r>
    </w:p>
    <w:p>
      <w:pPr>
        <w:pStyle w:val="BodyText"/>
      </w:pPr>
    </w:p>
    <w:p>
      <w:pPr>
        <w:pStyle w:val="BodyText"/>
        <w:ind w:left="115"/>
      </w:pPr>
      <w:r>
        <w:rPr/>
        <w:t>Cullis,</w:t>
      </w:r>
      <w:r>
        <w:rPr>
          <w:spacing w:val="23"/>
        </w:rPr>
        <w:t> </w:t>
      </w:r>
      <w:r>
        <w:rPr/>
        <w:t>J.</w:t>
      </w:r>
      <w:r>
        <w:rPr>
          <w:spacing w:val="28"/>
        </w:rPr>
        <w:t> </w:t>
      </w:r>
      <w:r>
        <w:rPr/>
        <w:t>and</w:t>
      </w:r>
      <w:r>
        <w:rPr>
          <w:spacing w:val="28"/>
        </w:rPr>
        <w:t> </w:t>
      </w:r>
      <w:r>
        <w:rPr/>
        <w:t>O’Regan,</w:t>
      </w:r>
      <w:r>
        <w:rPr>
          <w:spacing w:val="30"/>
        </w:rPr>
        <w:t> </w:t>
      </w:r>
      <w:r>
        <w:rPr/>
        <w:t>D.</w:t>
      </w:r>
      <w:r>
        <w:rPr>
          <w:spacing w:val="28"/>
        </w:rPr>
        <w:t> </w:t>
      </w:r>
      <w:r>
        <w:rPr/>
        <w:t>(2004).</w:t>
      </w:r>
      <w:r>
        <w:rPr>
          <w:spacing w:val="30"/>
        </w:rPr>
        <w:t> </w:t>
      </w:r>
      <w:r>
        <w:rPr/>
        <w:t>Targeting</w:t>
      </w:r>
      <w:r>
        <w:rPr>
          <w:spacing w:val="26"/>
        </w:rPr>
        <w:t> </w:t>
      </w:r>
      <w:r>
        <w:rPr/>
        <w:t>the</w:t>
      </w:r>
      <w:r>
        <w:rPr>
          <w:spacing w:val="30"/>
        </w:rPr>
        <w:t> </w:t>
      </w:r>
      <w:r>
        <w:rPr/>
        <w:t>water</w:t>
      </w:r>
      <w:r>
        <w:rPr>
          <w:spacing w:val="27"/>
        </w:rPr>
        <w:t> </w:t>
      </w:r>
      <w:r>
        <w:rPr/>
        <w:t>poor</w:t>
      </w:r>
      <w:r>
        <w:rPr>
          <w:spacing w:val="30"/>
        </w:rPr>
        <w:t> </w:t>
      </w:r>
      <w:r>
        <w:rPr/>
        <w:t>through</w:t>
      </w:r>
      <w:r>
        <w:rPr>
          <w:spacing w:val="30"/>
        </w:rPr>
        <w:t> </w:t>
      </w:r>
      <w:r>
        <w:rPr/>
        <w:t>water</w:t>
      </w:r>
      <w:r>
        <w:rPr>
          <w:spacing w:val="27"/>
        </w:rPr>
        <w:t> </w:t>
      </w:r>
      <w:r>
        <w:rPr/>
        <w:t>poverty</w:t>
      </w:r>
      <w:r>
        <w:rPr>
          <w:spacing w:val="23"/>
        </w:rPr>
        <w:t> </w:t>
      </w:r>
      <w:r>
        <w:rPr>
          <w:spacing w:val="-2"/>
        </w:rPr>
        <w:t>mapping.</w:t>
      </w:r>
    </w:p>
    <w:p>
      <w:pPr>
        <w:spacing w:before="0"/>
        <w:ind w:left="547" w:right="0" w:firstLine="0"/>
        <w:jc w:val="left"/>
        <w:rPr>
          <w:sz w:val="24"/>
        </w:rPr>
      </w:pPr>
      <w:r>
        <w:rPr>
          <w:i/>
          <w:sz w:val="24"/>
        </w:rPr>
        <w:t>Water</w:t>
      </w:r>
      <w:r>
        <w:rPr>
          <w:i/>
          <w:spacing w:val="-4"/>
          <w:sz w:val="24"/>
        </w:rPr>
        <w:t> </w:t>
      </w:r>
      <w:r>
        <w:rPr>
          <w:i/>
          <w:sz w:val="24"/>
        </w:rPr>
        <w:t>Policy.</w:t>
      </w:r>
      <w:r>
        <w:rPr>
          <w:i/>
          <w:spacing w:val="-2"/>
          <w:sz w:val="24"/>
        </w:rPr>
        <w:t> </w:t>
      </w:r>
      <w:r>
        <w:rPr>
          <w:sz w:val="24"/>
        </w:rPr>
        <w:t>6,</w:t>
      </w:r>
      <w:r>
        <w:rPr>
          <w:spacing w:val="-1"/>
          <w:sz w:val="24"/>
        </w:rPr>
        <w:t> </w:t>
      </w:r>
      <w:r>
        <w:rPr>
          <w:sz w:val="24"/>
        </w:rPr>
        <w:t>397-</w:t>
      </w:r>
      <w:r>
        <w:rPr>
          <w:spacing w:val="-4"/>
          <w:sz w:val="24"/>
        </w:rPr>
        <w:t>411.</w:t>
      </w:r>
    </w:p>
    <w:p>
      <w:pPr>
        <w:pStyle w:val="BodyText"/>
      </w:pPr>
    </w:p>
    <w:p>
      <w:pPr>
        <w:spacing w:before="0"/>
        <w:ind w:left="547" w:right="108" w:hanging="432"/>
        <w:jc w:val="both"/>
        <w:rPr>
          <w:sz w:val="24"/>
        </w:rPr>
      </w:pPr>
      <w:r>
        <w:rPr>
          <w:sz w:val="24"/>
        </w:rPr>
        <w:t>Dalil, M., Mohammed, N.H, Yamman, U.M, Hussaini, A &amp; Mohammed, S.L. (2015). An assessment</w:t>
      </w:r>
      <w:r>
        <w:rPr>
          <w:spacing w:val="-14"/>
          <w:sz w:val="24"/>
        </w:rPr>
        <w:t> </w:t>
      </w:r>
      <w:r>
        <w:rPr>
          <w:sz w:val="24"/>
        </w:rPr>
        <w:t>of</w:t>
      </w:r>
      <w:r>
        <w:rPr>
          <w:spacing w:val="-13"/>
          <w:sz w:val="24"/>
        </w:rPr>
        <w:t> </w:t>
      </w:r>
      <w:r>
        <w:rPr>
          <w:sz w:val="24"/>
        </w:rPr>
        <w:t>flood</w:t>
      </w:r>
      <w:r>
        <w:rPr>
          <w:spacing w:val="-12"/>
          <w:sz w:val="24"/>
        </w:rPr>
        <w:t> </w:t>
      </w:r>
      <w:r>
        <w:rPr>
          <w:sz w:val="24"/>
        </w:rPr>
        <w:t>vunerability</w:t>
      </w:r>
      <w:r>
        <w:rPr>
          <w:spacing w:val="-15"/>
          <w:sz w:val="24"/>
        </w:rPr>
        <w:t> </w:t>
      </w:r>
      <w:r>
        <w:rPr>
          <w:sz w:val="24"/>
        </w:rPr>
        <w:t>on</w:t>
      </w:r>
      <w:r>
        <w:rPr>
          <w:spacing w:val="-12"/>
          <w:sz w:val="24"/>
        </w:rPr>
        <w:t> </w:t>
      </w:r>
      <w:r>
        <w:rPr>
          <w:sz w:val="24"/>
        </w:rPr>
        <w:t>physical</w:t>
      </w:r>
      <w:r>
        <w:rPr>
          <w:spacing w:val="-12"/>
          <w:sz w:val="24"/>
        </w:rPr>
        <w:t> </w:t>
      </w:r>
      <w:r>
        <w:rPr>
          <w:sz w:val="24"/>
        </w:rPr>
        <w:t>development</w:t>
      </w:r>
      <w:r>
        <w:rPr>
          <w:spacing w:val="-12"/>
          <w:sz w:val="24"/>
        </w:rPr>
        <w:t> </w:t>
      </w:r>
      <w:r>
        <w:rPr>
          <w:sz w:val="24"/>
        </w:rPr>
        <w:t>along</w:t>
      </w:r>
      <w:r>
        <w:rPr>
          <w:spacing w:val="-14"/>
          <w:sz w:val="24"/>
        </w:rPr>
        <w:t> </w:t>
      </w:r>
      <w:r>
        <w:rPr>
          <w:sz w:val="24"/>
        </w:rPr>
        <w:t>drainage</w:t>
      </w:r>
      <w:r>
        <w:rPr>
          <w:spacing w:val="-13"/>
          <w:sz w:val="24"/>
        </w:rPr>
        <w:t> </w:t>
      </w:r>
      <w:r>
        <w:rPr>
          <w:sz w:val="24"/>
        </w:rPr>
        <w:t>channels</w:t>
      </w:r>
      <w:r>
        <w:rPr>
          <w:spacing w:val="-12"/>
          <w:sz w:val="24"/>
        </w:rPr>
        <w:t> </w:t>
      </w:r>
      <w:r>
        <w:rPr>
          <w:sz w:val="24"/>
        </w:rPr>
        <w:t>in</w:t>
      </w:r>
      <w:r>
        <w:rPr>
          <w:spacing w:val="-12"/>
          <w:sz w:val="24"/>
        </w:rPr>
        <w:t> </w:t>
      </w:r>
      <w:r>
        <w:rPr>
          <w:sz w:val="24"/>
        </w:rPr>
        <w:t>Minna, Niger</w:t>
      </w:r>
      <w:r>
        <w:rPr>
          <w:spacing w:val="-14"/>
          <w:sz w:val="24"/>
        </w:rPr>
        <w:t> </w:t>
      </w:r>
      <w:r>
        <w:rPr>
          <w:sz w:val="24"/>
        </w:rPr>
        <w:t>State</w:t>
      </w:r>
      <w:r>
        <w:rPr>
          <w:spacing w:val="-14"/>
          <w:sz w:val="24"/>
        </w:rPr>
        <w:t> </w:t>
      </w:r>
      <w:r>
        <w:rPr>
          <w:sz w:val="24"/>
        </w:rPr>
        <w:t>Nigeria.</w:t>
      </w:r>
      <w:r>
        <w:rPr>
          <w:spacing w:val="-12"/>
          <w:sz w:val="24"/>
        </w:rPr>
        <w:t> </w:t>
      </w:r>
      <w:r>
        <w:rPr>
          <w:i/>
          <w:sz w:val="24"/>
        </w:rPr>
        <w:t>African</w:t>
      </w:r>
      <w:r>
        <w:rPr>
          <w:i/>
          <w:spacing w:val="-13"/>
          <w:sz w:val="24"/>
        </w:rPr>
        <w:t> </w:t>
      </w:r>
      <w:r>
        <w:rPr>
          <w:i/>
          <w:sz w:val="24"/>
        </w:rPr>
        <w:t>Journal</w:t>
      </w:r>
      <w:r>
        <w:rPr>
          <w:i/>
          <w:spacing w:val="-13"/>
          <w:sz w:val="24"/>
        </w:rPr>
        <w:t> </w:t>
      </w:r>
      <w:r>
        <w:rPr>
          <w:i/>
          <w:sz w:val="24"/>
        </w:rPr>
        <w:t>of</w:t>
      </w:r>
      <w:r>
        <w:rPr>
          <w:i/>
          <w:spacing w:val="-13"/>
          <w:sz w:val="24"/>
        </w:rPr>
        <w:t> </w:t>
      </w:r>
      <w:r>
        <w:rPr>
          <w:i/>
          <w:sz w:val="24"/>
        </w:rPr>
        <w:t>Environmental</w:t>
      </w:r>
      <w:r>
        <w:rPr>
          <w:i/>
          <w:spacing w:val="-13"/>
          <w:sz w:val="24"/>
        </w:rPr>
        <w:t> </w:t>
      </w:r>
      <w:r>
        <w:rPr>
          <w:i/>
          <w:sz w:val="24"/>
        </w:rPr>
        <w:t>Science</w:t>
      </w:r>
      <w:r>
        <w:rPr>
          <w:i/>
          <w:spacing w:val="-14"/>
          <w:sz w:val="24"/>
        </w:rPr>
        <w:t> </w:t>
      </w:r>
      <w:r>
        <w:rPr>
          <w:i/>
          <w:sz w:val="24"/>
        </w:rPr>
        <w:t>and</w:t>
      </w:r>
      <w:r>
        <w:rPr>
          <w:i/>
          <w:spacing w:val="-13"/>
          <w:sz w:val="24"/>
        </w:rPr>
        <w:t> </w:t>
      </w:r>
      <w:r>
        <w:rPr>
          <w:i/>
          <w:sz w:val="24"/>
        </w:rPr>
        <w:t>Technology,</w:t>
      </w:r>
      <w:r>
        <w:rPr>
          <w:i/>
          <w:spacing w:val="-11"/>
          <w:sz w:val="24"/>
        </w:rPr>
        <w:t> </w:t>
      </w:r>
      <w:r>
        <w:rPr>
          <w:sz w:val="24"/>
        </w:rPr>
        <w:t>9(1),</w:t>
      </w:r>
      <w:r>
        <w:rPr>
          <w:spacing w:val="-13"/>
          <w:sz w:val="24"/>
        </w:rPr>
        <w:t> </w:t>
      </w:r>
      <w:r>
        <w:rPr>
          <w:sz w:val="24"/>
        </w:rPr>
        <w:t>pp.</w:t>
      </w:r>
      <w:r>
        <w:rPr>
          <w:spacing w:val="-13"/>
          <w:sz w:val="24"/>
        </w:rPr>
        <w:t> </w:t>
      </w:r>
      <w:r>
        <w:rPr>
          <w:sz w:val="24"/>
        </w:rPr>
        <w:t>38- </w:t>
      </w:r>
      <w:r>
        <w:rPr>
          <w:spacing w:val="-4"/>
          <w:sz w:val="24"/>
        </w:rPr>
        <w:t>46.</w:t>
      </w:r>
    </w:p>
    <w:p>
      <w:pPr>
        <w:pStyle w:val="BodyText"/>
        <w:spacing w:before="1"/>
      </w:pPr>
    </w:p>
    <w:p>
      <w:pPr>
        <w:spacing w:before="0"/>
        <w:ind w:left="547" w:right="104" w:hanging="432"/>
        <w:jc w:val="both"/>
        <w:rPr>
          <w:sz w:val="24"/>
        </w:rPr>
      </w:pPr>
      <w:r>
        <w:rPr>
          <w:sz w:val="24"/>
        </w:rPr>
        <w:t>Damkjaer, S. &amp; Taylor, R. (2017). The measurement of water scarcity: defining a meaningful indicator.</w:t>
      </w:r>
      <w:r>
        <w:rPr>
          <w:spacing w:val="-3"/>
          <w:sz w:val="24"/>
        </w:rPr>
        <w:t> </w:t>
      </w:r>
      <w:r>
        <w:rPr>
          <w:i/>
          <w:sz w:val="24"/>
        </w:rPr>
        <w:t>The</w:t>
      </w:r>
      <w:r>
        <w:rPr>
          <w:i/>
          <w:spacing w:val="-4"/>
          <w:sz w:val="24"/>
        </w:rPr>
        <w:t> </w:t>
      </w:r>
      <w:r>
        <w:rPr>
          <w:i/>
          <w:sz w:val="24"/>
        </w:rPr>
        <w:t>Royal</w:t>
      </w:r>
      <w:r>
        <w:rPr>
          <w:i/>
          <w:spacing w:val="-3"/>
          <w:sz w:val="24"/>
        </w:rPr>
        <w:t> </w:t>
      </w:r>
      <w:r>
        <w:rPr>
          <w:i/>
          <w:sz w:val="24"/>
        </w:rPr>
        <w:t>Swedish</w:t>
      </w:r>
      <w:r>
        <w:rPr>
          <w:i/>
          <w:spacing w:val="-3"/>
          <w:sz w:val="24"/>
        </w:rPr>
        <w:t> </w:t>
      </w:r>
      <w:r>
        <w:rPr>
          <w:i/>
          <w:sz w:val="24"/>
        </w:rPr>
        <w:t>Academy</w:t>
      </w:r>
      <w:r>
        <w:rPr>
          <w:i/>
          <w:spacing w:val="-4"/>
          <w:sz w:val="24"/>
        </w:rPr>
        <w:t> </w:t>
      </w:r>
      <w:r>
        <w:rPr>
          <w:i/>
          <w:sz w:val="24"/>
        </w:rPr>
        <w:t>of</w:t>
      </w:r>
      <w:r>
        <w:rPr>
          <w:i/>
          <w:spacing w:val="-3"/>
          <w:sz w:val="24"/>
        </w:rPr>
        <w:t> </w:t>
      </w:r>
      <w:r>
        <w:rPr>
          <w:i/>
          <w:sz w:val="24"/>
        </w:rPr>
        <w:t>Sciences, </w:t>
      </w:r>
      <w:r>
        <w:rPr>
          <w:sz w:val="24"/>
        </w:rPr>
        <w:t>46,</w:t>
      </w:r>
      <w:r>
        <w:rPr>
          <w:spacing w:val="-3"/>
          <w:sz w:val="24"/>
        </w:rPr>
        <w:t> </w:t>
      </w:r>
      <w:r>
        <w:rPr>
          <w:sz w:val="24"/>
        </w:rPr>
        <w:t>513–531.</w:t>
      </w:r>
      <w:r>
        <w:rPr>
          <w:spacing w:val="-3"/>
          <w:sz w:val="24"/>
        </w:rPr>
        <w:t> </w:t>
      </w:r>
      <w:r>
        <w:rPr>
          <w:sz w:val="24"/>
        </w:rPr>
        <w:t>Doi</w:t>
      </w:r>
      <w:r>
        <w:rPr>
          <w:spacing w:val="-1"/>
          <w:sz w:val="24"/>
        </w:rPr>
        <w:t> </w:t>
      </w:r>
      <w:r>
        <w:rPr>
          <w:sz w:val="24"/>
        </w:rPr>
        <w:t>10.1007/S13280-017- </w:t>
      </w:r>
      <w:r>
        <w:rPr>
          <w:spacing w:val="-2"/>
          <w:sz w:val="24"/>
        </w:rPr>
        <w:t>0912-Z.</w:t>
      </w:r>
    </w:p>
    <w:p>
      <w:pPr>
        <w:pStyle w:val="BodyText"/>
      </w:pPr>
    </w:p>
    <w:p>
      <w:pPr>
        <w:pStyle w:val="BodyText"/>
        <w:ind w:left="115"/>
      </w:pPr>
      <w:r>
        <w:rPr/>
        <w:t>Davis,</w:t>
      </w:r>
      <w:r>
        <w:rPr>
          <w:spacing w:val="-1"/>
        </w:rPr>
        <w:t> </w:t>
      </w:r>
      <w:r>
        <w:rPr/>
        <w:t>S.</w:t>
      </w:r>
      <w:r>
        <w:rPr>
          <w:spacing w:val="-1"/>
        </w:rPr>
        <w:t> </w:t>
      </w:r>
      <w:r>
        <w:rPr/>
        <w:t>&amp;</w:t>
      </w:r>
      <w:r>
        <w:rPr>
          <w:spacing w:val="-3"/>
        </w:rPr>
        <w:t> </w:t>
      </w:r>
      <w:r>
        <w:rPr/>
        <w:t>de-Wiest, R.</w:t>
      </w:r>
      <w:r>
        <w:rPr>
          <w:spacing w:val="-1"/>
        </w:rPr>
        <w:t> </w:t>
      </w:r>
      <w:r>
        <w:rPr/>
        <w:t>(1970).</w:t>
      </w:r>
      <w:r>
        <w:rPr>
          <w:spacing w:val="-1"/>
        </w:rPr>
        <w:t> </w:t>
      </w:r>
      <w:r>
        <w:rPr>
          <w:i/>
        </w:rPr>
        <w:t>Hydrology.</w:t>
      </w:r>
      <w:r>
        <w:rPr>
          <w:i/>
          <w:spacing w:val="2"/>
        </w:rPr>
        <w:t> </w:t>
      </w:r>
      <w:r>
        <w:rPr/>
        <w:t>Hoboken,</w:t>
      </w:r>
      <w:r>
        <w:rPr>
          <w:spacing w:val="-1"/>
        </w:rPr>
        <w:t> </w:t>
      </w:r>
      <w:r>
        <w:rPr/>
        <w:t>New</w:t>
      </w:r>
      <w:r>
        <w:rPr>
          <w:spacing w:val="-1"/>
        </w:rPr>
        <w:t> </w:t>
      </w:r>
      <w:r>
        <w:rPr/>
        <w:t>Jersey:</w:t>
      </w:r>
      <w:r>
        <w:rPr>
          <w:spacing w:val="1"/>
        </w:rPr>
        <w:t> </w:t>
      </w:r>
      <w:r>
        <w:rPr/>
        <w:t>John</w:t>
      </w:r>
      <w:r>
        <w:rPr>
          <w:spacing w:val="-1"/>
        </w:rPr>
        <w:t> </w:t>
      </w:r>
      <w:r>
        <w:rPr/>
        <w:t>Wiley</w:t>
      </w:r>
      <w:r>
        <w:rPr>
          <w:spacing w:val="-6"/>
        </w:rPr>
        <w:t> </w:t>
      </w:r>
      <w:r>
        <w:rPr/>
        <w:t>and </w:t>
      </w:r>
      <w:r>
        <w:rPr>
          <w:spacing w:val="-2"/>
        </w:rPr>
        <w:t>sons.</w:t>
      </w:r>
    </w:p>
    <w:p>
      <w:pPr>
        <w:spacing w:before="273"/>
        <w:ind w:left="547" w:right="111" w:hanging="432"/>
        <w:jc w:val="both"/>
        <w:rPr>
          <w:sz w:val="24"/>
        </w:rPr>
      </w:pPr>
      <w:r>
        <w:rPr>
          <w:sz w:val="24"/>
        </w:rPr>
        <w:t>Dutta,</w:t>
      </w:r>
      <w:r>
        <w:rPr>
          <w:spacing w:val="-6"/>
          <w:sz w:val="24"/>
        </w:rPr>
        <w:t> </w:t>
      </w:r>
      <w:r>
        <w:rPr>
          <w:sz w:val="24"/>
        </w:rPr>
        <w:t>V.</w:t>
      </w:r>
      <w:r>
        <w:rPr>
          <w:spacing w:val="-6"/>
          <w:sz w:val="24"/>
        </w:rPr>
        <w:t> </w:t>
      </w:r>
      <w:r>
        <w:rPr>
          <w:sz w:val="24"/>
        </w:rPr>
        <w:t>&amp;</w:t>
      </w:r>
      <w:r>
        <w:rPr>
          <w:spacing w:val="-8"/>
          <w:sz w:val="24"/>
        </w:rPr>
        <w:t> </w:t>
      </w:r>
      <w:r>
        <w:rPr>
          <w:sz w:val="24"/>
        </w:rPr>
        <w:t>Tiwari,</w:t>
      </w:r>
      <w:r>
        <w:rPr>
          <w:spacing w:val="-6"/>
          <w:sz w:val="24"/>
        </w:rPr>
        <w:t> </w:t>
      </w:r>
      <w:r>
        <w:rPr>
          <w:sz w:val="24"/>
        </w:rPr>
        <w:t>A.</w:t>
      </w:r>
      <w:r>
        <w:rPr>
          <w:spacing w:val="-6"/>
          <w:sz w:val="24"/>
        </w:rPr>
        <w:t> </w:t>
      </w:r>
      <w:r>
        <w:rPr>
          <w:sz w:val="24"/>
        </w:rPr>
        <w:t>P.</w:t>
      </w:r>
      <w:r>
        <w:rPr>
          <w:spacing w:val="-6"/>
          <w:sz w:val="24"/>
        </w:rPr>
        <w:t> </w:t>
      </w:r>
      <w:r>
        <w:rPr>
          <w:sz w:val="24"/>
        </w:rPr>
        <w:t>(2005).</w:t>
      </w:r>
      <w:r>
        <w:rPr>
          <w:spacing w:val="-7"/>
          <w:sz w:val="24"/>
        </w:rPr>
        <w:t> </w:t>
      </w:r>
      <w:r>
        <w:rPr>
          <w:sz w:val="24"/>
        </w:rPr>
        <w:t>Cost</w:t>
      </w:r>
      <w:r>
        <w:rPr>
          <w:spacing w:val="-5"/>
          <w:sz w:val="24"/>
        </w:rPr>
        <w:t> </w:t>
      </w:r>
      <w:r>
        <w:rPr>
          <w:sz w:val="24"/>
        </w:rPr>
        <w:t>of</w:t>
      </w:r>
      <w:r>
        <w:rPr>
          <w:spacing w:val="-7"/>
          <w:sz w:val="24"/>
        </w:rPr>
        <w:t> </w:t>
      </w:r>
      <w:r>
        <w:rPr>
          <w:sz w:val="24"/>
        </w:rPr>
        <w:t>services</w:t>
      </w:r>
      <w:r>
        <w:rPr>
          <w:spacing w:val="-6"/>
          <w:sz w:val="24"/>
        </w:rPr>
        <w:t> </w:t>
      </w:r>
      <w:r>
        <w:rPr>
          <w:sz w:val="24"/>
        </w:rPr>
        <w:t>and</w:t>
      </w:r>
      <w:r>
        <w:rPr>
          <w:spacing w:val="-6"/>
          <w:sz w:val="24"/>
        </w:rPr>
        <w:t> </w:t>
      </w:r>
      <w:r>
        <w:rPr>
          <w:sz w:val="24"/>
        </w:rPr>
        <w:t>willingness</w:t>
      </w:r>
      <w:r>
        <w:rPr>
          <w:spacing w:val="-5"/>
          <w:sz w:val="24"/>
        </w:rPr>
        <w:t> </w:t>
      </w:r>
      <w:r>
        <w:rPr>
          <w:sz w:val="24"/>
        </w:rPr>
        <w:t>to</w:t>
      </w:r>
      <w:r>
        <w:rPr>
          <w:spacing w:val="-5"/>
          <w:sz w:val="24"/>
        </w:rPr>
        <w:t> </w:t>
      </w:r>
      <w:r>
        <w:rPr>
          <w:sz w:val="24"/>
        </w:rPr>
        <w:t>pay</w:t>
      </w:r>
      <w:r>
        <w:rPr>
          <w:spacing w:val="-8"/>
          <w:sz w:val="24"/>
        </w:rPr>
        <w:t> </w:t>
      </w:r>
      <w:r>
        <w:rPr>
          <w:sz w:val="24"/>
        </w:rPr>
        <w:t>for</w:t>
      </w:r>
      <w:r>
        <w:rPr>
          <w:spacing w:val="-7"/>
          <w:sz w:val="24"/>
        </w:rPr>
        <w:t> </w:t>
      </w:r>
      <w:r>
        <w:rPr>
          <w:sz w:val="24"/>
        </w:rPr>
        <w:t>reliable</w:t>
      </w:r>
      <w:r>
        <w:rPr>
          <w:spacing w:val="-6"/>
          <w:sz w:val="24"/>
        </w:rPr>
        <w:t> </w:t>
      </w:r>
      <w:r>
        <w:rPr>
          <w:sz w:val="24"/>
        </w:rPr>
        <w:t>urban</w:t>
      </w:r>
      <w:r>
        <w:rPr>
          <w:spacing w:val="-6"/>
          <w:sz w:val="24"/>
        </w:rPr>
        <w:t> </w:t>
      </w:r>
      <w:r>
        <w:rPr>
          <w:sz w:val="24"/>
        </w:rPr>
        <w:t>water supply: A study from Delhi, India. </w:t>
      </w:r>
      <w:r>
        <w:rPr>
          <w:i/>
          <w:sz w:val="24"/>
        </w:rPr>
        <w:t>Water Economics, Statistics and Finance, </w:t>
      </w:r>
      <w:r>
        <w:rPr>
          <w:sz w:val="24"/>
        </w:rPr>
        <w:t>5, 135-144.</w:t>
      </w:r>
    </w:p>
    <w:p>
      <w:pPr>
        <w:spacing w:after="0"/>
        <w:jc w:val="both"/>
        <w:rPr>
          <w:sz w:val="24"/>
        </w:rPr>
        <w:sectPr>
          <w:pgSz w:w="12240" w:h="15840"/>
          <w:pgMar w:header="0" w:footer="1068" w:top="1340" w:bottom="1260" w:left="1440" w:right="1300"/>
        </w:sectPr>
      </w:pPr>
    </w:p>
    <w:p>
      <w:pPr>
        <w:pStyle w:val="BodyText"/>
        <w:spacing w:before="83"/>
        <w:ind w:left="547" w:right="106" w:hanging="432"/>
        <w:jc w:val="both"/>
      </w:pPr>
      <w:r>
        <w:rPr/>
        <w:t>Easterby-Smith, M., Thorpe, R., Jackson, P. &amp; Lowe, A. (2008). </w:t>
      </w:r>
      <w:r>
        <w:rPr>
          <w:i/>
        </w:rPr>
        <w:t>Management research </w:t>
      </w:r>
      <w:r>
        <w:rPr/>
        <w:t>(3</w:t>
      </w:r>
      <w:r>
        <w:rPr>
          <w:vertAlign w:val="superscript"/>
        </w:rPr>
        <w:t>rd</w:t>
      </w:r>
      <w:r>
        <w:rPr>
          <w:vertAlign w:val="baseline"/>
        </w:rPr>
        <w:t> edition) Sage: London.</w:t>
      </w:r>
    </w:p>
    <w:p>
      <w:pPr>
        <w:spacing w:before="0"/>
        <w:ind w:left="547" w:right="108" w:hanging="432"/>
        <w:jc w:val="both"/>
        <w:rPr>
          <w:sz w:val="24"/>
        </w:rPr>
      </w:pPr>
      <w:r>
        <w:rPr>
          <w:color w:val="212121"/>
          <w:sz w:val="24"/>
        </w:rPr>
        <w:t>Eichelberger, L. (2018). Household water insecurity and its cultural dimensions: preliminary results</w:t>
      </w:r>
      <w:r>
        <w:rPr>
          <w:color w:val="212121"/>
          <w:spacing w:val="-15"/>
          <w:sz w:val="24"/>
        </w:rPr>
        <w:t> </w:t>
      </w:r>
      <w:r>
        <w:rPr>
          <w:color w:val="212121"/>
          <w:sz w:val="24"/>
        </w:rPr>
        <w:t>from</w:t>
      </w:r>
      <w:r>
        <w:rPr>
          <w:color w:val="212121"/>
          <w:spacing w:val="-15"/>
          <w:sz w:val="24"/>
        </w:rPr>
        <w:t> </w:t>
      </w:r>
      <w:r>
        <w:rPr>
          <w:color w:val="212121"/>
          <w:sz w:val="24"/>
        </w:rPr>
        <w:t>Newtok,</w:t>
      </w:r>
      <w:r>
        <w:rPr>
          <w:color w:val="212121"/>
          <w:spacing w:val="-15"/>
          <w:sz w:val="24"/>
        </w:rPr>
        <w:t> </w:t>
      </w:r>
      <w:r>
        <w:rPr>
          <w:color w:val="212121"/>
          <w:sz w:val="24"/>
        </w:rPr>
        <w:t>Alaska.</w:t>
      </w:r>
      <w:r>
        <w:rPr>
          <w:color w:val="212121"/>
          <w:spacing w:val="-15"/>
          <w:sz w:val="24"/>
        </w:rPr>
        <w:t> </w:t>
      </w:r>
      <w:r>
        <w:rPr>
          <w:i/>
          <w:color w:val="212121"/>
          <w:sz w:val="24"/>
        </w:rPr>
        <w:t>Environmental</w:t>
      </w:r>
      <w:r>
        <w:rPr>
          <w:i/>
          <w:color w:val="212121"/>
          <w:spacing w:val="-15"/>
          <w:sz w:val="24"/>
        </w:rPr>
        <w:t> </w:t>
      </w:r>
      <w:r>
        <w:rPr>
          <w:i/>
          <w:color w:val="212121"/>
          <w:sz w:val="24"/>
        </w:rPr>
        <w:t>Science</w:t>
      </w:r>
      <w:r>
        <w:rPr>
          <w:i/>
          <w:color w:val="212121"/>
          <w:spacing w:val="-15"/>
          <w:sz w:val="24"/>
        </w:rPr>
        <w:t> </w:t>
      </w:r>
      <w:r>
        <w:rPr>
          <w:i/>
          <w:color w:val="212121"/>
          <w:sz w:val="24"/>
        </w:rPr>
        <w:t>and</w:t>
      </w:r>
      <w:r>
        <w:rPr>
          <w:i/>
          <w:color w:val="212121"/>
          <w:spacing w:val="-15"/>
          <w:sz w:val="24"/>
        </w:rPr>
        <w:t> </w:t>
      </w:r>
      <w:r>
        <w:rPr>
          <w:i/>
          <w:color w:val="212121"/>
          <w:sz w:val="24"/>
        </w:rPr>
        <w:t>Pollution</w:t>
      </w:r>
      <w:r>
        <w:rPr>
          <w:i/>
          <w:color w:val="212121"/>
          <w:spacing w:val="-15"/>
          <w:sz w:val="24"/>
        </w:rPr>
        <w:t> </w:t>
      </w:r>
      <w:r>
        <w:rPr>
          <w:i/>
          <w:color w:val="212121"/>
          <w:sz w:val="24"/>
        </w:rPr>
        <w:t>Research</w:t>
      </w:r>
      <w:r>
        <w:rPr>
          <w:color w:val="212121"/>
          <w:sz w:val="24"/>
        </w:rPr>
        <w:t>,</w:t>
      </w:r>
      <w:r>
        <w:rPr>
          <w:color w:val="212121"/>
          <w:spacing w:val="-15"/>
          <w:sz w:val="24"/>
        </w:rPr>
        <w:t> </w:t>
      </w:r>
      <w:r>
        <w:rPr>
          <w:i/>
          <w:color w:val="212121"/>
          <w:sz w:val="24"/>
        </w:rPr>
        <w:t>25</w:t>
      </w:r>
      <w:r>
        <w:rPr>
          <w:color w:val="212121"/>
          <w:sz w:val="24"/>
        </w:rPr>
        <w:t>(33),</w:t>
      </w:r>
      <w:r>
        <w:rPr>
          <w:color w:val="212121"/>
          <w:spacing w:val="-15"/>
          <w:sz w:val="24"/>
        </w:rPr>
        <w:t> </w:t>
      </w:r>
      <w:r>
        <w:rPr>
          <w:color w:val="212121"/>
          <w:sz w:val="24"/>
        </w:rPr>
        <w:t>32938- </w:t>
      </w:r>
      <w:r>
        <w:rPr>
          <w:color w:val="212121"/>
          <w:spacing w:val="-2"/>
          <w:sz w:val="24"/>
        </w:rPr>
        <w:t>32951.</w:t>
      </w:r>
    </w:p>
    <w:p>
      <w:pPr>
        <w:pStyle w:val="BodyText"/>
      </w:pPr>
    </w:p>
    <w:p>
      <w:pPr>
        <w:pStyle w:val="BodyText"/>
        <w:ind w:left="547" w:right="112" w:hanging="432"/>
        <w:jc w:val="both"/>
      </w:pPr>
      <w:r>
        <w:rPr/>
        <w:t>El-Gafy, I.K. (2018). The water poverty index as an assistant tool for drawing strategies of the Egyptian water sector. </w:t>
      </w:r>
      <w:r>
        <w:rPr>
          <w:i/>
        </w:rPr>
        <w:t>Ain shams Engineering Journal, </w:t>
      </w:r>
      <w:r>
        <w:rPr/>
        <w:t>9, 173-186.</w:t>
      </w:r>
    </w:p>
    <w:p>
      <w:pPr>
        <w:pStyle w:val="BodyText"/>
      </w:pPr>
    </w:p>
    <w:p>
      <w:pPr>
        <w:spacing w:before="0"/>
        <w:ind w:left="547" w:right="106" w:hanging="432"/>
        <w:jc w:val="both"/>
        <w:rPr>
          <w:sz w:val="24"/>
        </w:rPr>
      </w:pPr>
      <w:r>
        <w:rPr>
          <w:sz w:val="24"/>
        </w:rPr>
        <w:t>Esty,</w:t>
      </w:r>
      <w:r>
        <w:rPr>
          <w:spacing w:val="-15"/>
          <w:sz w:val="24"/>
        </w:rPr>
        <w:t> </w:t>
      </w:r>
      <w:r>
        <w:rPr>
          <w:sz w:val="24"/>
        </w:rPr>
        <w:t>D.,</w:t>
      </w:r>
      <w:r>
        <w:rPr>
          <w:spacing w:val="-15"/>
          <w:sz w:val="24"/>
        </w:rPr>
        <w:t> </w:t>
      </w:r>
      <w:r>
        <w:rPr>
          <w:sz w:val="24"/>
        </w:rPr>
        <w:t>Levy,</w:t>
      </w:r>
      <w:r>
        <w:rPr>
          <w:spacing w:val="-15"/>
          <w:sz w:val="24"/>
        </w:rPr>
        <w:t> </w:t>
      </w:r>
      <w:r>
        <w:rPr>
          <w:sz w:val="24"/>
        </w:rPr>
        <w:t>M.,</w:t>
      </w:r>
      <w:r>
        <w:rPr>
          <w:spacing w:val="-15"/>
          <w:sz w:val="24"/>
        </w:rPr>
        <w:t> </w:t>
      </w:r>
      <w:r>
        <w:rPr>
          <w:sz w:val="24"/>
        </w:rPr>
        <w:t>Srebotnjak,</w:t>
      </w:r>
      <w:r>
        <w:rPr>
          <w:spacing w:val="-15"/>
          <w:sz w:val="24"/>
        </w:rPr>
        <w:t> </w:t>
      </w:r>
      <w:r>
        <w:rPr>
          <w:sz w:val="24"/>
        </w:rPr>
        <w:t>T.,</w:t>
      </w:r>
      <w:r>
        <w:rPr>
          <w:spacing w:val="-15"/>
          <w:sz w:val="24"/>
        </w:rPr>
        <w:t> </w:t>
      </w:r>
      <w:r>
        <w:rPr>
          <w:sz w:val="24"/>
        </w:rPr>
        <w:t>&amp;</w:t>
      </w:r>
      <w:r>
        <w:rPr>
          <w:spacing w:val="-15"/>
          <w:sz w:val="24"/>
        </w:rPr>
        <w:t> </w:t>
      </w:r>
      <w:r>
        <w:rPr>
          <w:sz w:val="24"/>
        </w:rPr>
        <w:t>de</w:t>
      </w:r>
      <w:r>
        <w:rPr>
          <w:spacing w:val="-15"/>
          <w:sz w:val="24"/>
        </w:rPr>
        <w:t> </w:t>
      </w:r>
      <w:r>
        <w:rPr>
          <w:sz w:val="24"/>
        </w:rPr>
        <w:t>Sherbinin,</w:t>
      </w:r>
      <w:r>
        <w:rPr>
          <w:spacing w:val="-15"/>
          <w:sz w:val="24"/>
        </w:rPr>
        <w:t> </w:t>
      </w:r>
      <w:r>
        <w:rPr>
          <w:sz w:val="24"/>
        </w:rPr>
        <w:t>A.</w:t>
      </w:r>
      <w:r>
        <w:rPr>
          <w:spacing w:val="-15"/>
          <w:sz w:val="24"/>
        </w:rPr>
        <w:t> </w:t>
      </w:r>
      <w:r>
        <w:rPr>
          <w:sz w:val="24"/>
        </w:rPr>
        <w:t>(2005).</w:t>
      </w:r>
      <w:r>
        <w:rPr>
          <w:spacing w:val="-15"/>
          <w:sz w:val="24"/>
        </w:rPr>
        <w:t> </w:t>
      </w:r>
      <w:r>
        <w:rPr>
          <w:i/>
          <w:sz w:val="24"/>
        </w:rPr>
        <w:t>Environmental</w:t>
      </w:r>
      <w:r>
        <w:rPr>
          <w:i/>
          <w:spacing w:val="-15"/>
          <w:sz w:val="24"/>
        </w:rPr>
        <w:t> </w:t>
      </w:r>
      <w:r>
        <w:rPr>
          <w:i/>
          <w:sz w:val="24"/>
        </w:rPr>
        <w:t>sustainability</w:t>
      </w:r>
      <w:r>
        <w:rPr>
          <w:i/>
          <w:spacing w:val="-15"/>
          <w:sz w:val="24"/>
        </w:rPr>
        <w:t> </w:t>
      </w:r>
      <w:r>
        <w:rPr>
          <w:i/>
          <w:sz w:val="24"/>
        </w:rPr>
        <w:t>index. Benchmarking national environmental stewardship. </w:t>
      </w:r>
      <w:r>
        <w:rPr>
          <w:sz w:val="24"/>
        </w:rPr>
        <w:t>New haven: Yale center for environmental law and policy.</w:t>
      </w:r>
    </w:p>
    <w:p>
      <w:pPr>
        <w:pStyle w:val="BodyText"/>
        <w:spacing w:before="1"/>
      </w:pPr>
    </w:p>
    <w:p>
      <w:pPr>
        <w:pStyle w:val="BodyText"/>
        <w:ind w:left="115"/>
      </w:pPr>
      <w:r>
        <w:rPr/>
        <w:t>Falkenmark,</w:t>
      </w:r>
      <w:r>
        <w:rPr>
          <w:spacing w:val="-3"/>
        </w:rPr>
        <w:t> </w:t>
      </w:r>
      <w:r>
        <w:rPr/>
        <w:t>M.</w:t>
      </w:r>
      <w:r>
        <w:rPr>
          <w:spacing w:val="-2"/>
        </w:rPr>
        <w:t> </w:t>
      </w:r>
      <w:r>
        <w:rPr/>
        <w:t>(1986).</w:t>
      </w:r>
      <w:r>
        <w:rPr>
          <w:spacing w:val="-1"/>
        </w:rPr>
        <w:t> </w:t>
      </w:r>
      <w:r>
        <w:rPr/>
        <w:t>Fresh</w:t>
      </w:r>
      <w:r>
        <w:rPr>
          <w:spacing w:val="-2"/>
        </w:rPr>
        <w:t> </w:t>
      </w:r>
      <w:r>
        <w:rPr/>
        <w:t>water:</w:t>
      </w:r>
      <w:r>
        <w:rPr>
          <w:spacing w:val="-2"/>
        </w:rPr>
        <w:t> </w:t>
      </w:r>
      <w:r>
        <w:rPr/>
        <w:t>Time</w:t>
      </w:r>
      <w:r>
        <w:rPr>
          <w:spacing w:val="-3"/>
        </w:rPr>
        <w:t> </w:t>
      </w:r>
      <w:r>
        <w:rPr/>
        <w:t>for</w:t>
      </w:r>
      <w:r>
        <w:rPr>
          <w:spacing w:val="-2"/>
        </w:rPr>
        <w:t> </w:t>
      </w:r>
      <w:r>
        <w:rPr/>
        <w:t>a</w:t>
      </w:r>
      <w:r>
        <w:rPr>
          <w:spacing w:val="-2"/>
        </w:rPr>
        <w:t> </w:t>
      </w:r>
      <w:r>
        <w:rPr/>
        <w:t>modified</w:t>
      </w:r>
      <w:r>
        <w:rPr>
          <w:spacing w:val="-3"/>
        </w:rPr>
        <w:t> </w:t>
      </w:r>
      <w:r>
        <w:rPr/>
        <w:t>approach. </w:t>
      </w:r>
      <w:r>
        <w:rPr>
          <w:i/>
        </w:rPr>
        <w:t>Ambio</w:t>
      </w:r>
      <w:r>
        <w:rPr>
          <w:i/>
          <w:spacing w:val="-2"/>
        </w:rPr>
        <w:t> </w:t>
      </w:r>
      <w:r>
        <w:rPr/>
        <w:t>15,</w:t>
      </w:r>
      <w:r>
        <w:rPr>
          <w:spacing w:val="-3"/>
        </w:rPr>
        <w:t> </w:t>
      </w:r>
      <w:r>
        <w:rPr>
          <w:spacing w:val="-2"/>
        </w:rPr>
        <w:t>192–200.</w:t>
      </w:r>
    </w:p>
    <w:p>
      <w:pPr>
        <w:pStyle w:val="BodyText"/>
      </w:pPr>
    </w:p>
    <w:p>
      <w:pPr>
        <w:pStyle w:val="BodyText"/>
        <w:ind w:left="547" w:right="111" w:hanging="432"/>
        <w:jc w:val="both"/>
      </w:pPr>
      <w:r>
        <w:rPr/>
        <w:t>Falkenmark, M. (1989). The massive water scarcity now threatening Africa. Why isn’t it been addressed? </w:t>
      </w:r>
      <w:r>
        <w:rPr>
          <w:i/>
        </w:rPr>
        <w:t>Ambio, </w:t>
      </w:r>
      <w:r>
        <w:rPr/>
        <w:t>18, 192-200</w:t>
      </w:r>
    </w:p>
    <w:p>
      <w:pPr>
        <w:pStyle w:val="BodyText"/>
      </w:pPr>
    </w:p>
    <w:p>
      <w:pPr>
        <w:spacing w:before="0"/>
        <w:ind w:left="547" w:right="106" w:hanging="432"/>
        <w:jc w:val="both"/>
        <w:rPr>
          <w:sz w:val="24"/>
        </w:rPr>
      </w:pPr>
      <w:r>
        <w:rPr>
          <w:sz w:val="24"/>
        </w:rPr>
        <w:t>Falkenmark,</w:t>
      </w:r>
      <w:r>
        <w:rPr>
          <w:spacing w:val="-9"/>
          <w:sz w:val="24"/>
        </w:rPr>
        <w:t> </w:t>
      </w:r>
      <w:r>
        <w:rPr>
          <w:sz w:val="24"/>
        </w:rPr>
        <w:t>M.</w:t>
      </w:r>
      <w:r>
        <w:rPr>
          <w:spacing w:val="-8"/>
          <w:sz w:val="24"/>
        </w:rPr>
        <w:t> </w:t>
      </w:r>
      <w:r>
        <w:rPr>
          <w:sz w:val="24"/>
        </w:rPr>
        <w:t>(1994).</w:t>
      </w:r>
      <w:r>
        <w:rPr>
          <w:spacing w:val="-7"/>
          <w:sz w:val="24"/>
        </w:rPr>
        <w:t> </w:t>
      </w:r>
      <w:r>
        <w:rPr>
          <w:sz w:val="24"/>
        </w:rPr>
        <w:t>The</w:t>
      </w:r>
      <w:r>
        <w:rPr>
          <w:spacing w:val="-9"/>
          <w:sz w:val="24"/>
        </w:rPr>
        <w:t> </w:t>
      </w:r>
      <w:r>
        <w:rPr>
          <w:sz w:val="24"/>
        </w:rPr>
        <w:t>Dangerous</w:t>
      </w:r>
      <w:r>
        <w:rPr>
          <w:spacing w:val="-9"/>
          <w:sz w:val="24"/>
        </w:rPr>
        <w:t> </w:t>
      </w:r>
      <w:r>
        <w:rPr>
          <w:sz w:val="24"/>
        </w:rPr>
        <w:t>Spiral:</w:t>
      </w:r>
      <w:r>
        <w:rPr>
          <w:spacing w:val="-8"/>
          <w:sz w:val="24"/>
        </w:rPr>
        <w:t> </w:t>
      </w:r>
      <w:r>
        <w:rPr>
          <w:sz w:val="24"/>
        </w:rPr>
        <w:t>Near-future</w:t>
      </w:r>
      <w:r>
        <w:rPr>
          <w:spacing w:val="-9"/>
          <w:sz w:val="24"/>
        </w:rPr>
        <w:t> </w:t>
      </w:r>
      <w:r>
        <w:rPr>
          <w:sz w:val="24"/>
        </w:rPr>
        <w:t>risks</w:t>
      </w:r>
      <w:r>
        <w:rPr>
          <w:spacing w:val="-8"/>
          <w:sz w:val="24"/>
        </w:rPr>
        <w:t> </w:t>
      </w:r>
      <w:r>
        <w:rPr>
          <w:sz w:val="24"/>
        </w:rPr>
        <w:t>for</w:t>
      </w:r>
      <w:r>
        <w:rPr>
          <w:spacing w:val="-10"/>
          <w:sz w:val="24"/>
        </w:rPr>
        <w:t> </w:t>
      </w:r>
      <w:r>
        <w:rPr>
          <w:sz w:val="24"/>
        </w:rPr>
        <w:t>water</w:t>
      </w:r>
      <w:r>
        <w:rPr>
          <w:spacing w:val="-7"/>
          <w:sz w:val="24"/>
        </w:rPr>
        <w:t> </w:t>
      </w:r>
      <w:r>
        <w:rPr>
          <w:sz w:val="24"/>
        </w:rPr>
        <w:t>related</w:t>
      </w:r>
      <w:r>
        <w:rPr>
          <w:spacing w:val="-8"/>
          <w:sz w:val="24"/>
        </w:rPr>
        <w:t> </w:t>
      </w:r>
      <w:r>
        <w:rPr>
          <w:sz w:val="24"/>
        </w:rPr>
        <w:t>ecoconflicts</w:t>
      </w:r>
      <w:r>
        <w:rPr>
          <w:spacing w:val="-8"/>
          <w:sz w:val="24"/>
        </w:rPr>
        <w:t> </w:t>
      </w:r>
      <w:r>
        <w:rPr>
          <w:sz w:val="24"/>
        </w:rPr>
        <w:t>in ICRC.</w:t>
      </w:r>
      <w:r>
        <w:rPr>
          <w:spacing w:val="-2"/>
          <w:sz w:val="24"/>
        </w:rPr>
        <w:t> </w:t>
      </w:r>
      <w:r>
        <w:rPr>
          <w:i/>
          <w:sz w:val="24"/>
        </w:rPr>
        <w:t>Water</w:t>
      </w:r>
      <w:r>
        <w:rPr>
          <w:i/>
          <w:spacing w:val="-4"/>
          <w:sz w:val="24"/>
        </w:rPr>
        <w:t> </w:t>
      </w:r>
      <w:r>
        <w:rPr>
          <w:i/>
          <w:sz w:val="24"/>
        </w:rPr>
        <w:t>and</w:t>
      </w:r>
      <w:r>
        <w:rPr>
          <w:i/>
          <w:spacing w:val="-4"/>
          <w:sz w:val="24"/>
        </w:rPr>
        <w:t> </w:t>
      </w:r>
      <w:r>
        <w:rPr>
          <w:i/>
          <w:sz w:val="24"/>
        </w:rPr>
        <w:t>war</w:t>
      </w:r>
      <w:r>
        <w:rPr>
          <w:sz w:val="24"/>
        </w:rPr>
        <w:t>.</w:t>
      </w:r>
      <w:r>
        <w:rPr>
          <w:spacing w:val="-4"/>
          <w:sz w:val="24"/>
        </w:rPr>
        <w:t> </w:t>
      </w:r>
      <w:r>
        <w:rPr>
          <w:i/>
          <w:sz w:val="24"/>
        </w:rPr>
        <w:t>Symposium</w:t>
      </w:r>
      <w:r>
        <w:rPr>
          <w:i/>
          <w:spacing w:val="-4"/>
          <w:sz w:val="24"/>
        </w:rPr>
        <w:t> </w:t>
      </w:r>
      <w:r>
        <w:rPr>
          <w:i/>
          <w:sz w:val="24"/>
        </w:rPr>
        <w:t>on</w:t>
      </w:r>
      <w:r>
        <w:rPr>
          <w:i/>
          <w:spacing w:val="-4"/>
          <w:sz w:val="24"/>
        </w:rPr>
        <w:t> </w:t>
      </w:r>
      <w:r>
        <w:rPr>
          <w:i/>
          <w:sz w:val="24"/>
        </w:rPr>
        <w:t>water</w:t>
      </w:r>
      <w:r>
        <w:rPr>
          <w:i/>
          <w:spacing w:val="-4"/>
          <w:sz w:val="24"/>
        </w:rPr>
        <w:t> </w:t>
      </w:r>
      <w:r>
        <w:rPr>
          <w:i/>
          <w:sz w:val="24"/>
        </w:rPr>
        <w:t>in</w:t>
      </w:r>
      <w:r>
        <w:rPr>
          <w:i/>
          <w:spacing w:val="-4"/>
          <w:sz w:val="24"/>
        </w:rPr>
        <w:t> </w:t>
      </w:r>
      <w:r>
        <w:rPr>
          <w:i/>
          <w:sz w:val="24"/>
        </w:rPr>
        <w:t>armed</w:t>
      </w:r>
      <w:r>
        <w:rPr>
          <w:i/>
          <w:spacing w:val="-4"/>
          <w:sz w:val="24"/>
        </w:rPr>
        <w:t> </w:t>
      </w:r>
      <w:r>
        <w:rPr>
          <w:i/>
          <w:sz w:val="24"/>
        </w:rPr>
        <w:t>conflicts.</w:t>
      </w:r>
      <w:r>
        <w:rPr>
          <w:i/>
          <w:spacing w:val="-3"/>
          <w:sz w:val="24"/>
        </w:rPr>
        <w:t> </w:t>
      </w:r>
      <w:r>
        <w:rPr>
          <w:sz w:val="24"/>
        </w:rPr>
        <w:t>Montreux</w:t>
      </w:r>
      <w:r>
        <w:rPr>
          <w:i/>
          <w:sz w:val="24"/>
        </w:rPr>
        <w:t>,</w:t>
      </w:r>
      <w:r>
        <w:rPr>
          <w:i/>
          <w:spacing w:val="-7"/>
          <w:sz w:val="24"/>
        </w:rPr>
        <w:t> </w:t>
      </w:r>
      <w:r>
        <w:rPr>
          <w:i/>
          <w:sz w:val="24"/>
        </w:rPr>
        <w:t>21</w:t>
      </w:r>
      <w:r>
        <w:rPr>
          <w:sz w:val="24"/>
        </w:rPr>
        <w:t>-23</w:t>
      </w:r>
      <w:r>
        <w:rPr>
          <w:spacing w:val="-4"/>
          <w:sz w:val="24"/>
        </w:rPr>
        <w:t> </w:t>
      </w:r>
      <w:r>
        <w:rPr>
          <w:sz w:val="24"/>
        </w:rPr>
        <w:t>November 1994. Geneva: International Committee of the Red Cross.</w:t>
      </w:r>
    </w:p>
    <w:p>
      <w:pPr>
        <w:pStyle w:val="BodyText"/>
      </w:pPr>
    </w:p>
    <w:p>
      <w:pPr>
        <w:spacing w:before="0"/>
        <w:ind w:left="547" w:right="106" w:hanging="432"/>
        <w:jc w:val="both"/>
        <w:rPr>
          <w:sz w:val="24"/>
        </w:rPr>
      </w:pPr>
      <w:r>
        <w:rPr>
          <w:sz w:val="24"/>
        </w:rPr>
        <w:t>Falkenmark,</w:t>
      </w:r>
      <w:r>
        <w:rPr>
          <w:spacing w:val="-10"/>
          <w:sz w:val="24"/>
        </w:rPr>
        <w:t> </w:t>
      </w:r>
      <w:r>
        <w:rPr>
          <w:sz w:val="24"/>
        </w:rPr>
        <w:t>M.</w:t>
      </w:r>
      <w:r>
        <w:rPr>
          <w:spacing w:val="-9"/>
          <w:sz w:val="24"/>
        </w:rPr>
        <w:t> </w:t>
      </w:r>
      <w:r>
        <w:rPr>
          <w:sz w:val="24"/>
        </w:rPr>
        <w:t>(1997).</w:t>
      </w:r>
      <w:r>
        <w:rPr>
          <w:spacing w:val="-10"/>
          <w:sz w:val="24"/>
        </w:rPr>
        <w:t> </w:t>
      </w:r>
      <w:r>
        <w:rPr>
          <w:sz w:val="24"/>
        </w:rPr>
        <w:t>Water</w:t>
      </w:r>
      <w:r>
        <w:rPr>
          <w:spacing w:val="-10"/>
          <w:sz w:val="24"/>
        </w:rPr>
        <w:t> </w:t>
      </w:r>
      <w:r>
        <w:rPr>
          <w:sz w:val="24"/>
        </w:rPr>
        <w:t>scarcity,</w:t>
      </w:r>
      <w:r>
        <w:rPr>
          <w:spacing w:val="-9"/>
          <w:sz w:val="24"/>
        </w:rPr>
        <w:t> </w:t>
      </w:r>
      <w:r>
        <w:rPr>
          <w:sz w:val="24"/>
        </w:rPr>
        <w:t>challenges</w:t>
      </w:r>
      <w:r>
        <w:rPr>
          <w:spacing w:val="-9"/>
          <w:sz w:val="24"/>
        </w:rPr>
        <w:t> </w:t>
      </w:r>
      <w:r>
        <w:rPr>
          <w:sz w:val="24"/>
        </w:rPr>
        <w:t>for</w:t>
      </w:r>
      <w:r>
        <w:rPr>
          <w:spacing w:val="-11"/>
          <w:sz w:val="24"/>
        </w:rPr>
        <w:t> </w:t>
      </w:r>
      <w:r>
        <w:rPr>
          <w:sz w:val="24"/>
        </w:rPr>
        <w:t>the</w:t>
      </w:r>
      <w:r>
        <w:rPr>
          <w:spacing w:val="-10"/>
          <w:sz w:val="24"/>
        </w:rPr>
        <w:t> </w:t>
      </w:r>
      <w:r>
        <w:rPr>
          <w:sz w:val="24"/>
        </w:rPr>
        <w:t>future.</w:t>
      </w:r>
      <w:r>
        <w:rPr>
          <w:spacing w:val="-4"/>
          <w:sz w:val="24"/>
        </w:rPr>
        <w:t> </w:t>
      </w:r>
      <w:r>
        <w:rPr>
          <w:sz w:val="24"/>
        </w:rPr>
        <w:t>In</w:t>
      </w:r>
      <w:r>
        <w:rPr>
          <w:spacing w:val="-9"/>
          <w:sz w:val="24"/>
        </w:rPr>
        <w:t> </w:t>
      </w:r>
      <w:r>
        <w:rPr>
          <w:sz w:val="24"/>
        </w:rPr>
        <w:t>Brans,</w:t>
      </w:r>
      <w:r>
        <w:rPr>
          <w:spacing w:val="-9"/>
          <w:sz w:val="24"/>
        </w:rPr>
        <w:t> </w:t>
      </w:r>
      <w:r>
        <w:rPr>
          <w:sz w:val="24"/>
        </w:rPr>
        <w:t>E.H.P.,</w:t>
      </w:r>
      <w:r>
        <w:rPr>
          <w:spacing w:val="-9"/>
          <w:sz w:val="24"/>
        </w:rPr>
        <w:t> </w:t>
      </w:r>
      <w:r>
        <w:rPr>
          <w:sz w:val="24"/>
        </w:rPr>
        <w:t>de</w:t>
      </w:r>
      <w:r>
        <w:rPr>
          <w:spacing w:val="-10"/>
          <w:sz w:val="24"/>
        </w:rPr>
        <w:t> </w:t>
      </w:r>
      <w:r>
        <w:rPr>
          <w:sz w:val="24"/>
        </w:rPr>
        <w:t>Haan,</w:t>
      </w:r>
      <w:r>
        <w:rPr>
          <w:spacing w:val="-9"/>
          <w:sz w:val="24"/>
        </w:rPr>
        <w:t> </w:t>
      </w:r>
      <w:r>
        <w:rPr>
          <w:sz w:val="24"/>
        </w:rPr>
        <w:t>E.J., Nollkaemper, A. &amp; Rinzema, J. (eds.)</w:t>
      </w:r>
      <w:r>
        <w:rPr>
          <w:spacing w:val="40"/>
          <w:sz w:val="24"/>
        </w:rPr>
        <w:t> </w:t>
      </w:r>
      <w:r>
        <w:rPr>
          <w:sz w:val="24"/>
        </w:rPr>
        <w:t>1997. </w:t>
      </w:r>
      <w:r>
        <w:rPr>
          <w:i/>
          <w:sz w:val="24"/>
        </w:rPr>
        <w:t>The scarcity of water: Emerging legal and policy responses</w:t>
      </w:r>
      <w:r>
        <w:rPr>
          <w:sz w:val="24"/>
        </w:rPr>
        <w:t>. London: Kluwer Law International</w:t>
      </w:r>
    </w:p>
    <w:p>
      <w:pPr>
        <w:pStyle w:val="BodyText"/>
        <w:spacing w:before="1"/>
      </w:pPr>
    </w:p>
    <w:p>
      <w:pPr>
        <w:pStyle w:val="BodyText"/>
        <w:ind w:left="547" w:right="105" w:hanging="432"/>
        <w:jc w:val="both"/>
      </w:pPr>
      <w:r>
        <w:rPr/>
        <w:t>Falkenmark, M., and G. Lindh. (1974). How can we cope with the water resources situation by the year 2015? </w:t>
      </w:r>
      <w:r>
        <w:rPr>
          <w:i/>
        </w:rPr>
        <w:t>Ambio </w:t>
      </w:r>
      <w:r>
        <w:rPr/>
        <w:t>3: 114–122.</w:t>
      </w:r>
    </w:p>
    <w:p>
      <w:pPr>
        <w:pStyle w:val="BodyText"/>
      </w:pPr>
    </w:p>
    <w:p>
      <w:pPr>
        <w:pStyle w:val="BodyText"/>
        <w:ind w:left="547" w:right="105" w:hanging="432"/>
        <w:jc w:val="both"/>
      </w:pPr>
      <w:r>
        <w:rPr/>
        <w:t>Falkenmark, M., Lundqvist, J., &amp; Widstrand, C. (1989). Macro-scale water scarcity requires micro-scale approaches: Aspects of vulnerability in semi-arid development. </w:t>
      </w:r>
      <w:r>
        <w:rPr>
          <w:i/>
        </w:rPr>
        <w:t>Natural Resources Forum, </w:t>
      </w:r>
      <w:r>
        <w:rPr/>
        <w:t>13(4), 258-267.</w:t>
      </w:r>
    </w:p>
    <w:p>
      <w:pPr>
        <w:pStyle w:val="BodyText"/>
      </w:pPr>
    </w:p>
    <w:p>
      <w:pPr>
        <w:pStyle w:val="BodyText"/>
        <w:ind w:left="547" w:right="108" w:hanging="432"/>
        <w:jc w:val="both"/>
      </w:pPr>
      <w:r>
        <w:rPr/>
        <w:t>Feitelson, E., &amp; Chenoweth, J. (2002). Water poverty: Towards a meaningful indicator. </w:t>
      </w:r>
      <w:r>
        <w:rPr>
          <w:i/>
        </w:rPr>
        <w:t>Water Policy, </w:t>
      </w:r>
      <w:r>
        <w:rPr/>
        <w:t>4(3), 263-281.</w:t>
      </w:r>
    </w:p>
    <w:p>
      <w:pPr>
        <w:pStyle w:val="BodyText"/>
      </w:pPr>
    </w:p>
    <w:p>
      <w:pPr>
        <w:pStyle w:val="BodyText"/>
        <w:ind w:left="547" w:right="109" w:hanging="432"/>
        <w:jc w:val="both"/>
      </w:pPr>
      <w:r>
        <w:rPr/>
        <w:t>Fenwick,</w:t>
      </w:r>
      <w:r>
        <w:rPr>
          <w:spacing w:val="-4"/>
        </w:rPr>
        <w:t> </w:t>
      </w:r>
      <w:r>
        <w:rPr/>
        <w:t>C.</w:t>
      </w:r>
      <w:r>
        <w:rPr>
          <w:spacing w:val="-6"/>
        </w:rPr>
        <w:t> </w:t>
      </w:r>
      <w:r>
        <w:rPr/>
        <w:t>(2010).</w:t>
      </w:r>
      <w:r>
        <w:rPr>
          <w:spacing w:val="-3"/>
        </w:rPr>
        <w:t> </w:t>
      </w:r>
      <w:r>
        <w:rPr/>
        <w:t>Identifying</w:t>
      </w:r>
      <w:r>
        <w:rPr>
          <w:spacing w:val="-7"/>
        </w:rPr>
        <w:t> </w:t>
      </w:r>
      <w:r>
        <w:rPr/>
        <w:t>the</w:t>
      </w:r>
      <w:r>
        <w:rPr>
          <w:spacing w:val="-4"/>
        </w:rPr>
        <w:t> </w:t>
      </w:r>
      <w:r>
        <w:rPr/>
        <w:t>water</w:t>
      </w:r>
      <w:r>
        <w:rPr>
          <w:spacing w:val="-6"/>
        </w:rPr>
        <w:t> </w:t>
      </w:r>
      <w:r>
        <w:rPr/>
        <w:t>poor:</w:t>
      </w:r>
      <w:r>
        <w:rPr>
          <w:spacing w:val="-6"/>
        </w:rPr>
        <w:t> </w:t>
      </w:r>
      <w:r>
        <w:rPr/>
        <w:t>an</w:t>
      </w:r>
      <w:r>
        <w:rPr>
          <w:spacing w:val="-4"/>
        </w:rPr>
        <w:t> </w:t>
      </w:r>
      <w:r>
        <w:rPr/>
        <w:t>indicator</w:t>
      </w:r>
      <w:r>
        <w:rPr>
          <w:spacing w:val="-3"/>
        </w:rPr>
        <w:t> </w:t>
      </w:r>
      <w:r>
        <w:rPr/>
        <w:t>approach</w:t>
      </w:r>
      <w:r>
        <w:rPr>
          <w:spacing w:val="-6"/>
        </w:rPr>
        <w:t> </w:t>
      </w:r>
      <w:r>
        <w:rPr/>
        <w:t>to</w:t>
      </w:r>
      <w:r>
        <w:rPr>
          <w:spacing w:val="-3"/>
        </w:rPr>
        <w:t> </w:t>
      </w:r>
      <w:r>
        <w:rPr/>
        <w:t>assessing</w:t>
      </w:r>
      <w:r>
        <w:rPr>
          <w:spacing w:val="-6"/>
        </w:rPr>
        <w:t> </w:t>
      </w:r>
      <w:r>
        <w:rPr/>
        <w:t>water</w:t>
      </w:r>
      <w:r>
        <w:rPr>
          <w:spacing w:val="-6"/>
        </w:rPr>
        <w:t> </w:t>
      </w:r>
      <w:r>
        <w:rPr/>
        <w:t>poverty in Rural Mexico. Ph.D. Thesis, London, United Kingdom: University College London.</w:t>
      </w:r>
    </w:p>
    <w:p>
      <w:pPr>
        <w:pStyle w:val="BodyText"/>
        <w:spacing w:before="1"/>
      </w:pPr>
    </w:p>
    <w:p>
      <w:pPr>
        <w:pStyle w:val="BodyText"/>
        <w:ind w:left="115"/>
      </w:pPr>
      <w:r>
        <w:rPr/>
        <w:t>Franks,</w:t>
      </w:r>
      <w:r>
        <w:rPr>
          <w:spacing w:val="23"/>
        </w:rPr>
        <w:t> </w:t>
      </w:r>
      <w:r>
        <w:rPr/>
        <w:t>T.</w:t>
      </w:r>
      <w:r>
        <w:rPr>
          <w:spacing w:val="25"/>
        </w:rPr>
        <w:t> </w:t>
      </w:r>
      <w:r>
        <w:rPr/>
        <w:t>&amp;</w:t>
      </w:r>
      <w:r>
        <w:rPr>
          <w:spacing w:val="21"/>
        </w:rPr>
        <w:t> </w:t>
      </w:r>
      <w:r>
        <w:rPr/>
        <w:t>Cleaver,</w:t>
      </w:r>
      <w:r>
        <w:rPr>
          <w:spacing w:val="24"/>
        </w:rPr>
        <w:t> </w:t>
      </w:r>
      <w:r>
        <w:rPr/>
        <w:t>F.</w:t>
      </w:r>
      <w:r>
        <w:rPr>
          <w:spacing w:val="24"/>
        </w:rPr>
        <w:t> </w:t>
      </w:r>
      <w:r>
        <w:rPr/>
        <w:t>(2007).</w:t>
      </w:r>
      <w:r>
        <w:rPr>
          <w:spacing w:val="22"/>
        </w:rPr>
        <w:t> </w:t>
      </w:r>
      <w:r>
        <w:rPr/>
        <w:t>Water</w:t>
      </w:r>
      <w:r>
        <w:rPr>
          <w:spacing w:val="23"/>
        </w:rPr>
        <w:t> </w:t>
      </w:r>
      <w:r>
        <w:rPr/>
        <w:t>Governance</w:t>
      </w:r>
      <w:r>
        <w:rPr>
          <w:spacing w:val="24"/>
        </w:rPr>
        <w:t> </w:t>
      </w:r>
      <w:r>
        <w:rPr/>
        <w:t>and</w:t>
      </w:r>
      <w:r>
        <w:rPr>
          <w:spacing w:val="22"/>
        </w:rPr>
        <w:t> </w:t>
      </w:r>
      <w:r>
        <w:rPr/>
        <w:t>Poverty:</w:t>
      </w:r>
      <w:r>
        <w:rPr>
          <w:spacing w:val="23"/>
        </w:rPr>
        <w:t> </w:t>
      </w:r>
      <w:r>
        <w:rPr/>
        <w:t>A</w:t>
      </w:r>
      <w:r>
        <w:rPr>
          <w:spacing w:val="24"/>
        </w:rPr>
        <w:t> </w:t>
      </w:r>
      <w:r>
        <w:rPr/>
        <w:t>Framework</w:t>
      </w:r>
      <w:r>
        <w:rPr>
          <w:spacing w:val="22"/>
        </w:rPr>
        <w:t> </w:t>
      </w:r>
      <w:r>
        <w:rPr/>
        <w:t>for</w:t>
      </w:r>
      <w:r>
        <w:rPr>
          <w:spacing w:val="23"/>
        </w:rPr>
        <w:t> </w:t>
      </w:r>
      <w:r>
        <w:rPr>
          <w:spacing w:val="-2"/>
        </w:rPr>
        <w:t>Analysis.</w:t>
      </w:r>
    </w:p>
    <w:p>
      <w:pPr>
        <w:spacing w:before="0"/>
        <w:ind w:left="547" w:right="0" w:firstLine="0"/>
        <w:jc w:val="left"/>
        <w:rPr>
          <w:sz w:val="24"/>
        </w:rPr>
      </w:pPr>
      <w:r>
        <w:rPr>
          <w:i/>
          <w:sz w:val="24"/>
        </w:rPr>
        <w:t>Progress</w:t>
      </w:r>
      <w:r>
        <w:rPr>
          <w:i/>
          <w:spacing w:val="-2"/>
          <w:sz w:val="24"/>
        </w:rPr>
        <w:t> </w:t>
      </w:r>
      <w:r>
        <w:rPr>
          <w:i/>
          <w:sz w:val="24"/>
        </w:rPr>
        <w:t>in</w:t>
      </w:r>
      <w:r>
        <w:rPr>
          <w:i/>
          <w:spacing w:val="-2"/>
          <w:sz w:val="24"/>
        </w:rPr>
        <w:t> </w:t>
      </w:r>
      <w:r>
        <w:rPr>
          <w:i/>
          <w:sz w:val="24"/>
        </w:rPr>
        <w:t>Development</w:t>
      </w:r>
      <w:r>
        <w:rPr>
          <w:i/>
          <w:spacing w:val="1"/>
          <w:sz w:val="24"/>
        </w:rPr>
        <w:t> </w:t>
      </w:r>
      <w:r>
        <w:rPr>
          <w:i/>
          <w:sz w:val="24"/>
        </w:rPr>
        <w:t>Studies,</w:t>
      </w:r>
      <w:r>
        <w:rPr>
          <w:i/>
          <w:spacing w:val="-1"/>
          <w:sz w:val="24"/>
        </w:rPr>
        <w:t> </w:t>
      </w:r>
      <w:r>
        <w:rPr>
          <w:sz w:val="24"/>
        </w:rPr>
        <w:t>7(4),</w:t>
      </w:r>
      <w:r>
        <w:rPr>
          <w:spacing w:val="-1"/>
          <w:sz w:val="24"/>
        </w:rPr>
        <w:t> </w:t>
      </w:r>
      <w:r>
        <w:rPr>
          <w:sz w:val="24"/>
        </w:rPr>
        <w:t>291-</w:t>
      </w:r>
      <w:r>
        <w:rPr>
          <w:spacing w:val="-4"/>
          <w:sz w:val="24"/>
        </w:rPr>
        <w:t>306.</w:t>
      </w:r>
    </w:p>
    <w:p>
      <w:pPr>
        <w:pStyle w:val="BodyText"/>
      </w:pPr>
    </w:p>
    <w:p>
      <w:pPr>
        <w:spacing w:line="275" w:lineRule="exact" w:before="0"/>
        <w:ind w:left="115" w:right="0" w:firstLine="0"/>
        <w:jc w:val="left"/>
        <w:rPr>
          <w:sz w:val="24"/>
        </w:rPr>
      </w:pPr>
      <w:r>
        <w:rPr>
          <w:sz w:val="24"/>
        </w:rPr>
        <w:t>Gardner-Outlaw,</w:t>
      </w:r>
      <w:r>
        <w:rPr>
          <w:spacing w:val="-12"/>
          <w:sz w:val="24"/>
        </w:rPr>
        <w:t> </w:t>
      </w:r>
      <w:r>
        <w:rPr>
          <w:sz w:val="24"/>
        </w:rPr>
        <w:t>T.,</w:t>
      </w:r>
      <w:r>
        <w:rPr>
          <w:spacing w:val="-9"/>
          <w:sz w:val="24"/>
        </w:rPr>
        <w:t> </w:t>
      </w:r>
      <w:r>
        <w:rPr>
          <w:sz w:val="24"/>
        </w:rPr>
        <w:t>&amp;</w:t>
      </w:r>
      <w:r>
        <w:rPr>
          <w:spacing w:val="-11"/>
          <w:sz w:val="24"/>
        </w:rPr>
        <w:t> </w:t>
      </w:r>
      <w:r>
        <w:rPr>
          <w:sz w:val="24"/>
        </w:rPr>
        <w:t>Engelman,</w:t>
      </w:r>
      <w:r>
        <w:rPr>
          <w:spacing w:val="-9"/>
          <w:sz w:val="24"/>
        </w:rPr>
        <w:t> </w:t>
      </w:r>
      <w:r>
        <w:rPr>
          <w:sz w:val="24"/>
        </w:rPr>
        <w:t>R.</w:t>
      </w:r>
      <w:r>
        <w:rPr>
          <w:spacing w:val="-9"/>
          <w:sz w:val="24"/>
        </w:rPr>
        <w:t> </w:t>
      </w:r>
      <w:r>
        <w:rPr>
          <w:sz w:val="24"/>
        </w:rPr>
        <w:t>(1997).</w:t>
      </w:r>
      <w:r>
        <w:rPr>
          <w:spacing w:val="-8"/>
          <w:sz w:val="24"/>
        </w:rPr>
        <w:t> </w:t>
      </w:r>
      <w:r>
        <w:rPr>
          <w:i/>
          <w:sz w:val="24"/>
        </w:rPr>
        <w:t>Sustaining</w:t>
      </w:r>
      <w:r>
        <w:rPr>
          <w:i/>
          <w:spacing w:val="-10"/>
          <w:sz w:val="24"/>
        </w:rPr>
        <w:t> </w:t>
      </w:r>
      <w:r>
        <w:rPr>
          <w:i/>
          <w:sz w:val="24"/>
        </w:rPr>
        <w:t>water,</w:t>
      </w:r>
      <w:r>
        <w:rPr>
          <w:i/>
          <w:spacing w:val="-9"/>
          <w:sz w:val="24"/>
        </w:rPr>
        <w:t> </w:t>
      </w:r>
      <w:r>
        <w:rPr>
          <w:i/>
          <w:sz w:val="24"/>
        </w:rPr>
        <w:t>easing</w:t>
      </w:r>
      <w:r>
        <w:rPr>
          <w:i/>
          <w:spacing w:val="-10"/>
          <w:sz w:val="24"/>
        </w:rPr>
        <w:t> </w:t>
      </w:r>
      <w:r>
        <w:rPr>
          <w:i/>
          <w:sz w:val="24"/>
        </w:rPr>
        <w:t>scarcity:</w:t>
      </w:r>
      <w:r>
        <w:rPr>
          <w:i/>
          <w:spacing w:val="-9"/>
          <w:sz w:val="24"/>
        </w:rPr>
        <w:t> </w:t>
      </w:r>
      <w:r>
        <w:rPr>
          <w:i/>
          <w:sz w:val="24"/>
        </w:rPr>
        <w:t>A</w:t>
      </w:r>
      <w:r>
        <w:rPr>
          <w:i/>
          <w:spacing w:val="-9"/>
          <w:sz w:val="24"/>
        </w:rPr>
        <w:t> </w:t>
      </w:r>
      <w:r>
        <w:rPr>
          <w:i/>
          <w:sz w:val="24"/>
        </w:rPr>
        <w:t>second</w:t>
      </w:r>
      <w:r>
        <w:rPr>
          <w:i/>
          <w:spacing w:val="-9"/>
          <w:sz w:val="24"/>
        </w:rPr>
        <w:t> </w:t>
      </w:r>
      <w:r>
        <w:rPr>
          <w:i/>
          <w:spacing w:val="-2"/>
          <w:sz w:val="24"/>
        </w:rPr>
        <w:t>update</w:t>
      </w:r>
      <w:r>
        <w:rPr>
          <w:spacing w:val="-2"/>
          <w:sz w:val="24"/>
        </w:rPr>
        <w:t>.</w:t>
      </w:r>
    </w:p>
    <w:p>
      <w:pPr>
        <w:pStyle w:val="BodyText"/>
        <w:spacing w:line="275" w:lineRule="exact"/>
        <w:ind w:left="547"/>
      </w:pPr>
      <w:r>
        <w:rPr/>
        <w:t>Washington,</w:t>
      </w:r>
      <w:r>
        <w:rPr>
          <w:spacing w:val="-1"/>
        </w:rPr>
        <w:t> </w:t>
      </w:r>
      <w:r>
        <w:rPr/>
        <w:t>DC: Population</w:t>
      </w:r>
      <w:r>
        <w:rPr>
          <w:spacing w:val="-1"/>
        </w:rPr>
        <w:t> </w:t>
      </w:r>
      <w:r>
        <w:rPr/>
        <w:t>Action</w:t>
      </w:r>
      <w:r>
        <w:rPr>
          <w:spacing w:val="2"/>
        </w:rPr>
        <w:t> </w:t>
      </w:r>
      <w:r>
        <w:rPr>
          <w:spacing w:val="-2"/>
        </w:rPr>
        <w:t>International.</w:t>
      </w:r>
    </w:p>
    <w:p>
      <w:pPr>
        <w:pStyle w:val="BodyText"/>
      </w:pPr>
    </w:p>
    <w:p>
      <w:pPr>
        <w:spacing w:before="0"/>
        <w:ind w:left="547" w:right="118" w:hanging="432"/>
        <w:jc w:val="both"/>
        <w:rPr>
          <w:sz w:val="24"/>
        </w:rPr>
      </w:pPr>
      <w:r>
        <w:rPr>
          <w:sz w:val="24"/>
        </w:rPr>
        <w:t>Garriga, R.G., &amp; Foguet, A.P. (2010). Improved method to calculate a water poverty index at local scale. </w:t>
      </w:r>
      <w:r>
        <w:rPr>
          <w:i/>
          <w:sz w:val="24"/>
        </w:rPr>
        <w:t>Journal of Environmental Engineering, </w:t>
      </w:r>
      <w:r>
        <w:rPr>
          <w:sz w:val="24"/>
        </w:rPr>
        <w:t>136, 1287–1298.</w:t>
      </w:r>
    </w:p>
    <w:p>
      <w:pPr>
        <w:spacing w:after="0"/>
        <w:jc w:val="both"/>
        <w:rPr>
          <w:sz w:val="24"/>
        </w:rPr>
        <w:sectPr>
          <w:pgSz w:w="12240" w:h="15840"/>
          <w:pgMar w:header="0" w:footer="1068" w:top="1320" w:bottom="1260" w:left="1440" w:right="1300"/>
        </w:sectPr>
      </w:pPr>
    </w:p>
    <w:p>
      <w:pPr>
        <w:pStyle w:val="BodyText"/>
        <w:spacing w:before="79"/>
        <w:ind w:left="547" w:hanging="432"/>
      </w:pPr>
      <w:r>
        <w:rPr/>
        <w:t>Gautam,</w:t>
      </w:r>
      <w:r>
        <w:rPr>
          <w:spacing w:val="35"/>
        </w:rPr>
        <w:t> </w:t>
      </w:r>
      <w:r>
        <w:rPr/>
        <w:t>A.</w:t>
      </w:r>
      <w:r>
        <w:rPr>
          <w:spacing w:val="34"/>
        </w:rPr>
        <w:t> </w:t>
      </w:r>
      <w:r>
        <w:rPr/>
        <w:t>P.,</w:t>
      </w:r>
      <w:r>
        <w:rPr>
          <w:spacing w:val="37"/>
        </w:rPr>
        <w:t> </w:t>
      </w:r>
      <w:r>
        <w:rPr/>
        <w:t>&amp;</w:t>
      </w:r>
      <w:r>
        <w:rPr>
          <w:spacing w:val="33"/>
        </w:rPr>
        <w:t> </w:t>
      </w:r>
      <w:r>
        <w:rPr/>
        <w:t>Shivakoti,</w:t>
      </w:r>
      <w:r>
        <w:rPr>
          <w:spacing w:val="35"/>
        </w:rPr>
        <w:t> </w:t>
      </w:r>
      <w:r>
        <w:rPr/>
        <w:t>G.</w:t>
      </w:r>
      <w:r>
        <w:rPr>
          <w:spacing w:val="34"/>
        </w:rPr>
        <w:t> </w:t>
      </w:r>
      <w:r>
        <w:rPr/>
        <w:t>(2005).</w:t>
      </w:r>
      <w:r>
        <w:rPr>
          <w:spacing w:val="34"/>
        </w:rPr>
        <w:t> </w:t>
      </w:r>
      <w:r>
        <w:rPr/>
        <w:t>Conditions</w:t>
      </w:r>
      <w:r>
        <w:rPr>
          <w:spacing w:val="35"/>
        </w:rPr>
        <w:t> </w:t>
      </w:r>
      <w:r>
        <w:rPr/>
        <w:t>for</w:t>
      </w:r>
      <w:r>
        <w:rPr>
          <w:spacing w:val="33"/>
        </w:rPr>
        <w:t> </w:t>
      </w:r>
      <w:r>
        <w:rPr/>
        <w:t>successful</w:t>
      </w:r>
      <w:r>
        <w:rPr>
          <w:spacing w:val="35"/>
        </w:rPr>
        <w:t> </w:t>
      </w:r>
      <w:r>
        <w:rPr/>
        <w:t>local</w:t>
      </w:r>
      <w:r>
        <w:rPr>
          <w:spacing w:val="37"/>
        </w:rPr>
        <w:t> </w:t>
      </w:r>
      <w:r>
        <w:rPr/>
        <w:t>collective</w:t>
      </w:r>
      <w:r>
        <w:rPr>
          <w:spacing w:val="34"/>
        </w:rPr>
        <w:t> </w:t>
      </w:r>
      <w:r>
        <w:rPr/>
        <w:t>actions</w:t>
      </w:r>
      <w:r>
        <w:rPr>
          <w:spacing w:val="35"/>
        </w:rPr>
        <w:t> </w:t>
      </w:r>
      <w:r>
        <w:rPr/>
        <w:t>in forestry: Some Evidence from Hills of Napal. </w:t>
      </w:r>
      <w:r>
        <w:rPr>
          <w:i/>
        </w:rPr>
        <w:t>Society &amp; Natural Resources</w:t>
      </w:r>
      <w:r>
        <w:rPr/>
        <w:t>, 18, 153-171.</w:t>
      </w:r>
    </w:p>
    <w:p>
      <w:pPr>
        <w:pStyle w:val="BodyText"/>
      </w:pPr>
    </w:p>
    <w:p>
      <w:pPr>
        <w:pStyle w:val="BodyText"/>
        <w:ind w:left="115"/>
      </w:pPr>
      <w:r>
        <w:rPr/>
        <w:t>Gerlach, E.</w:t>
      </w:r>
      <w:r>
        <w:rPr>
          <w:spacing w:val="6"/>
        </w:rPr>
        <w:t> </w:t>
      </w:r>
      <w:r>
        <w:rPr/>
        <w:t>&amp;</w:t>
      </w:r>
      <w:r>
        <w:rPr>
          <w:spacing w:val="1"/>
        </w:rPr>
        <w:t> </w:t>
      </w:r>
      <w:r>
        <w:rPr/>
        <w:t>Franceys,</w:t>
      </w:r>
      <w:r>
        <w:rPr>
          <w:spacing w:val="5"/>
        </w:rPr>
        <w:t> </w:t>
      </w:r>
      <w:r>
        <w:rPr/>
        <w:t>R.</w:t>
      </w:r>
      <w:r>
        <w:rPr>
          <w:spacing w:val="3"/>
        </w:rPr>
        <w:t> </w:t>
      </w:r>
      <w:r>
        <w:rPr/>
        <w:t>(2009).</w:t>
      </w:r>
      <w:r>
        <w:rPr>
          <w:spacing w:val="2"/>
        </w:rPr>
        <w:t> </w:t>
      </w:r>
      <w:r>
        <w:rPr/>
        <w:t>Regulating</w:t>
      </w:r>
      <w:r>
        <w:rPr>
          <w:spacing w:val="1"/>
        </w:rPr>
        <w:t> </w:t>
      </w:r>
      <w:r>
        <w:rPr/>
        <w:t>water</w:t>
      </w:r>
      <w:r>
        <w:rPr>
          <w:spacing w:val="1"/>
        </w:rPr>
        <w:t> </w:t>
      </w:r>
      <w:r>
        <w:rPr/>
        <w:t>services</w:t>
      </w:r>
      <w:r>
        <w:rPr>
          <w:spacing w:val="3"/>
        </w:rPr>
        <w:t> </w:t>
      </w:r>
      <w:r>
        <w:rPr/>
        <w:t>for</w:t>
      </w:r>
      <w:r>
        <w:rPr>
          <w:spacing w:val="2"/>
        </w:rPr>
        <w:t> </w:t>
      </w:r>
      <w:r>
        <w:rPr/>
        <w:t>the</w:t>
      </w:r>
      <w:r>
        <w:rPr>
          <w:spacing w:val="3"/>
        </w:rPr>
        <w:t> </w:t>
      </w:r>
      <w:r>
        <w:rPr/>
        <w:t>poor:</w:t>
      </w:r>
      <w:r>
        <w:rPr>
          <w:spacing w:val="2"/>
        </w:rPr>
        <w:t> </w:t>
      </w:r>
      <w:r>
        <w:rPr/>
        <w:t>The</w:t>
      </w:r>
      <w:r>
        <w:rPr>
          <w:spacing w:val="2"/>
        </w:rPr>
        <w:t> </w:t>
      </w:r>
      <w:r>
        <w:rPr/>
        <w:t>case</w:t>
      </w:r>
      <w:r>
        <w:rPr>
          <w:spacing w:val="2"/>
        </w:rPr>
        <w:t> </w:t>
      </w:r>
      <w:r>
        <w:rPr/>
        <w:t>of</w:t>
      </w:r>
      <w:r>
        <w:rPr>
          <w:spacing w:val="2"/>
        </w:rPr>
        <w:t> </w:t>
      </w:r>
      <w:r>
        <w:rPr>
          <w:spacing w:val="-2"/>
        </w:rPr>
        <w:t>Amman.</w:t>
      </w:r>
    </w:p>
    <w:p>
      <w:pPr>
        <w:spacing w:before="0"/>
        <w:ind w:left="547" w:right="0" w:firstLine="0"/>
        <w:jc w:val="left"/>
        <w:rPr>
          <w:sz w:val="24"/>
        </w:rPr>
      </w:pPr>
      <w:r>
        <w:rPr>
          <w:i/>
          <w:sz w:val="24"/>
        </w:rPr>
        <w:t>Geoforum</w:t>
      </w:r>
      <w:r>
        <w:rPr>
          <w:sz w:val="24"/>
        </w:rPr>
        <w:t>,</w:t>
      </w:r>
      <w:r>
        <w:rPr>
          <w:spacing w:val="-4"/>
          <w:sz w:val="24"/>
        </w:rPr>
        <w:t> </w:t>
      </w:r>
      <w:r>
        <w:rPr>
          <w:sz w:val="24"/>
        </w:rPr>
        <w:t>40,</w:t>
      </w:r>
      <w:r>
        <w:rPr>
          <w:spacing w:val="-2"/>
          <w:sz w:val="24"/>
        </w:rPr>
        <w:t> </w:t>
      </w:r>
      <w:r>
        <w:rPr>
          <w:sz w:val="24"/>
        </w:rPr>
        <w:t>431-</w:t>
      </w:r>
      <w:r>
        <w:rPr>
          <w:spacing w:val="-4"/>
          <w:sz w:val="24"/>
        </w:rPr>
        <w:t>441.</w:t>
      </w:r>
    </w:p>
    <w:p>
      <w:pPr>
        <w:pStyle w:val="BodyText"/>
      </w:pPr>
    </w:p>
    <w:p>
      <w:pPr>
        <w:pStyle w:val="BodyText"/>
        <w:ind w:left="547" w:hanging="432"/>
      </w:pPr>
      <w:r>
        <w:rPr/>
        <w:t>Gerland,</w:t>
      </w:r>
      <w:r>
        <w:rPr>
          <w:spacing w:val="37"/>
        </w:rPr>
        <w:t> </w:t>
      </w:r>
      <w:r>
        <w:rPr/>
        <w:t>P.,</w:t>
      </w:r>
      <w:r>
        <w:rPr>
          <w:spacing w:val="37"/>
        </w:rPr>
        <w:t> </w:t>
      </w:r>
      <w:r>
        <w:rPr/>
        <w:t>Raftery,</w:t>
      </w:r>
      <w:r>
        <w:rPr>
          <w:spacing w:val="39"/>
        </w:rPr>
        <w:t> </w:t>
      </w:r>
      <w:r>
        <w:rPr/>
        <w:t>A.E.,</w:t>
      </w:r>
      <w:r>
        <w:rPr>
          <w:spacing w:val="37"/>
        </w:rPr>
        <w:t> </w:t>
      </w:r>
      <w:r>
        <w:rPr/>
        <w:t>Sevakova,</w:t>
      </w:r>
      <w:r>
        <w:rPr>
          <w:spacing w:val="39"/>
        </w:rPr>
        <w:t> </w:t>
      </w:r>
      <w:r>
        <w:rPr/>
        <w:t>H.,</w:t>
      </w:r>
      <w:r>
        <w:rPr>
          <w:spacing w:val="39"/>
        </w:rPr>
        <w:t> </w:t>
      </w:r>
      <w:r>
        <w:rPr/>
        <w:t>Li,</w:t>
      </w:r>
      <w:r>
        <w:rPr>
          <w:spacing w:val="40"/>
        </w:rPr>
        <w:t> </w:t>
      </w:r>
      <w:r>
        <w:rPr/>
        <w:t>D.,</w:t>
      </w:r>
      <w:r>
        <w:rPr>
          <w:spacing w:val="37"/>
        </w:rPr>
        <w:t> </w:t>
      </w:r>
      <w:r>
        <w:rPr/>
        <w:t>Gu,</w:t>
      </w:r>
      <w:r>
        <w:rPr>
          <w:spacing w:val="37"/>
        </w:rPr>
        <w:t> </w:t>
      </w:r>
      <w:r>
        <w:rPr/>
        <w:t>T.,</w:t>
      </w:r>
      <w:r>
        <w:rPr>
          <w:spacing w:val="37"/>
        </w:rPr>
        <w:t> </w:t>
      </w:r>
      <w:r>
        <w:rPr/>
        <w:t>Spoorenberg,</w:t>
      </w:r>
      <w:r>
        <w:rPr>
          <w:spacing w:val="40"/>
        </w:rPr>
        <w:t> </w:t>
      </w:r>
      <w:r>
        <w:rPr/>
        <w:t>L.,</w:t>
      </w:r>
      <w:r>
        <w:rPr>
          <w:spacing w:val="39"/>
        </w:rPr>
        <w:t> </w:t>
      </w:r>
      <w:r>
        <w:rPr/>
        <w:t>Alkema,</w:t>
      </w:r>
      <w:r>
        <w:rPr>
          <w:spacing w:val="39"/>
        </w:rPr>
        <w:t> </w:t>
      </w:r>
      <w:r>
        <w:rPr/>
        <w:t>B.K.</w:t>
      </w:r>
      <w:r>
        <w:rPr>
          <w:spacing w:val="39"/>
        </w:rPr>
        <w:t> </w:t>
      </w:r>
      <w:r>
        <w:rPr/>
        <w:t>&amp; Fosdick, (2014). World population stabilization unlikely</w:t>
      </w:r>
      <w:r>
        <w:rPr>
          <w:i/>
        </w:rPr>
        <w:t>. Science, </w:t>
      </w:r>
      <w:r>
        <w:rPr/>
        <w:t>346, 234–237.</w:t>
      </w:r>
    </w:p>
    <w:p>
      <w:pPr>
        <w:pStyle w:val="BodyText"/>
      </w:pPr>
    </w:p>
    <w:p>
      <w:pPr>
        <w:spacing w:before="0"/>
        <w:ind w:left="547" w:right="0" w:hanging="432"/>
        <w:jc w:val="left"/>
        <w:rPr>
          <w:sz w:val="24"/>
        </w:rPr>
      </w:pPr>
      <w:r>
        <w:rPr>
          <w:sz w:val="24"/>
        </w:rPr>
        <w:t>Gillis, M., Perkins, D., Roemer, M., &amp; Snodgrass, D. (1987). </w:t>
      </w:r>
      <w:r>
        <w:rPr>
          <w:i/>
          <w:sz w:val="24"/>
        </w:rPr>
        <w:t>Economics of Development </w:t>
      </w:r>
      <w:r>
        <w:rPr>
          <w:sz w:val="24"/>
        </w:rPr>
        <w:t>(2nd ed.). New York: Norton.</w:t>
      </w:r>
    </w:p>
    <w:p>
      <w:pPr>
        <w:pStyle w:val="BodyText"/>
        <w:spacing w:before="1"/>
      </w:pPr>
    </w:p>
    <w:p>
      <w:pPr>
        <w:pStyle w:val="BodyText"/>
        <w:ind w:left="115"/>
      </w:pPr>
      <w:r>
        <w:rPr/>
        <w:t>Gine,</w:t>
      </w:r>
      <w:r>
        <w:rPr>
          <w:spacing w:val="-12"/>
        </w:rPr>
        <w:t> </w:t>
      </w:r>
      <w:r>
        <w:rPr/>
        <w:t>R.,</w:t>
      </w:r>
      <w:r>
        <w:rPr>
          <w:spacing w:val="-9"/>
        </w:rPr>
        <w:t> </w:t>
      </w:r>
      <w:r>
        <w:rPr/>
        <w:t>&amp;</w:t>
      </w:r>
      <w:r>
        <w:rPr>
          <w:spacing w:val="-12"/>
        </w:rPr>
        <w:t> </w:t>
      </w:r>
      <w:r>
        <w:rPr/>
        <w:t>Perez-Foguet,</w:t>
      </w:r>
      <w:r>
        <w:rPr>
          <w:spacing w:val="-9"/>
        </w:rPr>
        <w:t> </w:t>
      </w:r>
      <w:r>
        <w:rPr/>
        <w:t>A.</w:t>
      </w:r>
      <w:r>
        <w:rPr>
          <w:spacing w:val="-10"/>
        </w:rPr>
        <w:t> </w:t>
      </w:r>
      <w:r>
        <w:rPr/>
        <w:t>(2009).</w:t>
      </w:r>
      <w:r>
        <w:rPr>
          <w:spacing w:val="-9"/>
        </w:rPr>
        <w:t> </w:t>
      </w:r>
      <w:r>
        <w:rPr/>
        <w:t>Enhancing</w:t>
      </w:r>
      <w:r>
        <w:rPr>
          <w:spacing w:val="-11"/>
        </w:rPr>
        <w:t> </w:t>
      </w:r>
      <w:r>
        <w:rPr/>
        <w:t>sector</w:t>
      </w:r>
      <w:r>
        <w:rPr>
          <w:spacing w:val="-10"/>
        </w:rPr>
        <w:t> </w:t>
      </w:r>
      <w:r>
        <w:rPr/>
        <w:t>data</w:t>
      </w:r>
      <w:r>
        <w:rPr>
          <w:spacing w:val="-9"/>
        </w:rPr>
        <w:t> </w:t>
      </w:r>
      <w:r>
        <w:rPr/>
        <w:t>management</w:t>
      </w:r>
      <w:r>
        <w:rPr>
          <w:spacing w:val="-10"/>
        </w:rPr>
        <w:t> </w:t>
      </w:r>
      <w:r>
        <w:rPr/>
        <w:t>to</w:t>
      </w:r>
      <w:r>
        <w:rPr>
          <w:spacing w:val="-8"/>
        </w:rPr>
        <w:t> </w:t>
      </w:r>
      <w:r>
        <w:rPr/>
        <w:t>target</w:t>
      </w:r>
      <w:r>
        <w:rPr>
          <w:spacing w:val="-9"/>
        </w:rPr>
        <w:t> </w:t>
      </w:r>
      <w:r>
        <w:rPr/>
        <w:t>the</w:t>
      </w:r>
      <w:r>
        <w:rPr>
          <w:spacing w:val="-9"/>
        </w:rPr>
        <w:t> </w:t>
      </w:r>
      <w:r>
        <w:rPr/>
        <w:t>water</w:t>
      </w:r>
      <w:r>
        <w:rPr>
          <w:spacing w:val="-10"/>
        </w:rPr>
        <w:t> </w:t>
      </w:r>
      <w:r>
        <w:rPr>
          <w:spacing w:val="-2"/>
        </w:rPr>
        <w:t>poor.</w:t>
      </w:r>
    </w:p>
    <w:p>
      <w:pPr>
        <w:pStyle w:val="BodyText"/>
        <w:ind w:left="547"/>
      </w:pPr>
      <w:r>
        <w:rPr/>
        <w:t>34</w:t>
      </w:r>
      <w:r>
        <w:rPr>
          <w:vertAlign w:val="superscript"/>
        </w:rPr>
        <w:t>th</w:t>
      </w:r>
      <w:r>
        <w:rPr>
          <w:spacing w:val="-5"/>
          <w:vertAlign w:val="baseline"/>
        </w:rPr>
        <w:t> </w:t>
      </w:r>
      <w:r>
        <w:rPr>
          <w:vertAlign w:val="baseline"/>
        </w:rPr>
        <w:t>WEDC International Conference,</w:t>
      </w:r>
      <w:r>
        <w:rPr>
          <w:spacing w:val="-2"/>
          <w:vertAlign w:val="baseline"/>
        </w:rPr>
        <w:t> </w:t>
      </w:r>
      <w:r>
        <w:rPr>
          <w:vertAlign w:val="baseline"/>
        </w:rPr>
        <w:t>Adis</w:t>
      </w:r>
      <w:r>
        <w:rPr>
          <w:spacing w:val="-2"/>
          <w:vertAlign w:val="baseline"/>
        </w:rPr>
        <w:t> </w:t>
      </w:r>
      <w:r>
        <w:rPr>
          <w:vertAlign w:val="baseline"/>
        </w:rPr>
        <w:t>Ababa,</w:t>
      </w:r>
      <w:r>
        <w:rPr>
          <w:spacing w:val="-2"/>
          <w:vertAlign w:val="baseline"/>
        </w:rPr>
        <w:t> Ethiopia.</w:t>
      </w:r>
    </w:p>
    <w:p>
      <w:pPr>
        <w:pStyle w:val="BodyText"/>
      </w:pPr>
    </w:p>
    <w:p>
      <w:pPr>
        <w:pStyle w:val="BodyText"/>
        <w:ind w:left="547" w:hanging="432"/>
      </w:pPr>
      <w:r>
        <w:rPr/>
        <w:t>Goodstein,</w:t>
      </w:r>
      <w:r>
        <w:rPr>
          <w:spacing w:val="38"/>
        </w:rPr>
        <w:t> </w:t>
      </w:r>
      <w:r>
        <w:rPr/>
        <w:t>E.</w:t>
      </w:r>
      <w:r>
        <w:rPr>
          <w:spacing w:val="38"/>
        </w:rPr>
        <w:t> </w:t>
      </w:r>
      <w:r>
        <w:rPr/>
        <w:t>(1995).</w:t>
      </w:r>
      <w:r>
        <w:rPr>
          <w:spacing w:val="40"/>
        </w:rPr>
        <w:t> </w:t>
      </w:r>
      <w:r>
        <w:rPr/>
        <w:t>The</w:t>
      </w:r>
      <w:r>
        <w:rPr>
          <w:spacing w:val="37"/>
        </w:rPr>
        <w:t> </w:t>
      </w:r>
      <w:r>
        <w:rPr/>
        <w:t>economic</w:t>
      </w:r>
      <w:r>
        <w:rPr>
          <w:spacing w:val="39"/>
        </w:rPr>
        <w:t> </w:t>
      </w:r>
      <w:r>
        <w:rPr/>
        <w:t>roots</w:t>
      </w:r>
      <w:r>
        <w:rPr>
          <w:spacing w:val="38"/>
        </w:rPr>
        <w:t> </w:t>
      </w:r>
      <w:r>
        <w:rPr/>
        <w:t>of</w:t>
      </w:r>
      <w:r>
        <w:rPr>
          <w:spacing w:val="40"/>
        </w:rPr>
        <w:t> </w:t>
      </w:r>
      <w:r>
        <w:rPr/>
        <w:t>environmental</w:t>
      </w:r>
      <w:r>
        <w:rPr>
          <w:spacing w:val="38"/>
        </w:rPr>
        <w:t> </w:t>
      </w:r>
      <w:r>
        <w:rPr/>
        <w:t>decline:</w:t>
      </w:r>
      <w:r>
        <w:rPr>
          <w:spacing w:val="38"/>
        </w:rPr>
        <w:t> </w:t>
      </w:r>
      <w:r>
        <w:rPr/>
        <w:t>property</w:t>
      </w:r>
      <w:r>
        <w:rPr>
          <w:spacing w:val="36"/>
        </w:rPr>
        <w:t> </w:t>
      </w:r>
      <w:r>
        <w:rPr/>
        <w:t>rights</w:t>
      </w:r>
      <w:r>
        <w:rPr>
          <w:spacing w:val="39"/>
        </w:rPr>
        <w:t> </w:t>
      </w:r>
      <w:r>
        <w:rPr/>
        <w:t>or</w:t>
      </w:r>
      <w:r>
        <w:rPr>
          <w:spacing w:val="37"/>
        </w:rPr>
        <w:t> </w:t>
      </w:r>
      <w:r>
        <w:rPr/>
        <w:t>path dependence? </w:t>
      </w:r>
      <w:r>
        <w:rPr>
          <w:i/>
        </w:rPr>
        <w:t>Journal of Economic Issues </w:t>
      </w:r>
      <w:r>
        <w:rPr/>
        <w:t>62, 1029.</w:t>
      </w:r>
    </w:p>
    <w:p>
      <w:pPr>
        <w:pStyle w:val="BodyText"/>
        <w:ind w:left="547" w:hanging="432"/>
      </w:pPr>
      <w:r>
        <w:rPr/>
        <w:t>Gosling, S. N., &amp; Arnell, N.W. (2016). A global assessment of the impact of climate change on water scarcity. </w:t>
      </w:r>
      <w:r>
        <w:rPr>
          <w:i/>
        </w:rPr>
        <w:t>Climate change, </w:t>
      </w:r>
      <w:r>
        <w:rPr/>
        <w:t>134, 371-385. </w:t>
      </w:r>
      <w:hyperlink r:id="rId71">
        <w:r>
          <w:rPr>
            <w:u w:val="single"/>
          </w:rPr>
          <w:t>https://doi.org/10.1007/s10584-013-0853-x</w:t>
        </w:r>
      </w:hyperlink>
      <w:r>
        <w:rPr/>
        <w:t>.</w:t>
      </w:r>
    </w:p>
    <w:p>
      <w:pPr>
        <w:pStyle w:val="BodyText"/>
      </w:pPr>
    </w:p>
    <w:p>
      <w:pPr>
        <w:spacing w:before="0"/>
        <w:ind w:left="547" w:right="110" w:hanging="432"/>
        <w:jc w:val="both"/>
        <w:rPr>
          <w:sz w:val="24"/>
        </w:rPr>
      </w:pPr>
      <w:r>
        <w:rPr>
          <w:sz w:val="24"/>
        </w:rPr>
        <w:t>Gulyani, S., Talukdar, D. &amp; Kariuki, R. M. (2005). Water for the urban poor: Water markets, household demand, and service preferences in Kenya. </w:t>
      </w:r>
      <w:r>
        <w:rPr>
          <w:i/>
          <w:sz w:val="24"/>
        </w:rPr>
        <w:t>Water Supply and Sanitation Sector Board Discussion Paper Series. </w:t>
      </w:r>
      <w:r>
        <w:rPr>
          <w:sz w:val="24"/>
        </w:rPr>
        <w:t>World Bank</w:t>
      </w:r>
    </w:p>
    <w:p>
      <w:pPr>
        <w:pStyle w:val="BodyText"/>
        <w:spacing w:before="1"/>
      </w:pPr>
    </w:p>
    <w:p>
      <w:pPr>
        <w:pStyle w:val="BodyText"/>
        <w:ind w:left="547" w:right="104" w:hanging="432"/>
        <w:jc w:val="both"/>
      </w:pPr>
      <w:r>
        <w:rPr/>
        <w:t>Hair, J., Black, B., Babin, R., Anderson, R., &amp; Tatham, R., (2006). </w:t>
      </w:r>
      <w:r>
        <w:rPr>
          <w:i/>
        </w:rPr>
        <w:t>Multivariate Data Analysis</w:t>
      </w:r>
      <w:r>
        <w:rPr/>
        <w:t>, 6th ed. Prentice Hall, New York: Telex Publishers.</w:t>
      </w:r>
    </w:p>
    <w:p>
      <w:pPr>
        <w:pStyle w:val="BodyText"/>
      </w:pPr>
    </w:p>
    <w:p>
      <w:pPr>
        <w:spacing w:before="0"/>
        <w:ind w:left="115" w:right="0" w:firstLine="0"/>
        <w:jc w:val="left"/>
        <w:rPr>
          <w:i/>
          <w:sz w:val="24"/>
        </w:rPr>
      </w:pPr>
      <w:r>
        <w:rPr>
          <w:sz w:val="24"/>
        </w:rPr>
        <w:t>Hajkowicz,</w:t>
      </w:r>
      <w:r>
        <w:rPr>
          <w:spacing w:val="-3"/>
          <w:sz w:val="24"/>
        </w:rPr>
        <w:t> </w:t>
      </w:r>
      <w:r>
        <w:rPr>
          <w:sz w:val="24"/>
        </w:rPr>
        <w:t>S.</w:t>
      </w:r>
      <w:r>
        <w:rPr>
          <w:spacing w:val="-1"/>
          <w:sz w:val="24"/>
        </w:rPr>
        <w:t> </w:t>
      </w:r>
      <w:r>
        <w:rPr>
          <w:sz w:val="24"/>
        </w:rPr>
        <w:t>(2006). Multi-attributed environmental</w:t>
      </w:r>
      <w:r>
        <w:rPr>
          <w:spacing w:val="-1"/>
          <w:sz w:val="24"/>
        </w:rPr>
        <w:t> </w:t>
      </w:r>
      <w:r>
        <w:rPr>
          <w:sz w:val="24"/>
        </w:rPr>
        <w:t>index construction.</w:t>
      </w:r>
      <w:r>
        <w:rPr>
          <w:spacing w:val="3"/>
          <w:sz w:val="24"/>
        </w:rPr>
        <w:t> </w:t>
      </w:r>
      <w:r>
        <w:rPr>
          <w:i/>
          <w:sz w:val="24"/>
        </w:rPr>
        <w:t>Ecological </w:t>
      </w:r>
      <w:r>
        <w:rPr>
          <w:i/>
          <w:spacing w:val="-2"/>
          <w:sz w:val="24"/>
        </w:rPr>
        <w:t>Economics</w:t>
      </w:r>
    </w:p>
    <w:p>
      <w:pPr>
        <w:pStyle w:val="BodyText"/>
        <w:ind w:left="547"/>
      </w:pPr>
      <w:r>
        <w:rPr/>
        <w:t>57(1),</w:t>
      </w:r>
      <w:r>
        <w:rPr>
          <w:spacing w:val="-2"/>
        </w:rPr>
        <w:t> 122–139.</w:t>
      </w:r>
    </w:p>
    <w:p>
      <w:pPr>
        <w:pStyle w:val="BodyText"/>
      </w:pPr>
    </w:p>
    <w:p>
      <w:pPr>
        <w:pStyle w:val="BodyText"/>
        <w:ind w:left="547" w:right="106" w:hanging="432"/>
        <w:jc w:val="both"/>
      </w:pPr>
      <w:r>
        <w:rPr/>
        <w:t>Hanjra,</w:t>
      </w:r>
      <w:r>
        <w:rPr>
          <w:spacing w:val="-2"/>
        </w:rPr>
        <w:t> </w:t>
      </w:r>
      <w:r>
        <w:rPr/>
        <w:t>M.A.,</w:t>
      </w:r>
      <w:r>
        <w:rPr>
          <w:spacing w:val="-2"/>
        </w:rPr>
        <w:t> </w:t>
      </w:r>
      <w:r>
        <w:rPr/>
        <w:t>Fered,</w:t>
      </w:r>
      <w:r>
        <w:rPr>
          <w:spacing w:val="-2"/>
        </w:rPr>
        <w:t> </w:t>
      </w:r>
      <w:r>
        <w:rPr/>
        <w:t>T.,</w:t>
      </w:r>
      <w:r>
        <w:rPr>
          <w:spacing w:val="-1"/>
        </w:rPr>
        <w:t> </w:t>
      </w:r>
      <w:r>
        <w:rPr/>
        <w:t>&amp;</w:t>
      </w:r>
      <w:r>
        <w:rPr>
          <w:spacing w:val="-4"/>
        </w:rPr>
        <w:t> </w:t>
      </w:r>
      <w:r>
        <w:rPr/>
        <w:t>Gutta,</w:t>
      </w:r>
      <w:r>
        <w:rPr>
          <w:spacing w:val="-1"/>
        </w:rPr>
        <w:t> </w:t>
      </w:r>
      <w:r>
        <w:rPr/>
        <w:t>D.G. (2009).</w:t>
      </w:r>
      <w:r>
        <w:rPr>
          <w:spacing w:val="-2"/>
        </w:rPr>
        <w:t> </w:t>
      </w:r>
      <w:r>
        <w:rPr/>
        <w:t>Reducing</w:t>
      </w:r>
      <w:r>
        <w:rPr>
          <w:spacing w:val="-2"/>
        </w:rPr>
        <w:t> </w:t>
      </w:r>
      <w:r>
        <w:rPr/>
        <w:t>poverty</w:t>
      </w:r>
      <w:r>
        <w:rPr>
          <w:spacing w:val="-7"/>
        </w:rPr>
        <w:t> </w:t>
      </w:r>
      <w:r>
        <w:rPr/>
        <w:t>in</w:t>
      </w:r>
      <w:r>
        <w:rPr>
          <w:spacing w:val="-2"/>
        </w:rPr>
        <w:t> </w:t>
      </w:r>
      <w:r>
        <w:rPr/>
        <w:t>sub-Saharan Africa</w:t>
      </w:r>
      <w:r>
        <w:rPr>
          <w:spacing w:val="-3"/>
        </w:rPr>
        <w:t> </w:t>
      </w:r>
      <w:r>
        <w:rPr/>
        <w:t>through investments in water and other priorities. </w:t>
      </w:r>
      <w:r>
        <w:rPr>
          <w:i/>
        </w:rPr>
        <w:t>Agricultural Water Management, </w:t>
      </w:r>
      <w:r>
        <w:rPr/>
        <w:t>96(7),</w:t>
      </w:r>
      <w:r>
        <w:rPr>
          <w:spacing w:val="40"/>
        </w:rPr>
        <w:t> </w:t>
      </w:r>
      <w:r>
        <w:rPr/>
        <w:t>1062- </w:t>
      </w:r>
      <w:r>
        <w:rPr>
          <w:spacing w:val="-2"/>
        </w:rPr>
        <w:t>1070.</w:t>
      </w:r>
    </w:p>
    <w:p>
      <w:pPr>
        <w:spacing w:line="552" w:lineRule="exact" w:before="58"/>
        <w:ind w:left="115" w:right="114" w:firstLine="0"/>
        <w:jc w:val="left"/>
        <w:rPr>
          <w:sz w:val="24"/>
        </w:rPr>
      </w:pPr>
      <w:r>
        <w:rPr>
          <w:sz w:val="24"/>
        </w:rPr>
        <w:t>Hardin, G. (1968). The Tragedy of the commons, </w:t>
      </w:r>
      <w:r>
        <w:rPr>
          <w:i/>
          <w:sz w:val="24"/>
        </w:rPr>
        <w:t>Journal of Science</w:t>
      </w:r>
      <w:r>
        <w:rPr>
          <w:sz w:val="24"/>
        </w:rPr>
        <w:t>, 162, 1243-1244.</w:t>
      </w:r>
      <w:r>
        <w:rPr>
          <w:spacing w:val="40"/>
          <w:sz w:val="24"/>
        </w:rPr>
        <w:t> </w:t>
      </w:r>
      <w:r>
        <w:rPr>
          <w:sz w:val="24"/>
        </w:rPr>
        <w:t>Heidecke,</w:t>
      </w:r>
      <w:r>
        <w:rPr>
          <w:spacing w:val="25"/>
          <w:sz w:val="24"/>
        </w:rPr>
        <w:t> </w:t>
      </w:r>
      <w:r>
        <w:rPr>
          <w:sz w:val="24"/>
        </w:rPr>
        <w:t>C.</w:t>
      </w:r>
      <w:r>
        <w:rPr>
          <w:spacing w:val="25"/>
          <w:sz w:val="24"/>
        </w:rPr>
        <w:t> </w:t>
      </w:r>
      <w:r>
        <w:rPr>
          <w:sz w:val="24"/>
        </w:rPr>
        <w:t>(2006).</w:t>
      </w:r>
      <w:r>
        <w:rPr>
          <w:spacing w:val="26"/>
          <w:sz w:val="24"/>
        </w:rPr>
        <w:t> </w:t>
      </w:r>
      <w:r>
        <w:rPr>
          <w:i/>
          <w:sz w:val="24"/>
        </w:rPr>
        <w:t>Development</w:t>
      </w:r>
      <w:r>
        <w:rPr>
          <w:i/>
          <w:spacing w:val="26"/>
          <w:sz w:val="24"/>
        </w:rPr>
        <w:t> </w:t>
      </w:r>
      <w:r>
        <w:rPr>
          <w:i/>
          <w:sz w:val="24"/>
        </w:rPr>
        <w:t>and</w:t>
      </w:r>
      <w:r>
        <w:rPr>
          <w:i/>
          <w:spacing w:val="25"/>
          <w:sz w:val="24"/>
        </w:rPr>
        <w:t> </w:t>
      </w:r>
      <w:r>
        <w:rPr>
          <w:i/>
          <w:sz w:val="24"/>
        </w:rPr>
        <w:t>evaluation</w:t>
      </w:r>
      <w:r>
        <w:rPr>
          <w:i/>
          <w:spacing w:val="26"/>
          <w:sz w:val="24"/>
        </w:rPr>
        <w:t> </w:t>
      </w:r>
      <w:r>
        <w:rPr>
          <w:i/>
          <w:sz w:val="24"/>
        </w:rPr>
        <w:t>of</w:t>
      </w:r>
      <w:r>
        <w:rPr>
          <w:i/>
          <w:spacing w:val="26"/>
          <w:sz w:val="24"/>
        </w:rPr>
        <w:t> </w:t>
      </w:r>
      <w:r>
        <w:rPr>
          <w:i/>
          <w:sz w:val="24"/>
        </w:rPr>
        <w:t>regional</w:t>
      </w:r>
      <w:r>
        <w:rPr>
          <w:i/>
          <w:spacing w:val="26"/>
          <w:sz w:val="24"/>
        </w:rPr>
        <w:t> </w:t>
      </w:r>
      <w:r>
        <w:rPr>
          <w:i/>
          <w:sz w:val="24"/>
        </w:rPr>
        <w:t>water</w:t>
      </w:r>
      <w:r>
        <w:rPr>
          <w:i/>
          <w:spacing w:val="25"/>
          <w:sz w:val="24"/>
        </w:rPr>
        <w:t> </w:t>
      </w:r>
      <w:r>
        <w:rPr>
          <w:i/>
          <w:sz w:val="24"/>
        </w:rPr>
        <w:t>poverty</w:t>
      </w:r>
      <w:r>
        <w:rPr>
          <w:i/>
          <w:spacing w:val="25"/>
          <w:sz w:val="24"/>
        </w:rPr>
        <w:t> </w:t>
      </w:r>
      <w:r>
        <w:rPr>
          <w:i/>
          <w:sz w:val="24"/>
        </w:rPr>
        <w:t>index</w:t>
      </w:r>
      <w:r>
        <w:rPr>
          <w:i/>
          <w:spacing w:val="24"/>
          <w:sz w:val="24"/>
        </w:rPr>
        <w:t> </w:t>
      </w:r>
      <w:r>
        <w:rPr>
          <w:i/>
          <w:sz w:val="24"/>
        </w:rPr>
        <w:t>for</w:t>
      </w:r>
      <w:r>
        <w:rPr>
          <w:i/>
          <w:spacing w:val="26"/>
          <w:sz w:val="24"/>
        </w:rPr>
        <w:t> </w:t>
      </w:r>
      <w:r>
        <w:rPr>
          <w:i/>
          <w:sz w:val="24"/>
        </w:rPr>
        <w:t>Benin</w:t>
      </w:r>
      <w:r>
        <w:rPr>
          <w:sz w:val="24"/>
        </w:rPr>
        <w:t>.</w:t>
      </w:r>
    </w:p>
    <w:p>
      <w:pPr>
        <w:pStyle w:val="BodyText"/>
        <w:spacing w:line="218" w:lineRule="exact"/>
        <w:ind w:left="547"/>
      </w:pPr>
      <w:r>
        <w:rPr/>
        <w:t>Washington,</w:t>
      </w:r>
      <w:r>
        <w:rPr>
          <w:spacing w:val="-2"/>
        </w:rPr>
        <w:t> </w:t>
      </w:r>
      <w:r>
        <w:rPr/>
        <w:t>DC:</w:t>
      </w:r>
      <w:r>
        <w:rPr>
          <w:spacing w:val="1"/>
        </w:rPr>
        <w:t> </w:t>
      </w:r>
      <w:r>
        <w:rPr/>
        <w:t>International</w:t>
      </w:r>
      <w:r>
        <w:rPr>
          <w:spacing w:val="-1"/>
        </w:rPr>
        <w:t> </w:t>
      </w:r>
      <w:r>
        <w:rPr/>
        <w:t>food</w:t>
      </w:r>
      <w:r>
        <w:rPr>
          <w:spacing w:val="-1"/>
        </w:rPr>
        <w:t> </w:t>
      </w:r>
      <w:r>
        <w:rPr/>
        <w:t>policy</w:t>
      </w:r>
      <w:r>
        <w:rPr>
          <w:spacing w:val="-6"/>
        </w:rPr>
        <w:t> </w:t>
      </w:r>
      <w:r>
        <w:rPr/>
        <w:t>research</w:t>
      </w:r>
      <w:r>
        <w:rPr>
          <w:spacing w:val="-1"/>
        </w:rPr>
        <w:t> </w:t>
      </w:r>
      <w:r>
        <w:rPr>
          <w:spacing w:val="-2"/>
        </w:rPr>
        <w:t>institute.</w:t>
      </w:r>
    </w:p>
    <w:p>
      <w:pPr>
        <w:pStyle w:val="BodyText"/>
      </w:pPr>
    </w:p>
    <w:p>
      <w:pPr>
        <w:spacing w:before="1"/>
        <w:ind w:left="547" w:right="110" w:hanging="432"/>
        <w:jc w:val="both"/>
        <w:rPr>
          <w:sz w:val="24"/>
        </w:rPr>
      </w:pPr>
      <w:r>
        <w:rPr>
          <w:sz w:val="24"/>
        </w:rPr>
        <w:t>Hirschman, A. O. (1970). </w:t>
      </w:r>
      <w:r>
        <w:rPr>
          <w:i/>
          <w:sz w:val="24"/>
        </w:rPr>
        <w:t>Exit, voice, and loyalty: Responses to decline in firms, organizations, and states. </w:t>
      </w:r>
      <w:r>
        <w:rPr>
          <w:sz w:val="24"/>
        </w:rPr>
        <w:t>Cambridge, Mass: Harvard University Press.</w:t>
      </w:r>
    </w:p>
    <w:p>
      <w:pPr>
        <w:pStyle w:val="BodyText"/>
        <w:spacing w:before="273"/>
        <w:ind w:left="547" w:right="108" w:hanging="432"/>
        <w:jc w:val="both"/>
      </w:pPr>
      <w:r>
        <w:rPr/>
        <w:t>Huang,</w:t>
      </w:r>
      <w:r>
        <w:rPr>
          <w:spacing w:val="-7"/>
        </w:rPr>
        <w:t> </w:t>
      </w:r>
      <w:r>
        <w:rPr/>
        <w:t>S.,</w:t>
      </w:r>
      <w:r>
        <w:rPr>
          <w:spacing w:val="-5"/>
        </w:rPr>
        <w:t> </w:t>
      </w:r>
      <w:r>
        <w:rPr/>
        <w:t>Feng,</w:t>
      </w:r>
      <w:r>
        <w:rPr>
          <w:spacing w:val="-5"/>
        </w:rPr>
        <w:t> </w:t>
      </w:r>
      <w:r>
        <w:rPr/>
        <w:t>Q.,</w:t>
      </w:r>
      <w:r>
        <w:rPr>
          <w:spacing w:val="-5"/>
        </w:rPr>
        <w:t> </w:t>
      </w:r>
      <w:r>
        <w:rPr/>
        <w:t>Lu,</w:t>
      </w:r>
      <w:r>
        <w:rPr>
          <w:spacing w:val="-3"/>
        </w:rPr>
        <w:t> </w:t>
      </w:r>
      <w:r>
        <w:rPr/>
        <w:t>Z.,</w:t>
      </w:r>
      <w:r>
        <w:rPr>
          <w:spacing w:val="-5"/>
        </w:rPr>
        <w:t> </w:t>
      </w:r>
      <w:r>
        <w:rPr/>
        <w:t>Wen,</w:t>
      </w:r>
      <w:r>
        <w:rPr>
          <w:spacing w:val="-7"/>
        </w:rPr>
        <w:t> </w:t>
      </w:r>
      <w:r>
        <w:rPr/>
        <w:t>X.,</w:t>
      </w:r>
      <w:r>
        <w:rPr>
          <w:spacing w:val="-5"/>
        </w:rPr>
        <w:t> </w:t>
      </w:r>
      <w:r>
        <w:rPr/>
        <w:t>&amp;</w:t>
      </w:r>
      <w:r>
        <w:rPr>
          <w:spacing w:val="-7"/>
        </w:rPr>
        <w:t> </w:t>
      </w:r>
      <w:r>
        <w:rPr/>
        <w:t>Deo,</w:t>
      </w:r>
      <w:r>
        <w:rPr>
          <w:spacing w:val="-5"/>
        </w:rPr>
        <w:t> </w:t>
      </w:r>
      <w:r>
        <w:rPr/>
        <w:t>R.C.</w:t>
      </w:r>
      <w:r>
        <w:rPr>
          <w:spacing w:val="-7"/>
        </w:rPr>
        <w:t> </w:t>
      </w:r>
      <w:r>
        <w:rPr/>
        <w:t>(2017).</w:t>
      </w:r>
      <w:r>
        <w:rPr>
          <w:spacing w:val="-6"/>
        </w:rPr>
        <w:t> </w:t>
      </w:r>
      <w:r>
        <w:rPr/>
        <w:t>Trend</w:t>
      </w:r>
      <w:r>
        <w:rPr>
          <w:spacing w:val="-5"/>
        </w:rPr>
        <w:t> </w:t>
      </w:r>
      <w:r>
        <w:rPr/>
        <w:t>analysis</w:t>
      </w:r>
      <w:r>
        <w:rPr>
          <w:spacing w:val="-7"/>
        </w:rPr>
        <w:t> </w:t>
      </w:r>
      <w:r>
        <w:rPr/>
        <w:t>of</w:t>
      </w:r>
      <w:r>
        <w:rPr>
          <w:spacing w:val="-8"/>
        </w:rPr>
        <w:t> </w:t>
      </w:r>
      <w:r>
        <w:rPr/>
        <w:t>water</w:t>
      </w:r>
      <w:r>
        <w:rPr>
          <w:spacing w:val="-8"/>
        </w:rPr>
        <w:t> </w:t>
      </w:r>
      <w:r>
        <w:rPr/>
        <w:t>poverty</w:t>
      </w:r>
      <w:r>
        <w:rPr>
          <w:spacing w:val="-12"/>
        </w:rPr>
        <w:t> </w:t>
      </w:r>
      <w:r>
        <w:rPr/>
        <w:t>index (WPI) for assessment of water stress and water management policies: A case study in Hexi corridor, China. </w:t>
      </w:r>
      <w:r>
        <w:rPr>
          <w:i/>
        </w:rPr>
        <w:t>Journal of Sustainability. </w:t>
      </w:r>
      <w:r>
        <w:rPr/>
        <w:t>9, 756-804. doi : 10.3390 /su9050f56</w:t>
      </w:r>
    </w:p>
    <w:p>
      <w:pPr>
        <w:spacing w:after="0"/>
        <w:jc w:val="both"/>
        <w:sectPr>
          <w:pgSz w:w="12240" w:h="15840"/>
          <w:pgMar w:header="0" w:footer="1068" w:top="1600" w:bottom="1260" w:left="1440" w:right="1300"/>
        </w:sectPr>
      </w:pPr>
    </w:p>
    <w:p>
      <w:pPr>
        <w:pStyle w:val="BodyText"/>
        <w:spacing w:before="63"/>
        <w:ind w:left="547" w:right="107" w:hanging="432"/>
        <w:jc w:val="both"/>
      </w:pPr>
      <w:r>
        <w:rPr/>
        <w:t>Huitema, D., Mostert, E., Egas, W., Moellenkamp, S., Pahl-Wostl, C. &amp; Yalcin, R. (2009). Adaptive Water Governance: Assessing the Institutional Prescriptions of Adaptive Management</w:t>
      </w:r>
      <w:r>
        <w:rPr>
          <w:spacing w:val="-7"/>
        </w:rPr>
        <w:t> </w:t>
      </w:r>
      <w:r>
        <w:rPr/>
        <w:t>from</w:t>
      </w:r>
      <w:r>
        <w:rPr>
          <w:spacing w:val="-9"/>
        </w:rPr>
        <w:t> </w:t>
      </w:r>
      <w:r>
        <w:rPr/>
        <w:t>a</w:t>
      </w:r>
      <w:r>
        <w:rPr>
          <w:spacing w:val="-8"/>
        </w:rPr>
        <w:t> </w:t>
      </w:r>
      <w:r>
        <w:rPr/>
        <w:t>Governance</w:t>
      </w:r>
      <w:r>
        <w:rPr>
          <w:spacing w:val="-10"/>
        </w:rPr>
        <w:t> </w:t>
      </w:r>
      <w:r>
        <w:rPr/>
        <w:t>Perspective</w:t>
      </w:r>
      <w:r>
        <w:rPr>
          <w:spacing w:val="-8"/>
        </w:rPr>
        <w:t> </w:t>
      </w:r>
      <w:r>
        <w:rPr/>
        <w:t>and</w:t>
      </w:r>
      <w:r>
        <w:rPr>
          <w:spacing w:val="-7"/>
        </w:rPr>
        <w:t> </w:t>
      </w:r>
      <w:r>
        <w:rPr/>
        <w:t>Defining</w:t>
      </w:r>
      <w:r>
        <w:rPr>
          <w:spacing w:val="-9"/>
        </w:rPr>
        <w:t> </w:t>
      </w:r>
      <w:r>
        <w:rPr/>
        <w:t>a</w:t>
      </w:r>
      <w:r>
        <w:rPr>
          <w:spacing w:val="-10"/>
        </w:rPr>
        <w:t> </w:t>
      </w:r>
      <w:r>
        <w:rPr/>
        <w:t>Research</w:t>
      </w:r>
      <w:r>
        <w:rPr>
          <w:spacing w:val="-9"/>
        </w:rPr>
        <w:t> </w:t>
      </w:r>
      <w:r>
        <w:rPr/>
        <w:t>Agenda.</w:t>
      </w:r>
      <w:r>
        <w:rPr>
          <w:spacing w:val="-4"/>
        </w:rPr>
        <w:t> </w:t>
      </w:r>
      <w:r>
        <w:rPr>
          <w:i/>
        </w:rPr>
        <w:t>Ecology</w:t>
      </w:r>
      <w:r>
        <w:rPr>
          <w:i/>
          <w:spacing w:val="-10"/>
        </w:rPr>
        <w:t> </w:t>
      </w:r>
      <w:r>
        <w:rPr>
          <w:i/>
        </w:rPr>
        <w:t>and Society, </w:t>
      </w:r>
      <w:r>
        <w:rPr/>
        <w:t>14(1), 26.</w:t>
      </w:r>
    </w:p>
    <w:p>
      <w:pPr>
        <w:pStyle w:val="BodyText"/>
      </w:pPr>
    </w:p>
    <w:p>
      <w:pPr>
        <w:spacing w:before="0"/>
        <w:ind w:left="547" w:right="108" w:hanging="432"/>
        <w:jc w:val="both"/>
        <w:rPr>
          <w:sz w:val="24"/>
        </w:rPr>
      </w:pPr>
      <w:r>
        <w:rPr>
          <w:sz w:val="24"/>
        </w:rPr>
        <w:t>Humplick,</w:t>
      </w:r>
      <w:r>
        <w:rPr>
          <w:spacing w:val="-11"/>
          <w:sz w:val="24"/>
        </w:rPr>
        <w:t> </w:t>
      </w:r>
      <w:r>
        <w:rPr>
          <w:sz w:val="24"/>
        </w:rPr>
        <w:t>F.,</w:t>
      </w:r>
      <w:r>
        <w:rPr>
          <w:spacing w:val="-11"/>
          <w:sz w:val="24"/>
        </w:rPr>
        <w:t> </w:t>
      </w:r>
      <w:r>
        <w:rPr>
          <w:sz w:val="24"/>
        </w:rPr>
        <w:t>Kudat,</w:t>
      </w:r>
      <w:r>
        <w:rPr>
          <w:spacing w:val="-10"/>
          <w:sz w:val="24"/>
        </w:rPr>
        <w:t> </w:t>
      </w:r>
      <w:r>
        <w:rPr>
          <w:sz w:val="24"/>
        </w:rPr>
        <w:t>A.</w:t>
      </w:r>
      <w:r>
        <w:rPr>
          <w:spacing w:val="-9"/>
          <w:sz w:val="24"/>
        </w:rPr>
        <w:t> </w:t>
      </w:r>
      <w:r>
        <w:rPr>
          <w:sz w:val="24"/>
        </w:rPr>
        <w:t>and</w:t>
      </w:r>
      <w:r>
        <w:rPr>
          <w:spacing w:val="-11"/>
          <w:sz w:val="24"/>
        </w:rPr>
        <w:t> </w:t>
      </w:r>
      <w:r>
        <w:rPr>
          <w:sz w:val="24"/>
        </w:rPr>
        <w:t>Madanat,</w:t>
      </w:r>
      <w:r>
        <w:rPr>
          <w:spacing w:val="-10"/>
          <w:sz w:val="24"/>
        </w:rPr>
        <w:t> </w:t>
      </w:r>
      <w:r>
        <w:rPr>
          <w:sz w:val="24"/>
        </w:rPr>
        <w:t>S.</w:t>
      </w:r>
      <w:r>
        <w:rPr>
          <w:spacing w:val="-11"/>
          <w:sz w:val="24"/>
        </w:rPr>
        <w:t> </w:t>
      </w:r>
      <w:r>
        <w:rPr>
          <w:sz w:val="24"/>
        </w:rPr>
        <w:t>(1993).</w:t>
      </w:r>
      <w:r>
        <w:rPr>
          <w:spacing w:val="-8"/>
          <w:sz w:val="24"/>
        </w:rPr>
        <w:t> </w:t>
      </w:r>
      <w:r>
        <w:rPr>
          <w:i/>
          <w:sz w:val="24"/>
        </w:rPr>
        <w:t>Modeling</w:t>
      </w:r>
      <w:r>
        <w:rPr>
          <w:i/>
          <w:spacing w:val="-11"/>
          <w:sz w:val="24"/>
        </w:rPr>
        <w:t> </w:t>
      </w:r>
      <w:r>
        <w:rPr>
          <w:i/>
          <w:sz w:val="24"/>
        </w:rPr>
        <w:t>household</w:t>
      </w:r>
      <w:r>
        <w:rPr>
          <w:i/>
          <w:spacing w:val="-10"/>
          <w:sz w:val="24"/>
        </w:rPr>
        <w:t> </w:t>
      </w:r>
      <w:r>
        <w:rPr>
          <w:i/>
          <w:sz w:val="24"/>
        </w:rPr>
        <w:t>responses</w:t>
      </w:r>
      <w:r>
        <w:rPr>
          <w:i/>
          <w:spacing w:val="-10"/>
          <w:sz w:val="24"/>
        </w:rPr>
        <w:t> </w:t>
      </w:r>
      <w:r>
        <w:rPr>
          <w:i/>
          <w:sz w:val="24"/>
        </w:rPr>
        <w:t>to</w:t>
      </w:r>
      <w:r>
        <w:rPr>
          <w:i/>
          <w:spacing w:val="-10"/>
          <w:sz w:val="24"/>
        </w:rPr>
        <w:t> </w:t>
      </w:r>
      <w:r>
        <w:rPr>
          <w:i/>
          <w:sz w:val="24"/>
        </w:rPr>
        <w:t>water</w:t>
      </w:r>
      <w:r>
        <w:rPr>
          <w:i/>
          <w:spacing w:val="-11"/>
          <w:sz w:val="24"/>
        </w:rPr>
        <w:t> </w:t>
      </w:r>
      <w:r>
        <w:rPr>
          <w:i/>
          <w:sz w:val="24"/>
        </w:rPr>
        <w:t>supply: A service quality approach</w:t>
      </w:r>
      <w:r>
        <w:rPr>
          <w:sz w:val="24"/>
        </w:rPr>
        <w:t>. Washington, DC: World Bank</w:t>
      </w:r>
    </w:p>
    <w:p>
      <w:pPr>
        <w:pStyle w:val="BodyText"/>
      </w:pPr>
    </w:p>
    <w:p>
      <w:pPr>
        <w:spacing w:before="0"/>
        <w:ind w:left="547" w:right="112" w:hanging="432"/>
        <w:jc w:val="both"/>
        <w:rPr>
          <w:sz w:val="24"/>
        </w:rPr>
      </w:pPr>
      <w:r>
        <w:rPr>
          <w:sz w:val="24"/>
        </w:rPr>
        <w:t>Hung, A. M., Goodwin, A., &amp; Fini, E. H. (2017). Effects of water exposure on bitumen surface microstructure. </w:t>
      </w:r>
      <w:r>
        <w:rPr>
          <w:i/>
          <w:sz w:val="24"/>
        </w:rPr>
        <w:t>Construction and Building Materials</w:t>
      </w:r>
      <w:r>
        <w:rPr>
          <w:sz w:val="24"/>
        </w:rPr>
        <w:t>, </w:t>
      </w:r>
      <w:r>
        <w:rPr>
          <w:i/>
          <w:sz w:val="24"/>
        </w:rPr>
        <w:t>135</w:t>
      </w:r>
      <w:r>
        <w:rPr>
          <w:sz w:val="24"/>
        </w:rPr>
        <w:t>, 682-688.</w:t>
      </w:r>
    </w:p>
    <w:p>
      <w:pPr>
        <w:pStyle w:val="BodyText"/>
      </w:pPr>
    </w:p>
    <w:p>
      <w:pPr>
        <w:pStyle w:val="BodyText"/>
        <w:ind w:left="547" w:right="111" w:hanging="432"/>
        <w:jc w:val="both"/>
      </w:pPr>
      <w:r>
        <w:rPr/>
        <w:t>Ifabiyi, P. I., Oladele, B., &amp; Salau, W. (2020). Water poverty assessment in olorunsogo local government area of oyo state, Nigeria. </w:t>
      </w:r>
      <w:r>
        <w:rPr>
          <w:i/>
        </w:rPr>
        <w:t>Geosfera Indonesia</w:t>
      </w:r>
      <w:r>
        <w:rPr/>
        <w:t>, </w:t>
      </w:r>
      <w:r>
        <w:rPr>
          <w:i/>
        </w:rPr>
        <w:t>5</w:t>
      </w:r>
      <w:r>
        <w:rPr/>
        <w:t>(1), 92-105.</w:t>
      </w:r>
    </w:p>
    <w:p>
      <w:pPr>
        <w:pStyle w:val="BodyText"/>
        <w:spacing w:before="1"/>
      </w:pPr>
    </w:p>
    <w:p>
      <w:pPr>
        <w:spacing w:before="0"/>
        <w:ind w:left="547" w:right="112" w:hanging="432"/>
        <w:jc w:val="both"/>
        <w:rPr>
          <w:sz w:val="24"/>
        </w:rPr>
      </w:pPr>
      <w:r>
        <w:rPr>
          <w:sz w:val="24"/>
        </w:rPr>
        <w:t>Ifabiyi, I. P., &amp; Ogunbode, T. O. (2014). The use of composite water poverty</w:t>
      </w:r>
      <w:r>
        <w:rPr>
          <w:spacing w:val="-3"/>
          <w:sz w:val="24"/>
        </w:rPr>
        <w:t> </w:t>
      </w:r>
      <w:r>
        <w:rPr>
          <w:sz w:val="24"/>
        </w:rPr>
        <w:t>index in assessing water scarcity in the rural areas of Oyo State, Nigeria. </w:t>
      </w:r>
      <w:r>
        <w:rPr>
          <w:i/>
          <w:sz w:val="24"/>
        </w:rPr>
        <w:t>AFRREV STECH: An International Journal of Science and Technology</w:t>
      </w:r>
      <w:r>
        <w:rPr>
          <w:sz w:val="24"/>
        </w:rPr>
        <w:t>, </w:t>
      </w:r>
      <w:r>
        <w:rPr>
          <w:i/>
          <w:sz w:val="24"/>
        </w:rPr>
        <w:t>3</w:t>
      </w:r>
      <w:r>
        <w:rPr>
          <w:sz w:val="24"/>
        </w:rPr>
        <w:t>(2), 51-65.</w:t>
      </w:r>
    </w:p>
    <w:p>
      <w:pPr>
        <w:pStyle w:val="BodyText"/>
      </w:pPr>
    </w:p>
    <w:p>
      <w:pPr>
        <w:pStyle w:val="BodyText"/>
        <w:ind w:left="547" w:right="108" w:hanging="432"/>
        <w:jc w:val="both"/>
      </w:pPr>
      <w:r>
        <w:rPr/>
        <w:t>Ishaku, H.T., Rafee Majid, M., Ajayi, A. P., &amp; Haruna, A. (2011). Water supply dilemma in Nigerian rural communities: looking towards the sky for an answer. </w:t>
      </w:r>
      <w:r>
        <w:rPr>
          <w:i/>
        </w:rPr>
        <w:t>Journal of Water Resource and Protection</w:t>
      </w:r>
      <w:r>
        <w:rPr/>
        <w:t>. 3, 598-606. doi:10.4236/jwarp.2011.38069 .</w:t>
      </w:r>
    </w:p>
    <w:p>
      <w:pPr>
        <w:pStyle w:val="BodyText"/>
        <w:ind w:left="547" w:right="109" w:hanging="432"/>
        <w:jc w:val="both"/>
      </w:pPr>
      <w:r>
        <w:rPr/>
        <w:t>Jakus,</w:t>
      </w:r>
      <w:r>
        <w:rPr>
          <w:spacing w:val="-9"/>
        </w:rPr>
        <w:t> </w:t>
      </w:r>
      <w:r>
        <w:rPr/>
        <w:t>P.,</w:t>
      </w:r>
      <w:r>
        <w:rPr>
          <w:spacing w:val="-10"/>
        </w:rPr>
        <w:t> </w:t>
      </w:r>
      <w:r>
        <w:rPr/>
        <w:t>Shaw,</w:t>
      </w:r>
      <w:r>
        <w:rPr>
          <w:spacing w:val="-10"/>
        </w:rPr>
        <w:t> </w:t>
      </w:r>
      <w:r>
        <w:rPr/>
        <w:t>W.D.,</w:t>
      </w:r>
      <w:r>
        <w:rPr>
          <w:spacing w:val="-10"/>
        </w:rPr>
        <w:t> </w:t>
      </w:r>
      <w:r>
        <w:rPr/>
        <w:t>Nguyen,</w:t>
      </w:r>
      <w:r>
        <w:rPr>
          <w:spacing w:val="-8"/>
        </w:rPr>
        <w:t> </w:t>
      </w:r>
      <w:r>
        <w:rPr/>
        <w:t>T.,</w:t>
      </w:r>
      <w:r>
        <w:rPr>
          <w:spacing w:val="-8"/>
        </w:rPr>
        <w:t> </w:t>
      </w:r>
      <w:r>
        <w:rPr/>
        <w:t>&amp;Walker,</w:t>
      </w:r>
      <w:r>
        <w:rPr>
          <w:spacing w:val="-10"/>
        </w:rPr>
        <w:t> </w:t>
      </w:r>
      <w:r>
        <w:rPr/>
        <w:t>M.</w:t>
      </w:r>
      <w:r>
        <w:rPr>
          <w:spacing w:val="-7"/>
        </w:rPr>
        <w:t> </w:t>
      </w:r>
      <w:r>
        <w:rPr/>
        <w:t>(2009).</w:t>
      </w:r>
      <w:r>
        <w:rPr>
          <w:spacing w:val="-10"/>
        </w:rPr>
        <w:t> </w:t>
      </w:r>
      <w:r>
        <w:rPr/>
        <w:t>Risk</w:t>
      </w:r>
      <w:r>
        <w:rPr>
          <w:spacing w:val="-9"/>
        </w:rPr>
        <w:t> </w:t>
      </w:r>
      <w:r>
        <w:rPr/>
        <w:t>perceptions</w:t>
      </w:r>
      <w:r>
        <w:rPr>
          <w:spacing w:val="-9"/>
        </w:rPr>
        <w:t> </w:t>
      </w:r>
      <w:r>
        <w:rPr/>
        <w:t>of</w:t>
      </w:r>
      <w:r>
        <w:rPr>
          <w:spacing w:val="-10"/>
        </w:rPr>
        <w:t> </w:t>
      </w:r>
      <w:r>
        <w:rPr/>
        <w:t>arsenic</w:t>
      </w:r>
      <w:r>
        <w:rPr>
          <w:spacing w:val="-10"/>
        </w:rPr>
        <w:t> </w:t>
      </w:r>
      <w:r>
        <w:rPr/>
        <w:t>in</w:t>
      </w:r>
      <w:r>
        <w:rPr>
          <w:spacing w:val="-9"/>
        </w:rPr>
        <w:t> </w:t>
      </w:r>
      <w:r>
        <w:rPr/>
        <w:t>tap</w:t>
      </w:r>
      <w:r>
        <w:rPr>
          <w:spacing w:val="-8"/>
        </w:rPr>
        <w:t> </w:t>
      </w:r>
      <w:r>
        <w:rPr/>
        <w:t>water and consumption of bottled water. </w:t>
      </w:r>
      <w:r>
        <w:rPr>
          <w:i/>
        </w:rPr>
        <w:t>Water Resource. Research, </w:t>
      </w:r>
      <w:r>
        <w:rPr/>
        <w:t>45, (5), 1-8. </w:t>
      </w:r>
      <w:r>
        <w:rPr>
          <w:spacing w:val="-2"/>
        </w:rPr>
        <w:t>doi:10.1029/2008WR007427.</w:t>
      </w:r>
    </w:p>
    <w:p>
      <w:pPr>
        <w:pStyle w:val="BodyText"/>
        <w:spacing w:before="1"/>
      </w:pPr>
    </w:p>
    <w:p>
      <w:pPr>
        <w:pStyle w:val="BodyText"/>
        <w:ind w:left="547" w:right="112" w:hanging="432"/>
        <w:jc w:val="both"/>
      </w:pPr>
      <w:r>
        <w:rPr/>
        <w:t>Jamal, S. &amp; Rahman, S. (2012). Adopted Community Strategies to Offset Utility Crises in a Middle-Income Locality of Dhaka, Bangladesh. </w:t>
      </w:r>
      <w:r>
        <w:rPr>
          <w:i/>
        </w:rPr>
        <w:t>Developing Country Studies, </w:t>
      </w:r>
      <w:r>
        <w:rPr/>
        <w:t>2, 12-21.</w:t>
      </w:r>
    </w:p>
    <w:p>
      <w:pPr>
        <w:pStyle w:val="BodyText"/>
      </w:pPr>
    </w:p>
    <w:p>
      <w:pPr>
        <w:pStyle w:val="BodyText"/>
        <w:ind w:left="547" w:right="106" w:hanging="432"/>
        <w:jc w:val="both"/>
      </w:pPr>
      <w:r>
        <w:rPr/>
        <w:t>Jemmali, H. (2018). Water poverty in Africa: A review and synthesis of issues, potentials, and policy implications. </w:t>
      </w:r>
      <w:r>
        <w:rPr>
          <w:i/>
        </w:rPr>
        <w:t>Social Indicator Resources</w:t>
      </w:r>
      <w:r>
        <w:rPr/>
        <w:t>, 136, 335-358. DOI 10.1007/s11205-016- </w:t>
      </w:r>
      <w:r>
        <w:rPr>
          <w:spacing w:val="-2"/>
        </w:rPr>
        <w:t>1521-0</w:t>
      </w:r>
    </w:p>
    <w:p>
      <w:pPr>
        <w:pStyle w:val="BodyText"/>
      </w:pPr>
    </w:p>
    <w:p>
      <w:pPr>
        <w:pStyle w:val="BodyText"/>
        <w:ind w:left="547" w:right="106" w:hanging="432"/>
        <w:jc w:val="both"/>
      </w:pPr>
      <w:r>
        <w:rPr/>
        <w:t>Jemmali, H., &amp; Matoussi, M. S. (2013). A multidimensional analysis of water poverty at local scale: application of improved water poverty index for Tunisia.” </w:t>
      </w:r>
      <w:r>
        <w:rPr>
          <w:i/>
        </w:rPr>
        <w:t>Water Policy</w:t>
      </w:r>
      <w:r>
        <w:rPr/>
        <w:t>, 15(1), 98- </w:t>
      </w:r>
      <w:r>
        <w:rPr>
          <w:spacing w:val="-4"/>
        </w:rPr>
        <w:t>115.</w:t>
      </w:r>
    </w:p>
    <w:p>
      <w:pPr>
        <w:pStyle w:val="BodyText"/>
      </w:pPr>
    </w:p>
    <w:p>
      <w:pPr>
        <w:pStyle w:val="BodyText"/>
        <w:ind w:left="547" w:right="109" w:hanging="432"/>
        <w:jc w:val="both"/>
      </w:pPr>
      <w:r>
        <w:rPr/>
        <w:t>Jimenez, A., Molinero, J., &amp; Perez-Foguet, A. (2008). Monitoring water poverty. A vision from development practioners. </w:t>
      </w:r>
      <w:r>
        <w:rPr>
          <w:i/>
        </w:rPr>
        <w:t>In </w:t>
      </w:r>
      <w:r>
        <w:rPr/>
        <w:t>llamas.</w:t>
      </w:r>
      <w:r>
        <w:rPr>
          <w:spacing w:val="40"/>
        </w:rPr>
        <w:t> </w:t>
      </w:r>
      <w:r>
        <w:rPr/>
        <w:t>LMC, M.R AND MUKHERJI, A. (eds) </w:t>
      </w:r>
      <w:r>
        <w:rPr>
          <w:i/>
        </w:rPr>
        <w:t>Water Ethics</w:t>
      </w:r>
      <w:r>
        <w:rPr/>
        <w:t>. Marceimo botim water forum. Oxfordshire United Kingdom</w:t>
      </w:r>
      <w:r>
        <w:rPr>
          <w:b/>
        </w:rPr>
        <w:t>: </w:t>
      </w:r>
      <w:r>
        <w:rPr/>
        <w:t>Taylor and Francis.</w:t>
      </w:r>
    </w:p>
    <w:p>
      <w:pPr>
        <w:pStyle w:val="BodyText"/>
        <w:spacing w:before="1"/>
      </w:pPr>
    </w:p>
    <w:p>
      <w:pPr>
        <w:spacing w:line="240" w:lineRule="auto" w:before="0"/>
        <w:ind w:left="547" w:right="105" w:hanging="432"/>
        <w:jc w:val="both"/>
        <w:rPr>
          <w:sz w:val="24"/>
        </w:rPr>
      </w:pPr>
      <w:r>
        <w:rPr>
          <w:sz w:val="24"/>
        </w:rPr>
        <w:t>Jimenez-Cisneros, B.E., Oki, T., Arnell, N.W., Benito, G., Cogley, J.G., Doll, P., Jiang, T., &amp; Mwakalila, S.S. (2014). Freshwater resources in climate change: Impacts, adaptation, and vulnerability. Part a: global and sectoral aspects. </w:t>
      </w:r>
      <w:r>
        <w:rPr>
          <w:i/>
          <w:sz w:val="24"/>
        </w:rPr>
        <w:t>In Contribution of working group II to the fifth assessment report of the intergovernmental panel on climate change</w:t>
      </w:r>
      <w:r>
        <w:rPr>
          <w:sz w:val="24"/>
        </w:rPr>
        <w:t>.</w:t>
      </w:r>
    </w:p>
    <w:p>
      <w:pPr>
        <w:pStyle w:val="BodyText"/>
        <w:spacing w:before="273"/>
        <w:ind w:left="115"/>
      </w:pPr>
      <w:r>
        <w:rPr/>
        <w:t>Jollife,</w:t>
      </w:r>
      <w:r>
        <w:rPr>
          <w:spacing w:val="48"/>
        </w:rPr>
        <w:t> </w:t>
      </w:r>
      <w:r>
        <w:rPr/>
        <w:t>I.</w:t>
      </w:r>
      <w:r>
        <w:rPr>
          <w:spacing w:val="48"/>
        </w:rPr>
        <w:t> </w:t>
      </w:r>
      <w:r>
        <w:rPr/>
        <w:t>(1972).</w:t>
      </w:r>
      <w:r>
        <w:rPr>
          <w:spacing w:val="48"/>
        </w:rPr>
        <w:t> </w:t>
      </w:r>
      <w:r>
        <w:rPr/>
        <w:t>Discarding</w:t>
      </w:r>
      <w:r>
        <w:rPr>
          <w:spacing w:val="45"/>
        </w:rPr>
        <w:t> </w:t>
      </w:r>
      <w:r>
        <w:rPr/>
        <w:t>variables</w:t>
      </w:r>
      <w:r>
        <w:rPr>
          <w:spacing w:val="48"/>
        </w:rPr>
        <w:t> </w:t>
      </w:r>
      <w:r>
        <w:rPr/>
        <w:t>in</w:t>
      </w:r>
      <w:r>
        <w:rPr>
          <w:spacing w:val="48"/>
        </w:rPr>
        <w:t> </w:t>
      </w:r>
      <w:r>
        <w:rPr/>
        <w:t>a</w:t>
      </w:r>
      <w:r>
        <w:rPr>
          <w:spacing w:val="47"/>
        </w:rPr>
        <w:t> </w:t>
      </w:r>
      <w:r>
        <w:rPr/>
        <w:t>principal</w:t>
      </w:r>
      <w:r>
        <w:rPr>
          <w:spacing w:val="49"/>
        </w:rPr>
        <w:t> </w:t>
      </w:r>
      <w:r>
        <w:rPr/>
        <w:t>component</w:t>
      </w:r>
      <w:r>
        <w:rPr>
          <w:spacing w:val="48"/>
        </w:rPr>
        <w:t> </w:t>
      </w:r>
      <w:r>
        <w:rPr/>
        <w:t>analysis.</w:t>
      </w:r>
      <w:r>
        <w:rPr>
          <w:spacing w:val="51"/>
        </w:rPr>
        <w:t> </w:t>
      </w:r>
      <w:r>
        <w:rPr/>
        <w:t>I:</w:t>
      </w:r>
      <w:r>
        <w:rPr>
          <w:spacing w:val="48"/>
        </w:rPr>
        <w:t> </w:t>
      </w:r>
      <w:r>
        <w:rPr/>
        <w:t>Artificial</w:t>
      </w:r>
      <w:r>
        <w:rPr>
          <w:spacing w:val="49"/>
        </w:rPr>
        <w:t> </w:t>
      </w:r>
      <w:r>
        <w:rPr>
          <w:spacing w:val="-2"/>
        </w:rPr>
        <w:t>data.</w:t>
      </w:r>
    </w:p>
    <w:p>
      <w:pPr>
        <w:spacing w:before="0"/>
        <w:ind w:left="547" w:right="0" w:firstLine="0"/>
        <w:jc w:val="left"/>
        <w:rPr>
          <w:sz w:val="24"/>
        </w:rPr>
      </w:pPr>
      <w:r>
        <w:rPr>
          <w:i/>
          <w:sz w:val="24"/>
        </w:rPr>
        <w:t>Applied</w:t>
      </w:r>
      <w:r>
        <w:rPr>
          <w:i/>
          <w:spacing w:val="-2"/>
          <w:sz w:val="24"/>
        </w:rPr>
        <w:t> </w:t>
      </w:r>
      <w:r>
        <w:rPr>
          <w:i/>
          <w:sz w:val="24"/>
        </w:rPr>
        <w:t>Statistics</w:t>
      </w:r>
      <w:r>
        <w:rPr>
          <w:i/>
          <w:spacing w:val="-1"/>
          <w:sz w:val="24"/>
        </w:rPr>
        <w:t> </w:t>
      </w:r>
      <w:r>
        <w:rPr>
          <w:sz w:val="24"/>
        </w:rPr>
        <w:t>21(2),</w:t>
      </w:r>
      <w:r>
        <w:rPr>
          <w:spacing w:val="-1"/>
          <w:sz w:val="24"/>
        </w:rPr>
        <w:t> </w:t>
      </w:r>
      <w:r>
        <w:rPr>
          <w:sz w:val="24"/>
        </w:rPr>
        <w:t>160-</w:t>
      </w:r>
      <w:r>
        <w:rPr>
          <w:spacing w:val="-4"/>
          <w:sz w:val="24"/>
        </w:rPr>
        <w:t>173.</w:t>
      </w:r>
    </w:p>
    <w:p>
      <w:pPr>
        <w:spacing w:after="0"/>
        <w:jc w:val="left"/>
        <w:rPr>
          <w:sz w:val="24"/>
        </w:rPr>
        <w:sectPr>
          <w:pgSz w:w="12240" w:h="15840"/>
          <w:pgMar w:header="0" w:footer="1068" w:top="1340" w:bottom="1260" w:left="1440" w:right="1300"/>
        </w:sectPr>
      </w:pPr>
    </w:p>
    <w:p>
      <w:pPr>
        <w:spacing w:before="79"/>
        <w:ind w:left="115" w:right="0" w:firstLine="0"/>
        <w:jc w:val="left"/>
        <w:rPr>
          <w:sz w:val="24"/>
        </w:rPr>
      </w:pPr>
      <w:r>
        <w:rPr>
          <w:sz w:val="24"/>
        </w:rPr>
        <w:t>Jowett,</w:t>
      </w:r>
      <w:r>
        <w:rPr>
          <w:spacing w:val="-4"/>
          <w:sz w:val="24"/>
        </w:rPr>
        <w:t> </w:t>
      </w:r>
      <w:r>
        <w:rPr>
          <w:sz w:val="24"/>
        </w:rPr>
        <w:t>B.</w:t>
      </w:r>
      <w:r>
        <w:rPr>
          <w:spacing w:val="-1"/>
          <w:sz w:val="24"/>
        </w:rPr>
        <w:t> </w:t>
      </w:r>
      <w:r>
        <w:rPr>
          <w:sz w:val="24"/>
        </w:rPr>
        <w:t>(1941).</w:t>
      </w:r>
      <w:r>
        <w:rPr>
          <w:spacing w:val="-2"/>
          <w:sz w:val="24"/>
        </w:rPr>
        <w:t> </w:t>
      </w:r>
      <w:r>
        <w:rPr>
          <w:i/>
          <w:sz w:val="24"/>
        </w:rPr>
        <w:t>The</w:t>
      </w:r>
      <w:r>
        <w:rPr>
          <w:i/>
          <w:spacing w:val="-2"/>
          <w:sz w:val="24"/>
        </w:rPr>
        <w:t> </w:t>
      </w:r>
      <w:r>
        <w:rPr>
          <w:i/>
          <w:sz w:val="24"/>
        </w:rPr>
        <w:t>Basic Works</w:t>
      </w:r>
      <w:r>
        <w:rPr>
          <w:i/>
          <w:spacing w:val="-1"/>
          <w:sz w:val="24"/>
        </w:rPr>
        <w:t> </w:t>
      </w:r>
      <w:r>
        <w:rPr>
          <w:i/>
          <w:sz w:val="24"/>
        </w:rPr>
        <w:t>of</w:t>
      </w:r>
      <w:r>
        <w:rPr>
          <w:i/>
          <w:spacing w:val="-2"/>
          <w:sz w:val="24"/>
        </w:rPr>
        <w:t> </w:t>
      </w:r>
      <w:r>
        <w:rPr>
          <w:i/>
          <w:sz w:val="24"/>
        </w:rPr>
        <w:t>Aristotle </w:t>
      </w:r>
      <w:r>
        <w:rPr>
          <w:sz w:val="24"/>
        </w:rPr>
        <w:t>(in</w:t>
      </w:r>
      <w:r>
        <w:rPr>
          <w:spacing w:val="-1"/>
          <w:sz w:val="24"/>
        </w:rPr>
        <w:t> </w:t>
      </w:r>
      <w:r>
        <w:rPr>
          <w:sz w:val="24"/>
        </w:rPr>
        <w:t>Richard</w:t>
      </w:r>
      <w:r>
        <w:rPr>
          <w:spacing w:val="-1"/>
          <w:sz w:val="24"/>
        </w:rPr>
        <w:t> </w:t>
      </w:r>
      <w:r>
        <w:rPr>
          <w:sz w:val="24"/>
        </w:rPr>
        <w:t>Mckenon</w:t>
      </w:r>
      <w:r>
        <w:rPr>
          <w:spacing w:val="1"/>
          <w:sz w:val="24"/>
        </w:rPr>
        <w:t> </w:t>
      </w:r>
      <w:r>
        <w:rPr>
          <w:sz w:val="24"/>
        </w:rPr>
        <w:t>(ed.) pp.1113-</w:t>
      </w:r>
      <w:r>
        <w:rPr>
          <w:spacing w:val="-2"/>
          <w:sz w:val="24"/>
        </w:rPr>
        <w:t>1316.</w:t>
      </w:r>
    </w:p>
    <w:p>
      <w:pPr>
        <w:pStyle w:val="BodyText"/>
      </w:pPr>
    </w:p>
    <w:p>
      <w:pPr>
        <w:pStyle w:val="BodyText"/>
        <w:ind w:left="547" w:right="114" w:hanging="432"/>
        <w:jc w:val="both"/>
      </w:pPr>
      <w:r>
        <w:rPr/>
        <w:t>Korc,</w:t>
      </w:r>
      <w:r>
        <w:rPr>
          <w:spacing w:val="-1"/>
        </w:rPr>
        <w:t> </w:t>
      </w:r>
      <w:r>
        <w:rPr/>
        <w:t>M.</w:t>
      </w:r>
      <w:r>
        <w:rPr>
          <w:spacing w:val="-1"/>
        </w:rPr>
        <w:t> </w:t>
      </w:r>
      <w:r>
        <w:rPr/>
        <w:t>E., &amp;</w:t>
      </w:r>
      <w:r>
        <w:rPr>
          <w:spacing w:val="-1"/>
        </w:rPr>
        <w:t> </w:t>
      </w:r>
      <w:r>
        <w:rPr/>
        <w:t>Ford,</w:t>
      </w:r>
      <w:r>
        <w:rPr>
          <w:spacing w:val="-1"/>
        </w:rPr>
        <w:t> </w:t>
      </w:r>
      <w:r>
        <w:rPr/>
        <w:t>P. B.</w:t>
      </w:r>
      <w:r>
        <w:rPr>
          <w:spacing w:val="-1"/>
        </w:rPr>
        <w:t> </w:t>
      </w:r>
      <w:r>
        <w:rPr/>
        <w:t>(2013). Application</w:t>
      </w:r>
      <w:r>
        <w:rPr>
          <w:spacing w:val="-1"/>
        </w:rPr>
        <w:t> </w:t>
      </w:r>
      <w:r>
        <w:rPr/>
        <w:t>of the</w:t>
      </w:r>
      <w:r>
        <w:rPr>
          <w:spacing w:val="-1"/>
        </w:rPr>
        <w:t> </w:t>
      </w:r>
      <w:r>
        <w:rPr/>
        <w:t>Water</w:t>
      </w:r>
      <w:r>
        <w:rPr>
          <w:spacing w:val="-2"/>
        </w:rPr>
        <w:t> </w:t>
      </w:r>
      <w:r>
        <w:rPr/>
        <w:t>Poverty</w:t>
      </w:r>
      <w:r>
        <w:rPr>
          <w:spacing w:val="-3"/>
        </w:rPr>
        <w:t> </w:t>
      </w:r>
      <w:r>
        <w:rPr/>
        <w:t>Index in</w:t>
      </w:r>
      <w:r>
        <w:rPr>
          <w:spacing w:val="-1"/>
        </w:rPr>
        <w:t> </w:t>
      </w:r>
      <w:r>
        <w:rPr/>
        <w:t>border</w:t>
      </w:r>
      <w:r>
        <w:rPr>
          <w:spacing w:val="-1"/>
        </w:rPr>
        <w:t> </w:t>
      </w:r>
      <w:r>
        <w:rPr/>
        <w:t>colonias</w:t>
      </w:r>
      <w:r>
        <w:rPr>
          <w:spacing w:val="-1"/>
        </w:rPr>
        <w:t> </w:t>
      </w:r>
      <w:r>
        <w:rPr/>
        <w:t>of west Texas. </w:t>
      </w:r>
      <w:r>
        <w:rPr>
          <w:i/>
        </w:rPr>
        <w:t>Water Policy</w:t>
      </w:r>
      <w:r>
        <w:rPr/>
        <w:t>, </w:t>
      </w:r>
      <w:r>
        <w:rPr>
          <w:i/>
        </w:rPr>
        <w:t>15</w:t>
      </w:r>
      <w:r>
        <w:rPr/>
        <w:t>(1), 79-97.</w:t>
      </w:r>
    </w:p>
    <w:p>
      <w:pPr>
        <w:pStyle w:val="BodyText"/>
      </w:pPr>
    </w:p>
    <w:p>
      <w:pPr>
        <w:pStyle w:val="BodyText"/>
        <w:ind w:left="547" w:right="111" w:hanging="432"/>
        <w:jc w:val="both"/>
      </w:pPr>
      <w:r>
        <w:rPr/>
        <w:t>Kovacevic, M. (2010). Review of HDI critiques and potential improvements. United Nations Development Programme: Human Development Report Research Paper 2010/33.</w:t>
      </w:r>
    </w:p>
    <w:p>
      <w:pPr>
        <w:pStyle w:val="BodyText"/>
      </w:pPr>
    </w:p>
    <w:p>
      <w:pPr>
        <w:spacing w:before="0"/>
        <w:ind w:left="547" w:right="107" w:hanging="432"/>
        <w:jc w:val="both"/>
        <w:rPr>
          <w:sz w:val="24"/>
        </w:rPr>
      </w:pPr>
      <w:r>
        <w:rPr>
          <w:sz w:val="24"/>
        </w:rPr>
        <w:t>Kudat, A., Alikram, A. &amp; Musayev, A. (1997). A social assessment of the Baku Water Supply Project. In: CERNEA, M. M. &amp; KUDAT, A. (eds.). </w:t>
      </w:r>
      <w:r>
        <w:rPr>
          <w:i/>
          <w:sz w:val="24"/>
        </w:rPr>
        <w:t>Social assessments for better development: Case studies in Russia and Central Asia. </w:t>
      </w:r>
      <w:r>
        <w:rPr>
          <w:sz w:val="24"/>
        </w:rPr>
        <w:t>Washington, DC: World Bank.</w:t>
      </w:r>
    </w:p>
    <w:p>
      <w:pPr>
        <w:pStyle w:val="BodyText"/>
        <w:spacing w:before="1"/>
      </w:pPr>
    </w:p>
    <w:p>
      <w:pPr>
        <w:pStyle w:val="BodyText"/>
        <w:ind w:left="547" w:right="108" w:hanging="432"/>
        <w:jc w:val="both"/>
      </w:pPr>
      <w:r>
        <w:rPr/>
        <w:t>Kudat, A., Bell, M. E., Boland, J. J., Humplick, F., Madanat, S. &amp; Mukherjee, N. I. (1993). Reliability of urban water supply in developing countries: The emperor has no clothes. </w:t>
      </w:r>
      <w:r>
        <w:rPr>
          <w:i/>
        </w:rPr>
        <w:t>Working Paper</w:t>
      </w:r>
      <w:r>
        <w:rPr/>
        <w:t>. The World Bank.</w:t>
      </w:r>
    </w:p>
    <w:p>
      <w:pPr>
        <w:pStyle w:val="BodyText"/>
      </w:pPr>
    </w:p>
    <w:p>
      <w:pPr>
        <w:spacing w:before="0"/>
        <w:ind w:left="547" w:right="108" w:hanging="432"/>
        <w:jc w:val="both"/>
        <w:rPr>
          <w:sz w:val="24"/>
        </w:rPr>
      </w:pPr>
      <w:r>
        <w:rPr>
          <w:color w:val="212121"/>
          <w:sz w:val="24"/>
        </w:rPr>
        <w:t>Kumar, D., &amp; Alappat, B. J. (2004). Selection of the appropriate aggregation function for calculating leachate pollution index. </w:t>
      </w:r>
      <w:r>
        <w:rPr>
          <w:i/>
          <w:color w:val="212121"/>
          <w:sz w:val="24"/>
        </w:rPr>
        <w:t>Practice Periodical of Hazardous, Toxic, and Radioactive Waste Management</w:t>
      </w:r>
      <w:r>
        <w:rPr>
          <w:color w:val="212121"/>
          <w:sz w:val="24"/>
        </w:rPr>
        <w:t>, </w:t>
      </w:r>
      <w:r>
        <w:rPr>
          <w:i/>
          <w:color w:val="212121"/>
          <w:sz w:val="24"/>
        </w:rPr>
        <w:t>8</w:t>
      </w:r>
      <w:r>
        <w:rPr>
          <w:color w:val="212121"/>
          <w:sz w:val="24"/>
        </w:rPr>
        <w:t>(4), 253-264.</w:t>
      </w:r>
    </w:p>
    <w:p>
      <w:pPr>
        <w:pStyle w:val="BodyText"/>
      </w:pPr>
    </w:p>
    <w:p>
      <w:pPr>
        <w:pStyle w:val="BodyText"/>
        <w:ind w:left="547" w:right="107" w:hanging="432"/>
        <w:jc w:val="both"/>
      </w:pPr>
      <w:r>
        <w:rPr/>
        <w:t>Kummu, M., Guillaume, J. H. A., de Moel, H., Eisner, S., Flörke, M., Porkka, S. &amp; Ward, P. J. (2016). The world’s road to water scarcity: Shortage and stress in the 20th century and pathways</w:t>
      </w:r>
      <w:r>
        <w:rPr>
          <w:spacing w:val="-12"/>
        </w:rPr>
        <w:t> </w:t>
      </w:r>
      <w:r>
        <w:rPr/>
        <w:t>towards</w:t>
      </w:r>
      <w:r>
        <w:rPr>
          <w:spacing w:val="-12"/>
        </w:rPr>
        <w:t> </w:t>
      </w:r>
      <w:r>
        <w:rPr/>
        <w:t>sustainability,</w:t>
      </w:r>
      <w:r>
        <w:rPr>
          <w:spacing w:val="-10"/>
        </w:rPr>
        <w:t> </w:t>
      </w:r>
      <w:r>
        <w:rPr>
          <w:i/>
        </w:rPr>
        <w:t>Science</w:t>
      </w:r>
      <w:r>
        <w:rPr>
          <w:i/>
          <w:spacing w:val="-12"/>
        </w:rPr>
        <w:t> </w:t>
      </w:r>
      <w:r>
        <w:rPr>
          <w:i/>
        </w:rPr>
        <w:t>Report</w:t>
      </w:r>
      <w:r>
        <w:rPr>
          <w:i/>
          <w:spacing w:val="-11"/>
        </w:rPr>
        <w:t> </w:t>
      </w:r>
      <w:r>
        <w:rPr/>
        <w:t>6,</w:t>
      </w:r>
      <w:r>
        <w:rPr>
          <w:spacing w:val="-11"/>
        </w:rPr>
        <w:t> </w:t>
      </w:r>
      <w:r>
        <w:rPr/>
        <w:t>pp.</w:t>
      </w:r>
      <w:r>
        <w:rPr>
          <w:spacing w:val="-12"/>
        </w:rPr>
        <w:t> </w:t>
      </w:r>
      <w:r>
        <w:rPr/>
        <w:t>384-395.</w:t>
      </w:r>
      <w:r>
        <w:rPr>
          <w:spacing w:val="-11"/>
        </w:rPr>
        <w:t> </w:t>
      </w:r>
      <w:hyperlink r:id="rId72">
        <w:r>
          <w:rPr>
            <w:u w:val="single"/>
          </w:rPr>
          <w:t>doi.org/</w:t>
        </w:r>
      </w:hyperlink>
      <w:r>
        <w:rPr>
          <w:spacing w:val="-11"/>
        </w:rPr>
        <w:t> </w:t>
      </w:r>
      <w:r>
        <w:rPr>
          <w:spacing w:val="-2"/>
        </w:rPr>
        <w:t>10.1038/srep38495.</w:t>
      </w:r>
    </w:p>
    <w:p>
      <w:pPr>
        <w:pStyle w:val="BodyText"/>
        <w:spacing w:before="1"/>
      </w:pPr>
    </w:p>
    <w:p>
      <w:pPr>
        <w:pStyle w:val="BodyText"/>
        <w:ind w:left="547" w:right="105" w:hanging="432"/>
        <w:jc w:val="both"/>
      </w:pPr>
      <w:r>
        <w:rPr/>
        <w:t>Kummu, M., Ward, P.J., de Moel, H., &amp; Varis, O. (2010). Is physical water scarcity a new phenomenon?</w:t>
      </w:r>
      <w:r>
        <w:rPr>
          <w:spacing w:val="-12"/>
        </w:rPr>
        <w:t> </w:t>
      </w:r>
      <w:r>
        <w:rPr/>
        <w:t>Global</w:t>
      </w:r>
      <w:r>
        <w:rPr>
          <w:spacing w:val="-15"/>
        </w:rPr>
        <w:t> </w:t>
      </w:r>
      <w:r>
        <w:rPr/>
        <w:t>assessment</w:t>
      </w:r>
      <w:r>
        <w:rPr>
          <w:spacing w:val="-14"/>
        </w:rPr>
        <w:t> </w:t>
      </w:r>
      <w:r>
        <w:rPr/>
        <w:t>of</w:t>
      </w:r>
      <w:r>
        <w:rPr>
          <w:spacing w:val="-15"/>
        </w:rPr>
        <w:t> </w:t>
      </w:r>
      <w:r>
        <w:rPr/>
        <w:t>water</w:t>
      </w:r>
      <w:r>
        <w:rPr>
          <w:spacing w:val="-15"/>
        </w:rPr>
        <w:t> </w:t>
      </w:r>
      <w:r>
        <w:rPr/>
        <w:t>shortage</w:t>
      </w:r>
      <w:r>
        <w:rPr>
          <w:spacing w:val="-15"/>
        </w:rPr>
        <w:t> </w:t>
      </w:r>
      <w:r>
        <w:rPr/>
        <w:t>over</w:t>
      </w:r>
      <w:r>
        <w:rPr>
          <w:spacing w:val="-15"/>
        </w:rPr>
        <w:t> </w:t>
      </w:r>
      <w:r>
        <w:rPr/>
        <w:t>the</w:t>
      </w:r>
      <w:r>
        <w:rPr>
          <w:spacing w:val="-15"/>
        </w:rPr>
        <w:t> </w:t>
      </w:r>
      <w:r>
        <w:rPr/>
        <w:t>last</w:t>
      </w:r>
      <w:r>
        <w:rPr>
          <w:spacing w:val="-14"/>
        </w:rPr>
        <w:t> </w:t>
      </w:r>
      <w:r>
        <w:rPr/>
        <w:t>two</w:t>
      </w:r>
      <w:r>
        <w:rPr>
          <w:spacing w:val="-14"/>
        </w:rPr>
        <w:t> </w:t>
      </w:r>
      <w:r>
        <w:rPr/>
        <w:t>millenia.</w:t>
      </w:r>
      <w:r>
        <w:rPr>
          <w:spacing w:val="-11"/>
        </w:rPr>
        <w:t> </w:t>
      </w:r>
      <w:r>
        <w:rPr>
          <w:i/>
        </w:rPr>
        <w:t>Environmental Response Letter, </w:t>
      </w:r>
      <w:r>
        <w:rPr/>
        <w:t>5(3), 34-36.</w:t>
      </w:r>
      <w:r>
        <w:rPr>
          <w:spacing w:val="40"/>
        </w:rPr>
        <w:t> </w:t>
      </w:r>
      <w:r>
        <w:rPr/>
        <w:t>Doi.org/10.1088/1748-9326/5/3/034006.</w:t>
      </w:r>
    </w:p>
    <w:p>
      <w:pPr>
        <w:pStyle w:val="BodyText"/>
      </w:pPr>
    </w:p>
    <w:p>
      <w:pPr>
        <w:pStyle w:val="BodyText"/>
        <w:ind w:left="547" w:right="116" w:hanging="432"/>
        <w:jc w:val="both"/>
      </w:pPr>
      <w:r>
        <w:rPr/>
        <w:t>Lawrence, P., Meigh, J., &amp; Sullivan, C. (2002). The Water Poverty Index: An International Comparison, Keele Economic Research Papers 19, Department of Economics, Keele University, Staffordshire, UK,</w:t>
      </w:r>
    </w:p>
    <w:p>
      <w:pPr>
        <w:pStyle w:val="BodyText"/>
      </w:pPr>
    </w:p>
    <w:p>
      <w:pPr>
        <w:spacing w:before="0"/>
        <w:ind w:left="547" w:right="106" w:hanging="432"/>
        <w:jc w:val="both"/>
        <w:rPr>
          <w:sz w:val="24"/>
        </w:rPr>
      </w:pPr>
      <w:r>
        <w:rPr>
          <w:sz w:val="24"/>
        </w:rPr>
        <w:t>Lichtenthailer, G. &amp; Turton, A.R</w:t>
      </w:r>
      <w:r>
        <w:rPr>
          <w:b/>
          <w:sz w:val="24"/>
        </w:rPr>
        <w:t>. </w:t>
      </w:r>
      <w:r>
        <w:rPr>
          <w:sz w:val="24"/>
        </w:rPr>
        <w:t>(1999). </w:t>
      </w:r>
      <w:r>
        <w:rPr>
          <w:i/>
          <w:sz w:val="24"/>
        </w:rPr>
        <w:t>Water demand management, Natural Resource Reconstruction and Traditional Value Systems: A case study from Yemen. </w:t>
      </w:r>
      <w:r>
        <w:rPr>
          <w:sz w:val="24"/>
        </w:rPr>
        <w:t>MEWREW occasional paper No. 14, SOAS water issues study group, University of London.</w:t>
      </w:r>
    </w:p>
    <w:p>
      <w:pPr>
        <w:pStyle w:val="BodyText"/>
      </w:pPr>
    </w:p>
    <w:p>
      <w:pPr>
        <w:pStyle w:val="BodyText"/>
        <w:spacing w:before="1"/>
        <w:ind w:left="115"/>
        <w:jc w:val="both"/>
      </w:pPr>
      <w:r>
        <w:rPr/>
        <w:t>Liu,</w:t>
      </w:r>
      <w:r>
        <w:rPr>
          <w:spacing w:val="11"/>
        </w:rPr>
        <w:t> </w:t>
      </w:r>
      <w:r>
        <w:rPr/>
        <w:t>J.,</w:t>
      </w:r>
      <w:r>
        <w:rPr>
          <w:spacing w:val="10"/>
        </w:rPr>
        <w:t> </w:t>
      </w:r>
      <w:r>
        <w:rPr/>
        <w:t>Oza,</w:t>
      </w:r>
      <w:r>
        <w:rPr>
          <w:spacing w:val="10"/>
        </w:rPr>
        <w:t> </w:t>
      </w:r>
      <w:r>
        <w:rPr/>
        <w:t>S.,</w:t>
      </w:r>
      <w:r>
        <w:rPr>
          <w:spacing w:val="10"/>
        </w:rPr>
        <w:t> </w:t>
      </w:r>
      <w:r>
        <w:rPr/>
        <w:t>Hogan,</w:t>
      </w:r>
      <w:r>
        <w:rPr>
          <w:spacing w:val="13"/>
        </w:rPr>
        <w:t> </w:t>
      </w:r>
      <w:r>
        <w:rPr/>
        <w:t>D.,</w:t>
      </w:r>
      <w:r>
        <w:rPr>
          <w:spacing w:val="10"/>
        </w:rPr>
        <w:t> </w:t>
      </w:r>
      <w:r>
        <w:rPr/>
        <w:t>Perin,</w:t>
      </w:r>
      <w:r>
        <w:rPr>
          <w:spacing w:val="10"/>
        </w:rPr>
        <w:t> </w:t>
      </w:r>
      <w:r>
        <w:rPr/>
        <w:t>J.,</w:t>
      </w:r>
      <w:r>
        <w:rPr>
          <w:spacing w:val="10"/>
        </w:rPr>
        <w:t> </w:t>
      </w:r>
      <w:r>
        <w:rPr/>
        <w:t>Rudan,</w:t>
      </w:r>
      <w:r>
        <w:rPr>
          <w:spacing w:val="10"/>
        </w:rPr>
        <w:t> </w:t>
      </w:r>
      <w:r>
        <w:rPr/>
        <w:t>I.,</w:t>
      </w:r>
      <w:r>
        <w:rPr>
          <w:spacing w:val="13"/>
        </w:rPr>
        <w:t> </w:t>
      </w:r>
      <w:r>
        <w:rPr/>
        <w:t>Lawn,</w:t>
      </w:r>
      <w:r>
        <w:rPr>
          <w:spacing w:val="10"/>
        </w:rPr>
        <w:t> </w:t>
      </w:r>
      <w:r>
        <w:rPr/>
        <w:t>J.E.,</w:t>
      </w:r>
      <w:r>
        <w:rPr>
          <w:spacing w:val="10"/>
        </w:rPr>
        <w:t> </w:t>
      </w:r>
      <w:r>
        <w:rPr/>
        <w:t>Cousens,</w:t>
      </w:r>
      <w:r>
        <w:rPr>
          <w:spacing w:val="11"/>
        </w:rPr>
        <w:t> </w:t>
      </w:r>
      <w:r>
        <w:rPr/>
        <w:t>S.,</w:t>
      </w:r>
      <w:r>
        <w:rPr>
          <w:spacing w:val="8"/>
        </w:rPr>
        <w:t> </w:t>
      </w:r>
      <w:r>
        <w:rPr/>
        <w:t>Mathers,</w:t>
      </w:r>
      <w:r>
        <w:rPr>
          <w:spacing w:val="11"/>
        </w:rPr>
        <w:t> </w:t>
      </w:r>
      <w:r>
        <w:rPr/>
        <w:t>C.,</w:t>
      </w:r>
      <w:r>
        <w:rPr>
          <w:spacing w:val="10"/>
        </w:rPr>
        <w:t> </w:t>
      </w:r>
      <w:r>
        <w:rPr/>
        <w:t>&amp;</w:t>
      </w:r>
      <w:r>
        <w:rPr>
          <w:spacing w:val="12"/>
        </w:rPr>
        <w:t> </w:t>
      </w:r>
      <w:r>
        <w:rPr>
          <w:spacing w:val="-2"/>
        </w:rPr>
        <w:t>Black,</w:t>
      </w:r>
    </w:p>
    <w:p>
      <w:pPr>
        <w:pStyle w:val="BodyText"/>
        <w:ind w:left="547" w:right="105"/>
        <w:jc w:val="both"/>
      </w:pPr>
      <w:r>
        <w:rPr/>
        <w:t>R.E. (2015). Global, regional and national causes of child mortality in 200-2013, with projections</w:t>
      </w:r>
      <w:r>
        <w:rPr>
          <w:spacing w:val="-15"/>
        </w:rPr>
        <w:t> </w:t>
      </w:r>
      <w:r>
        <w:rPr/>
        <w:t>to</w:t>
      </w:r>
      <w:r>
        <w:rPr>
          <w:spacing w:val="-15"/>
        </w:rPr>
        <w:t> </w:t>
      </w:r>
      <w:r>
        <w:rPr/>
        <w:t>inform</w:t>
      </w:r>
      <w:r>
        <w:rPr>
          <w:spacing w:val="-15"/>
        </w:rPr>
        <w:t> </w:t>
      </w:r>
      <w:r>
        <w:rPr/>
        <w:t>post</w:t>
      </w:r>
      <w:r>
        <w:rPr>
          <w:spacing w:val="-15"/>
        </w:rPr>
        <w:t> </w:t>
      </w:r>
      <w:r>
        <w:rPr/>
        <w:t>2015</w:t>
      </w:r>
      <w:r>
        <w:rPr>
          <w:spacing w:val="-15"/>
        </w:rPr>
        <w:t> </w:t>
      </w:r>
      <w:r>
        <w:rPr/>
        <w:t>priorities:</w:t>
      </w:r>
      <w:r>
        <w:rPr>
          <w:spacing w:val="-15"/>
        </w:rPr>
        <w:t> </w:t>
      </w:r>
      <w:r>
        <w:rPr/>
        <w:t>an</w:t>
      </w:r>
      <w:r>
        <w:rPr>
          <w:spacing w:val="-15"/>
        </w:rPr>
        <w:t> </w:t>
      </w:r>
      <w:r>
        <w:rPr/>
        <w:t>updated</w:t>
      </w:r>
      <w:r>
        <w:rPr>
          <w:spacing w:val="-15"/>
        </w:rPr>
        <w:t> </w:t>
      </w:r>
      <w:r>
        <w:rPr/>
        <w:t>systematic</w:t>
      </w:r>
      <w:r>
        <w:rPr>
          <w:spacing w:val="-15"/>
        </w:rPr>
        <w:t> </w:t>
      </w:r>
      <w:r>
        <w:rPr/>
        <w:t>analysis.</w:t>
      </w:r>
      <w:r>
        <w:rPr>
          <w:spacing w:val="-15"/>
        </w:rPr>
        <w:t> </w:t>
      </w:r>
      <w:r>
        <w:rPr>
          <w:i/>
        </w:rPr>
        <w:t>Lancet,</w:t>
      </w:r>
      <w:r>
        <w:rPr>
          <w:i/>
          <w:spacing w:val="-15"/>
        </w:rPr>
        <w:t> </w:t>
      </w:r>
      <w:r>
        <w:rPr/>
        <w:t>385(9966), pp 430-440.</w:t>
      </w:r>
    </w:p>
    <w:p>
      <w:pPr>
        <w:pStyle w:val="BodyText"/>
      </w:pPr>
    </w:p>
    <w:p>
      <w:pPr>
        <w:pStyle w:val="BodyText"/>
        <w:ind w:left="547" w:right="106" w:hanging="432"/>
        <w:jc w:val="both"/>
      </w:pPr>
      <w:r>
        <w:rPr/>
        <w:t>Liu, J., Yang, H., Gosling, S.N., Kummu, M., Flörke, M., Pfister, S., …&amp; Oki, T. (2017).</w:t>
      </w:r>
      <w:r>
        <w:rPr>
          <w:spacing w:val="-1"/>
        </w:rPr>
        <w:t> </w:t>
      </w:r>
      <w:r>
        <w:rPr/>
        <w:t>Water scarcity assessments in the past, present and future. </w:t>
      </w:r>
      <w:r>
        <w:rPr>
          <w:i/>
        </w:rPr>
        <w:t>Earths future </w:t>
      </w:r>
      <w:r>
        <w:rPr/>
        <w:t>5, 545-550. Doi:10- </w:t>
      </w:r>
      <w:r>
        <w:rPr>
          <w:spacing w:val="-2"/>
        </w:rPr>
        <w:t>1002/2016EF000518</w:t>
      </w:r>
    </w:p>
    <w:p>
      <w:pPr>
        <w:spacing w:after="0"/>
        <w:jc w:val="both"/>
        <w:sectPr>
          <w:pgSz w:w="12240" w:h="15840"/>
          <w:pgMar w:header="0" w:footer="1068" w:top="1600" w:bottom="1260" w:left="1440" w:right="1300"/>
        </w:sectPr>
      </w:pPr>
    </w:p>
    <w:p>
      <w:pPr>
        <w:pStyle w:val="BodyText"/>
        <w:spacing w:before="63"/>
        <w:ind w:left="547" w:right="106" w:hanging="432"/>
        <w:jc w:val="both"/>
      </w:pPr>
      <w:r>
        <w:rPr/>
        <w:t>Lyons, W. E. &amp; Lowery, D. (1986). The organization of political space and citizen responses to dissatisfaction in urban communities: an integrative</w:t>
      </w:r>
      <w:r>
        <w:rPr>
          <w:spacing w:val="-1"/>
        </w:rPr>
        <w:t> </w:t>
      </w:r>
      <w:r>
        <w:rPr/>
        <w:t>model.</w:t>
      </w:r>
      <w:r>
        <w:rPr>
          <w:spacing w:val="40"/>
        </w:rPr>
        <w:t> </w:t>
      </w:r>
      <w:r>
        <w:rPr>
          <w:i/>
        </w:rPr>
        <w:t>Journal of Politics, </w:t>
      </w:r>
      <w:r>
        <w:rPr/>
        <w:t>48(2), 321- </w:t>
      </w:r>
      <w:r>
        <w:rPr>
          <w:spacing w:val="-4"/>
        </w:rPr>
        <w:t>46.</w:t>
      </w:r>
    </w:p>
    <w:p>
      <w:pPr>
        <w:pStyle w:val="BodyText"/>
      </w:pPr>
    </w:p>
    <w:p>
      <w:pPr>
        <w:spacing w:before="0"/>
        <w:ind w:left="547" w:right="108" w:hanging="432"/>
        <w:jc w:val="both"/>
        <w:rPr>
          <w:sz w:val="24"/>
        </w:rPr>
      </w:pPr>
      <w:r>
        <w:rPr>
          <w:sz w:val="24"/>
        </w:rPr>
        <w:t>Macheve,</w:t>
      </w:r>
      <w:r>
        <w:rPr>
          <w:spacing w:val="-15"/>
          <w:sz w:val="24"/>
        </w:rPr>
        <w:t> </w:t>
      </w:r>
      <w:r>
        <w:rPr>
          <w:sz w:val="24"/>
        </w:rPr>
        <w:t>B.,</w:t>
      </w:r>
      <w:r>
        <w:rPr>
          <w:spacing w:val="-15"/>
          <w:sz w:val="24"/>
        </w:rPr>
        <w:t> </w:t>
      </w:r>
      <w:r>
        <w:rPr>
          <w:sz w:val="24"/>
        </w:rPr>
        <w:t>Danilenko,</w:t>
      </w:r>
      <w:r>
        <w:rPr>
          <w:spacing w:val="-15"/>
          <w:sz w:val="24"/>
        </w:rPr>
        <w:t> </w:t>
      </w:r>
      <w:r>
        <w:rPr>
          <w:sz w:val="24"/>
        </w:rPr>
        <w:t>A.,</w:t>
      </w:r>
      <w:r>
        <w:rPr>
          <w:spacing w:val="-15"/>
          <w:sz w:val="24"/>
        </w:rPr>
        <w:t> </w:t>
      </w:r>
      <w:r>
        <w:rPr>
          <w:sz w:val="24"/>
        </w:rPr>
        <w:t>Bove,</w:t>
      </w:r>
      <w:r>
        <w:rPr>
          <w:spacing w:val="-15"/>
          <w:sz w:val="24"/>
        </w:rPr>
        <w:t> </w:t>
      </w:r>
      <w:r>
        <w:rPr>
          <w:sz w:val="24"/>
        </w:rPr>
        <w:t>A.,</w:t>
      </w:r>
      <w:r>
        <w:rPr>
          <w:spacing w:val="-15"/>
          <w:sz w:val="24"/>
        </w:rPr>
        <w:t> </w:t>
      </w:r>
      <w:r>
        <w:rPr>
          <w:sz w:val="24"/>
        </w:rPr>
        <w:t>Abdullah,</w:t>
      </w:r>
      <w:r>
        <w:rPr>
          <w:spacing w:val="-15"/>
          <w:sz w:val="24"/>
        </w:rPr>
        <w:t> </w:t>
      </w:r>
      <w:r>
        <w:rPr>
          <w:sz w:val="24"/>
        </w:rPr>
        <w:t>R.</w:t>
      </w:r>
      <w:r>
        <w:rPr>
          <w:spacing w:val="-15"/>
          <w:sz w:val="24"/>
        </w:rPr>
        <w:t> </w:t>
      </w:r>
      <w:r>
        <w:rPr>
          <w:sz w:val="24"/>
        </w:rPr>
        <w:t>and</w:t>
      </w:r>
      <w:r>
        <w:rPr>
          <w:spacing w:val="-15"/>
          <w:sz w:val="24"/>
        </w:rPr>
        <w:t> </w:t>
      </w:r>
      <w:r>
        <w:rPr>
          <w:sz w:val="24"/>
        </w:rPr>
        <w:t>Moffit,</w:t>
      </w:r>
      <w:r>
        <w:rPr>
          <w:spacing w:val="-15"/>
          <w:sz w:val="24"/>
        </w:rPr>
        <w:t> </w:t>
      </w:r>
      <w:r>
        <w:rPr>
          <w:sz w:val="24"/>
        </w:rPr>
        <w:t>L.</w:t>
      </w:r>
      <w:r>
        <w:rPr>
          <w:spacing w:val="-15"/>
          <w:sz w:val="24"/>
        </w:rPr>
        <w:t> </w:t>
      </w:r>
      <w:r>
        <w:rPr>
          <w:sz w:val="24"/>
        </w:rPr>
        <w:t>J.</w:t>
      </w:r>
      <w:r>
        <w:rPr>
          <w:spacing w:val="-15"/>
          <w:sz w:val="24"/>
        </w:rPr>
        <w:t> </w:t>
      </w:r>
      <w:r>
        <w:rPr>
          <w:sz w:val="24"/>
        </w:rPr>
        <w:t>(2015).</w:t>
      </w:r>
      <w:r>
        <w:rPr>
          <w:spacing w:val="-15"/>
          <w:sz w:val="24"/>
        </w:rPr>
        <w:t> </w:t>
      </w:r>
      <w:r>
        <w:rPr>
          <w:i/>
          <w:sz w:val="24"/>
        </w:rPr>
        <w:t>State</w:t>
      </w:r>
      <w:r>
        <w:rPr>
          <w:i/>
          <w:spacing w:val="-15"/>
          <w:sz w:val="24"/>
        </w:rPr>
        <w:t> </w:t>
      </w:r>
      <w:r>
        <w:rPr>
          <w:i/>
          <w:sz w:val="24"/>
        </w:rPr>
        <w:t>water</w:t>
      </w:r>
      <w:r>
        <w:rPr>
          <w:i/>
          <w:spacing w:val="-15"/>
          <w:sz w:val="24"/>
        </w:rPr>
        <w:t> </w:t>
      </w:r>
      <w:r>
        <w:rPr>
          <w:i/>
          <w:sz w:val="24"/>
        </w:rPr>
        <w:t>agencies in Nigeria: A performance Assessment</w:t>
      </w:r>
      <w:r>
        <w:rPr>
          <w:sz w:val="24"/>
        </w:rPr>
        <w:t>. Washington, DC: World Bank.</w:t>
      </w:r>
    </w:p>
    <w:p>
      <w:pPr>
        <w:pStyle w:val="BodyText"/>
      </w:pPr>
    </w:p>
    <w:p>
      <w:pPr>
        <w:pStyle w:val="BodyText"/>
        <w:ind w:left="547" w:right="111" w:hanging="432"/>
        <w:jc w:val="both"/>
      </w:pPr>
      <w:r>
        <w:rPr/>
        <w:t>Madanat, S. &amp; Humplick, F. (1993). A model of household choice of water supply systems in developing countries. </w:t>
      </w:r>
      <w:r>
        <w:rPr>
          <w:i/>
        </w:rPr>
        <w:t>Water Resources Research, </w:t>
      </w:r>
      <w:r>
        <w:rPr/>
        <w:t>29, 1353-1358.</w:t>
      </w:r>
    </w:p>
    <w:p>
      <w:pPr>
        <w:pStyle w:val="BodyText"/>
      </w:pPr>
    </w:p>
    <w:p>
      <w:pPr>
        <w:spacing w:before="0"/>
        <w:ind w:left="547" w:right="105" w:hanging="432"/>
        <w:jc w:val="both"/>
        <w:rPr>
          <w:sz w:val="24"/>
        </w:rPr>
      </w:pPr>
      <w:r>
        <w:rPr>
          <w:sz w:val="24"/>
        </w:rPr>
        <w:t>Majuru, B. (2015). </w:t>
      </w:r>
      <w:r>
        <w:rPr>
          <w:i/>
          <w:sz w:val="24"/>
        </w:rPr>
        <w:t>Unreliable water supplies and household coping strategies in peri-urban South Africa </w:t>
      </w:r>
      <w:r>
        <w:rPr>
          <w:sz w:val="24"/>
        </w:rPr>
        <w:t>(Unpublished Doctoral dissertation). University of East Anglia, Norwich.</w:t>
      </w:r>
    </w:p>
    <w:p>
      <w:pPr>
        <w:pStyle w:val="BodyText"/>
        <w:spacing w:before="1"/>
      </w:pPr>
    </w:p>
    <w:p>
      <w:pPr>
        <w:pStyle w:val="BodyText"/>
        <w:ind w:left="547" w:right="108" w:hanging="432"/>
        <w:jc w:val="both"/>
      </w:pPr>
      <w:r>
        <w:rPr/>
        <w:t>Manandhar,</w:t>
      </w:r>
      <w:r>
        <w:rPr>
          <w:spacing w:val="-15"/>
        </w:rPr>
        <w:t> </w:t>
      </w:r>
      <w:r>
        <w:rPr/>
        <w:t>S.,</w:t>
      </w:r>
      <w:r>
        <w:rPr>
          <w:spacing w:val="-15"/>
        </w:rPr>
        <w:t> </w:t>
      </w:r>
      <w:r>
        <w:rPr/>
        <w:t>Pandey,</w:t>
      </w:r>
      <w:r>
        <w:rPr>
          <w:spacing w:val="-13"/>
        </w:rPr>
        <w:t> </w:t>
      </w:r>
      <w:r>
        <w:rPr/>
        <w:t>V.,</w:t>
      </w:r>
      <w:r>
        <w:rPr>
          <w:spacing w:val="-15"/>
        </w:rPr>
        <w:t> </w:t>
      </w:r>
      <w:r>
        <w:rPr/>
        <w:t>&amp;</w:t>
      </w:r>
      <w:r>
        <w:rPr>
          <w:spacing w:val="-15"/>
        </w:rPr>
        <w:t> </w:t>
      </w:r>
      <w:r>
        <w:rPr/>
        <w:t>Kazama,</w:t>
      </w:r>
      <w:r>
        <w:rPr>
          <w:spacing w:val="-14"/>
        </w:rPr>
        <w:t> </w:t>
      </w:r>
      <w:r>
        <w:rPr/>
        <w:t>F.</w:t>
      </w:r>
      <w:r>
        <w:rPr>
          <w:spacing w:val="-13"/>
        </w:rPr>
        <w:t> </w:t>
      </w:r>
      <w:r>
        <w:rPr/>
        <w:t>(2012).</w:t>
      </w:r>
      <w:r>
        <w:rPr>
          <w:spacing w:val="-14"/>
        </w:rPr>
        <w:t> </w:t>
      </w:r>
      <w:r>
        <w:rPr/>
        <w:t>Application</w:t>
      </w:r>
      <w:r>
        <w:rPr>
          <w:spacing w:val="-15"/>
        </w:rPr>
        <w:t> </w:t>
      </w:r>
      <w:r>
        <w:rPr/>
        <w:t>of</w:t>
      </w:r>
      <w:r>
        <w:rPr>
          <w:spacing w:val="-14"/>
        </w:rPr>
        <w:t> </w:t>
      </w:r>
      <w:r>
        <w:rPr/>
        <w:t>water</w:t>
      </w:r>
      <w:r>
        <w:rPr>
          <w:spacing w:val="-15"/>
        </w:rPr>
        <w:t> </w:t>
      </w:r>
      <w:r>
        <w:rPr/>
        <w:t>poverty</w:t>
      </w:r>
      <w:r>
        <w:rPr>
          <w:spacing w:val="-15"/>
        </w:rPr>
        <w:t> </w:t>
      </w:r>
      <w:r>
        <w:rPr/>
        <w:t>index</w:t>
      </w:r>
      <w:r>
        <w:rPr>
          <w:spacing w:val="-14"/>
        </w:rPr>
        <w:t> </w:t>
      </w:r>
      <w:r>
        <w:rPr/>
        <w:t>in</w:t>
      </w:r>
      <w:r>
        <w:rPr>
          <w:spacing w:val="-15"/>
        </w:rPr>
        <w:t> </w:t>
      </w:r>
      <w:r>
        <w:rPr/>
        <w:t>Nepalese context. A case study of kali Gandaki river basin. </w:t>
      </w:r>
      <w:r>
        <w:rPr>
          <w:i/>
        </w:rPr>
        <w:t>Water Resource Management, </w:t>
      </w:r>
      <w:r>
        <w:rPr/>
        <w:t>26(1), 89- </w:t>
      </w:r>
      <w:r>
        <w:rPr>
          <w:spacing w:val="-4"/>
        </w:rPr>
        <w:t>107.</w:t>
      </w:r>
    </w:p>
    <w:p>
      <w:pPr>
        <w:pStyle w:val="BodyText"/>
      </w:pPr>
    </w:p>
    <w:p>
      <w:pPr>
        <w:pStyle w:val="BodyText"/>
        <w:ind w:left="547" w:right="113" w:hanging="432"/>
        <w:jc w:val="both"/>
      </w:pPr>
      <w:r>
        <w:rPr>
          <w:color w:val="212121"/>
        </w:rPr>
        <w:t>Manandhar, S., Vogt, D. S., Perret, S. R., &amp; Kazama, F. (2011). Adapting cropping systems to climate</w:t>
      </w:r>
      <w:r>
        <w:rPr>
          <w:color w:val="212121"/>
          <w:spacing w:val="80"/>
        </w:rPr>
        <w:t> </w:t>
      </w:r>
      <w:r>
        <w:rPr>
          <w:color w:val="212121"/>
        </w:rPr>
        <w:t>change</w:t>
      </w:r>
      <w:r>
        <w:rPr>
          <w:color w:val="212121"/>
          <w:spacing w:val="80"/>
        </w:rPr>
        <w:t> </w:t>
      </w:r>
      <w:r>
        <w:rPr>
          <w:color w:val="212121"/>
        </w:rPr>
        <w:t>in</w:t>
      </w:r>
      <w:r>
        <w:rPr>
          <w:color w:val="212121"/>
          <w:spacing w:val="80"/>
        </w:rPr>
        <w:t> </w:t>
      </w:r>
      <w:r>
        <w:rPr>
          <w:color w:val="212121"/>
        </w:rPr>
        <w:t>Nepal:</w:t>
      </w:r>
      <w:r>
        <w:rPr>
          <w:color w:val="212121"/>
          <w:spacing w:val="80"/>
        </w:rPr>
        <w:t> </w:t>
      </w:r>
      <w:r>
        <w:rPr>
          <w:color w:val="212121"/>
        </w:rPr>
        <w:t>a</w:t>
      </w:r>
      <w:r>
        <w:rPr>
          <w:color w:val="212121"/>
          <w:spacing w:val="80"/>
        </w:rPr>
        <w:t> </w:t>
      </w:r>
      <w:r>
        <w:rPr>
          <w:color w:val="212121"/>
        </w:rPr>
        <w:t>cross-regional</w:t>
      </w:r>
      <w:r>
        <w:rPr>
          <w:color w:val="212121"/>
          <w:spacing w:val="80"/>
        </w:rPr>
        <w:t> </w:t>
      </w:r>
      <w:r>
        <w:rPr>
          <w:color w:val="212121"/>
        </w:rPr>
        <w:t>study</w:t>
      </w:r>
      <w:r>
        <w:rPr>
          <w:color w:val="212121"/>
          <w:spacing w:val="80"/>
        </w:rPr>
        <w:t> </w:t>
      </w:r>
      <w:r>
        <w:rPr>
          <w:color w:val="212121"/>
        </w:rPr>
        <w:t>of</w:t>
      </w:r>
      <w:r>
        <w:rPr>
          <w:color w:val="212121"/>
          <w:spacing w:val="80"/>
        </w:rPr>
        <w:t> </w:t>
      </w:r>
      <w:r>
        <w:rPr>
          <w:color w:val="212121"/>
        </w:rPr>
        <w:t>farmers’</w:t>
      </w:r>
      <w:r>
        <w:rPr>
          <w:color w:val="212121"/>
          <w:spacing w:val="80"/>
        </w:rPr>
        <w:t> </w:t>
      </w:r>
      <w:r>
        <w:rPr>
          <w:color w:val="212121"/>
        </w:rPr>
        <w:t>perception</w:t>
      </w:r>
      <w:r>
        <w:rPr>
          <w:color w:val="212121"/>
          <w:spacing w:val="80"/>
        </w:rPr>
        <w:t> </w:t>
      </w:r>
      <w:r>
        <w:rPr>
          <w:color w:val="212121"/>
        </w:rPr>
        <w:t>and practices. </w:t>
      </w:r>
      <w:r>
        <w:rPr>
          <w:i/>
          <w:color w:val="212121"/>
        </w:rPr>
        <w:t>Regional Environmental Change</w:t>
      </w:r>
      <w:r>
        <w:rPr>
          <w:color w:val="212121"/>
        </w:rPr>
        <w:t>, </w:t>
      </w:r>
      <w:r>
        <w:rPr>
          <w:i/>
          <w:color w:val="212121"/>
        </w:rPr>
        <w:t>11</w:t>
      </w:r>
      <w:r>
        <w:rPr>
          <w:color w:val="212121"/>
        </w:rPr>
        <w:t>(2), 335-348.</w:t>
      </w:r>
    </w:p>
    <w:p>
      <w:pPr>
        <w:pStyle w:val="BodyText"/>
      </w:pPr>
    </w:p>
    <w:p>
      <w:pPr>
        <w:spacing w:before="0"/>
        <w:ind w:left="547" w:right="109" w:hanging="432"/>
        <w:jc w:val="both"/>
        <w:rPr>
          <w:sz w:val="24"/>
        </w:rPr>
      </w:pPr>
      <w:r>
        <w:rPr>
          <w:sz w:val="24"/>
        </w:rPr>
        <w:t>McCay, J.B. (2009).</w:t>
      </w:r>
      <w:r>
        <w:rPr>
          <w:spacing w:val="40"/>
          <w:sz w:val="24"/>
        </w:rPr>
        <w:t> </w:t>
      </w:r>
      <w:r>
        <w:rPr>
          <w:i/>
          <w:sz w:val="24"/>
        </w:rPr>
        <w:t>Right to Nature: Ecological, Economic, Cultural, and Political Principles of</w:t>
      </w:r>
      <w:r>
        <w:rPr>
          <w:i/>
          <w:spacing w:val="-15"/>
          <w:sz w:val="24"/>
        </w:rPr>
        <w:t> </w:t>
      </w:r>
      <w:r>
        <w:rPr>
          <w:i/>
          <w:sz w:val="24"/>
        </w:rPr>
        <w:t>Institutions</w:t>
      </w:r>
      <w:r>
        <w:rPr>
          <w:i/>
          <w:spacing w:val="-15"/>
          <w:sz w:val="24"/>
        </w:rPr>
        <w:t> </w:t>
      </w:r>
      <w:r>
        <w:rPr>
          <w:i/>
          <w:sz w:val="24"/>
        </w:rPr>
        <w:t>for</w:t>
      </w:r>
      <w:r>
        <w:rPr>
          <w:i/>
          <w:spacing w:val="-15"/>
          <w:sz w:val="24"/>
        </w:rPr>
        <w:t> </w:t>
      </w:r>
      <w:r>
        <w:rPr>
          <w:i/>
          <w:sz w:val="24"/>
        </w:rPr>
        <w:t>the</w:t>
      </w:r>
      <w:r>
        <w:rPr>
          <w:i/>
          <w:spacing w:val="-15"/>
          <w:sz w:val="24"/>
        </w:rPr>
        <w:t> </w:t>
      </w:r>
      <w:r>
        <w:rPr>
          <w:i/>
          <w:sz w:val="24"/>
        </w:rPr>
        <w:t>Environment</w:t>
      </w:r>
      <w:r>
        <w:rPr>
          <w:sz w:val="24"/>
        </w:rPr>
        <w:t>.</w:t>
      </w:r>
      <w:r>
        <w:rPr>
          <w:spacing w:val="-15"/>
          <w:sz w:val="24"/>
        </w:rPr>
        <w:t> </w:t>
      </w:r>
      <w:r>
        <w:rPr>
          <w:sz w:val="24"/>
        </w:rPr>
        <w:t>In:</w:t>
      </w:r>
      <w:r>
        <w:rPr>
          <w:spacing w:val="-15"/>
          <w:sz w:val="24"/>
        </w:rPr>
        <w:t> </w:t>
      </w:r>
      <w:r>
        <w:rPr>
          <w:sz w:val="24"/>
        </w:rPr>
        <w:t>Hanna,</w:t>
      </w:r>
      <w:r>
        <w:rPr>
          <w:spacing w:val="-15"/>
          <w:sz w:val="24"/>
        </w:rPr>
        <w:t> </w:t>
      </w:r>
      <w:r>
        <w:rPr>
          <w:sz w:val="24"/>
        </w:rPr>
        <w:t>S.,</w:t>
      </w:r>
      <w:r>
        <w:rPr>
          <w:spacing w:val="-15"/>
          <w:sz w:val="24"/>
        </w:rPr>
        <w:t> </w:t>
      </w:r>
      <w:r>
        <w:rPr>
          <w:sz w:val="24"/>
        </w:rPr>
        <w:t>Carl</w:t>
      </w:r>
      <w:r>
        <w:rPr>
          <w:spacing w:val="-15"/>
          <w:sz w:val="24"/>
        </w:rPr>
        <w:t> </w:t>
      </w:r>
      <w:r>
        <w:rPr>
          <w:sz w:val="24"/>
        </w:rPr>
        <w:t>Follke,</w:t>
      </w:r>
      <w:r>
        <w:rPr>
          <w:spacing w:val="-15"/>
          <w:sz w:val="24"/>
        </w:rPr>
        <w:t> </w:t>
      </w:r>
      <w:r>
        <w:rPr>
          <w:sz w:val="24"/>
        </w:rPr>
        <w:t>F.</w:t>
      </w:r>
      <w:r>
        <w:rPr>
          <w:spacing w:val="-15"/>
          <w:sz w:val="24"/>
        </w:rPr>
        <w:t> </w:t>
      </w:r>
      <w:r>
        <w:rPr>
          <w:sz w:val="24"/>
        </w:rPr>
        <w:t>and</w:t>
      </w:r>
      <w:r>
        <w:rPr>
          <w:spacing w:val="-15"/>
          <w:sz w:val="24"/>
        </w:rPr>
        <w:t> </w:t>
      </w:r>
      <w:r>
        <w:rPr>
          <w:sz w:val="24"/>
        </w:rPr>
        <w:t>Makler,</w:t>
      </w:r>
      <w:r>
        <w:rPr>
          <w:spacing w:val="-15"/>
          <w:sz w:val="24"/>
        </w:rPr>
        <w:t> </w:t>
      </w:r>
      <w:r>
        <w:rPr>
          <w:sz w:val="24"/>
        </w:rPr>
        <w:t>K.</w:t>
      </w:r>
      <w:r>
        <w:rPr>
          <w:spacing w:val="-15"/>
          <w:sz w:val="24"/>
        </w:rPr>
        <w:t> </w:t>
      </w:r>
      <w:r>
        <w:rPr>
          <w:sz w:val="24"/>
        </w:rPr>
        <w:t>(eds).</w:t>
      </w:r>
      <w:r>
        <w:rPr>
          <w:spacing w:val="28"/>
          <w:sz w:val="24"/>
        </w:rPr>
        <w:t> </w:t>
      </w:r>
      <w:r>
        <w:rPr>
          <w:sz w:val="24"/>
        </w:rPr>
        <w:t>Island Press, Washington, 115-121.</w:t>
      </w:r>
    </w:p>
    <w:p>
      <w:pPr>
        <w:pStyle w:val="BodyText"/>
        <w:spacing w:before="1"/>
      </w:pPr>
    </w:p>
    <w:p>
      <w:pPr>
        <w:spacing w:before="0"/>
        <w:ind w:left="115" w:right="0" w:firstLine="0"/>
        <w:jc w:val="left"/>
        <w:rPr>
          <w:sz w:val="24"/>
        </w:rPr>
      </w:pPr>
      <w:r>
        <w:rPr>
          <w:sz w:val="24"/>
        </w:rPr>
        <w:t>MICS</w:t>
      </w:r>
      <w:r>
        <w:rPr>
          <w:spacing w:val="-2"/>
          <w:sz w:val="24"/>
        </w:rPr>
        <w:t> </w:t>
      </w:r>
      <w:r>
        <w:rPr>
          <w:sz w:val="24"/>
        </w:rPr>
        <w:t>(2017).</w:t>
      </w:r>
      <w:r>
        <w:rPr>
          <w:spacing w:val="-3"/>
          <w:sz w:val="24"/>
        </w:rPr>
        <w:t> </w:t>
      </w:r>
      <w:r>
        <w:rPr>
          <w:i/>
          <w:sz w:val="24"/>
        </w:rPr>
        <w:t>Multiple</w:t>
      </w:r>
      <w:r>
        <w:rPr>
          <w:i/>
          <w:spacing w:val="-3"/>
          <w:sz w:val="24"/>
        </w:rPr>
        <w:t> </w:t>
      </w:r>
      <w:r>
        <w:rPr>
          <w:i/>
          <w:sz w:val="24"/>
        </w:rPr>
        <w:t>Indicator</w:t>
      </w:r>
      <w:r>
        <w:rPr>
          <w:i/>
          <w:spacing w:val="-2"/>
          <w:sz w:val="24"/>
        </w:rPr>
        <w:t> </w:t>
      </w:r>
      <w:r>
        <w:rPr>
          <w:i/>
          <w:sz w:val="24"/>
        </w:rPr>
        <w:t>Cluster</w:t>
      </w:r>
      <w:r>
        <w:rPr>
          <w:i/>
          <w:spacing w:val="-2"/>
          <w:sz w:val="24"/>
        </w:rPr>
        <w:t> </w:t>
      </w:r>
      <w:r>
        <w:rPr>
          <w:i/>
          <w:sz w:val="24"/>
        </w:rPr>
        <w:t>Survey. </w:t>
      </w:r>
      <w:r>
        <w:rPr>
          <w:sz w:val="24"/>
        </w:rPr>
        <w:t>Nigeria: </w:t>
      </w:r>
      <w:r>
        <w:rPr>
          <w:spacing w:val="-5"/>
          <w:sz w:val="24"/>
        </w:rPr>
        <w:t>NBS</w:t>
      </w:r>
    </w:p>
    <w:p>
      <w:pPr>
        <w:pStyle w:val="BodyText"/>
      </w:pPr>
    </w:p>
    <w:p>
      <w:pPr>
        <w:pStyle w:val="BodyText"/>
        <w:ind w:left="547" w:right="105" w:hanging="432"/>
        <w:jc w:val="both"/>
      </w:pPr>
      <w:r>
        <w:rPr/>
        <w:t>Meigh,</w:t>
      </w:r>
      <w:r>
        <w:rPr>
          <w:spacing w:val="-7"/>
        </w:rPr>
        <w:t> </w:t>
      </w:r>
      <w:r>
        <w:rPr/>
        <w:t>J.R.,</w:t>
      </w:r>
      <w:r>
        <w:rPr>
          <w:spacing w:val="-7"/>
        </w:rPr>
        <w:t> </w:t>
      </w:r>
      <w:r>
        <w:rPr/>
        <w:t>A.A.</w:t>
      </w:r>
      <w:r>
        <w:rPr>
          <w:spacing w:val="-7"/>
        </w:rPr>
        <w:t> </w:t>
      </w:r>
      <w:r>
        <w:rPr/>
        <w:t>McKenzie,</w:t>
      </w:r>
      <w:r>
        <w:rPr>
          <w:spacing w:val="-7"/>
        </w:rPr>
        <w:t> </w:t>
      </w:r>
      <w:r>
        <w:rPr/>
        <w:t>B.N.</w:t>
      </w:r>
      <w:r>
        <w:rPr>
          <w:spacing w:val="-7"/>
        </w:rPr>
        <w:t> </w:t>
      </w:r>
      <w:r>
        <w:rPr/>
        <w:t>Austin,</w:t>
      </w:r>
      <w:r>
        <w:rPr>
          <w:spacing w:val="-7"/>
        </w:rPr>
        <w:t> </w:t>
      </w:r>
      <w:r>
        <w:rPr/>
        <w:t>R.B.</w:t>
      </w:r>
      <w:r>
        <w:rPr>
          <w:spacing w:val="-7"/>
        </w:rPr>
        <w:t> </w:t>
      </w:r>
      <w:r>
        <w:rPr/>
        <w:t>Bradford,</w:t>
      </w:r>
      <w:r>
        <w:rPr>
          <w:spacing w:val="-4"/>
        </w:rPr>
        <w:t> </w:t>
      </w:r>
      <w:r>
        <w:rPr/>
        <w:t>&amp;</w:t>
      </w:r>
      <w:r>
        <w:rPr>
          <w:spacing w:val="-9"/>
        </w:rPr>
        <w:t> </w:t>
      </w:r>
      <w:r>
        <w:rPr/>
        <w:t>N.S.</w:t>
      </w:r>
      <w:r>
        <w:rPr>
          <w:spacing w:val="-6"/>
        </w:rPr>
        <w:t> </w:t>
      </w:r>
      <w:r>
        <w:rPr/>
        <w:t>Reynard.</w:t>
      </w:r>
      <w:r>
        <w:rPr>
          <w:spacing w:val="-5"/>
        </w:rPr>
        <w:t> </w:t>
      </w:r>
      <w:r>
        <w:rPr/>
        <w:t>(1999).</w:t>
      </w:r>
      <w:r>
        <w:rPr>
          <w:spacing w:val="-8"/>
        </w:rPr>
        <w:t> </w:t>
      </w:r>
      <w:r>
        <w:rPr/>
        <w:t>“Assessment of Global Water Resources – Phase II, Estimates of Present and Future Water Availability for</w:t>
      </w:r>
      <w:r>
        <w:rPr>
          <w:spacing w:val="-13"/>
        </w:rPr>
        <w:t> </w:t>
      </w:r>
      <w:r>
        <w:rPr/>
        <w:t>Eastern</w:t>
      </w:r>
      <w:r>
        <w:rPr>
          <w:spacing w:val="-12"/>
        </w:rPr>
        <w:t> </w:t>
      </w:r>
      <w:r>
        <w:rPr/>
        <w:t>and</w:t>
      </w:r>
      <w:r>
        <w:rPr>
          <w:spacing w:val="-12"/>
        </w:rPr>
        <w:t> </w:t>
      </w:r>
      <w:r>
        <w:rPr/>
        <w:t>Southern</w:t>
      </w:r>
      <w:r>
        <w:rPr>
          <w:spacing w:val="-7"/>
        </w:rPr>
        <w:t> </w:t>
      </w:r>
      <w:r>
        <w:rPr/>
        <w:t>Africa.”</w:t>
      </w:r>
      <w:r>
        <w:rPr>
          <w:spacing w:val="-13"/>
        </w:rPr>
        <w:t> </w:t>
      </w:r>
      <w:r>
        <w:rPr/>
        <w:t>DFID</w:t>
      </w:r>
      <w:r>
        <w:rPr>
          <w:spacing w:val="-10"/>
        </w:rPr>
        <w:t> </w:t>
      </w:r>
      <w:r>
        <w:rPr/>
        <w:t>report</w:t>
      </w:r>
      <w:r>
        <w:rPr>
          <w:spacing w:val="-12"/>
        </w:rPr>
        <w:t> </w:t>
      </w:r>
      <w:r>
        <w:rPr/>
        <w:t>98/4.</w:t>
      </w:r>
      <w:r>
        <w:rPr>
          <w:spacing w:val="-12"/>
        </w:rPr>
        <w:t> </w:t>
      </w:r>
      <w:r>
        <w:rPr/>
        <w:t>Wallingford,</w:t>
      </w:r>
      <w:r>
        <w:rPr>
          <w:spacing w:val="-12"/>
        </w:rPr>
        <w:t> </w:t>
      </w:r>
      <w:r>
        <w:rPr/>
        <w:t>United</w:t>
      </w:r>
      <w:r>
        <w:rPr>
          <w:spacing w:val="-7"/>
        </w:rPr>
        <w:t> </w:t>
      </w:r>
      <w:r>
        <w:rPr/>
        <w:t>Kingdom:</w:t>
      </w:r>
      <w:r>
        <w:rPr>
          <w:spacing w:val="-9"/>
        </w:rPr>
        <w:t> </w:t>
      </w:r>
      <w:r>
        <w:rPr/>
        <w:t>Institute of Hydrology.</w:t>
      </w:r>
    </w:p>
    <w:p>
      <w:pPr>
        <w:pStyle w:val="BodyText"/>
      </w:pPr>
    </w:p>
    <w:p>
      <w:pPr>
        <w:pStyle w:val="BodyText"/>
        <w:ind w:left="547" w:right="111" w:hanging="432"/>
        <w:jc w:val="both"/>
      </w:pPr>
      <w:r>
        <w:rPr/>
        <w:t>Molden, D., Frenken, K., Barker, R., de Fraiture, C., Mati, B., Svendsen, M., Sadoff, C., &amp; Finlayson C.M. (2007). Trends in water and agricultural development. In water for food, water for life, ed. D. Molden. Colombo: Earthscan, London and International Water Mangement Institute.</w:t>
      </w:r>
    </w:p>
    <w:p>
      <w:pPr>
        <w:pStyle w:val="BodyText"/>
        <w:spacing w:before="1"/>
      </w:pPr>
    </w:p>
    <w:p>
      <w:pPr>
        <w:pStyle w:val="BodyText"/>
        <w:ind w:left="547" w:right="112" w:hanging="432"/>
        <w:jc w:val="both"/>
      </w:pPr>
      <w:r>
        <w:rPr/>
        <w:t>Molle, F., &amp; Mollinga, P. (2003). Water poverty indicators: Conceptual problems and policy issues. </w:t>
      </w:r>
      <w:r>
        <w:rPr>
          <w:i/>
        </w:rPr>
        <w:t>Water Policy, </w:t>
      </w:r>
      <w:r>
        <w:rPr/>
        <w:t>5, 529-544.</w:t>
      </w:r>
    </w:p>
    <w:p>
      <w:pPr>
        <w:pStyle w:val="BodyText"/>
      </w:pPr>
    </w:p>
    <w:p>
      <w:pPr>
        <w:pStyle w:val="BodyText"/>
        <w:ind w:left="547" w:right="107" w:hanging="432"/>
        <w:jc w:val="both"/>
      </w:pPr>
      <w:r>
        <w:rPr/>
        <w:t>Montgomery, M. A., &amp; Elimelech, M. (2009). Increasing functional sustainability of water and sanitation supplies in rural sub-Saharan Africa. </w:t>
      </w:r>
      <w:r>
        <w:rPr>
          <w:i/>
        </w:rPr>
        <w:t>Environmental Engineering Science</w:t>
      </w:r>
      <w:r>
        <w:rPr/>
        <w:t>, </w:t>
      </w:r>
      <w:r>
        <w:rPr>
          <w:i/>
        </w:rPr>
        <w:t>26</w:t>
      </w:r>
      <w:r>
        <w:rPr/>
        <w:t>(5), </w:t>
      </w:r>
      <w:r>
        <w:rPr>
          <w:spacing w:val="-2"/>
        </w:rPr>
        <w:t>1017-1023.</w:t>
      </w:r>
    </w:p>
    <w:p>
      <w:pPr>
        <w:pStyle w:val="BodyText"/>
        <w:spacing w:before="273"/>
        <w:ind w:left="547" w:right="109" w:hanging="432"/>
        <w:jc w:val="both"/>
      </w:pPr>
      <w:r>
        <w:rPr/>
        <w:t>Mukuhlani, T.,</w:t>
      </w:r>
      <w:r>
        <w:rPr>
          <w:spacing w:val="-1"/>
        </w:rPr>
        <w:t> </w:t>
      </w:r>
      <w:r>
        <w:rPr/>
        <w:t>&amp;</w:t>
      </w:r>
      <w:r>
        <w:rPr>
          <w:spacing w:val="-2"/>
        </w:rPr>
        <w:t> </w:t>
      </w:r>
      <w:r>
        <w:rPr/>
        <w:t>Mandlenkosi, T.N. (2014).</w:t>
      </w:r>
      <w:r>
        <w:rPr>
          <w:spacing w:val="-1"/>
        </w:rPr>
        <w:t> </w:t>
      </w:r>
      <w:r>
        <w:rPr/>
        <w:t>Water</w:t>
      </w:r>
      <w:r>
        <w:rPr>
          <w:spacing w:val="-1"/>
        </w:rPr>
        <w:t> </w:t>
      </w:r>
      <w:r>
        <w:rPr/>
        <w:t>Scarcity</w:t>
      </w:r>
      <w:r>
        <w:rPr>
          <w:spacing w:val="-5"/>
        </w:rPr>
        <w:t> </w:t>
      </w:r>
      <w:r>
        <w:rPr/>
        <w:t>in Communities,</w:t>
      </w:r>
      <w:r>
        <w:rPr>
          <w:spacing w:val="-1"/>
        </w:rPr>
        <w:t> </w:t>
      </w:r>
      <w:r>
        <w:rPr/>
        <w:t>Coping</w:t>
      </w:r>
      <w:r>
        <w:rPr>
          <w:spacing w:val="-2"/>
        </w:rPr>
        <w:t> </w:t>
      </w:r>
      <w:r>
        <w:rPr/>
        <w:t>Strategies and</w:t>
      </w:r>
      <w:r>
        <w:rPr>
          <w:spacing w:val="-12"/>
        </w:rPr>
        <w:t> </w:t>
      </w:r>
      <w:r>
        <w:rPr/>
        <w:t>Mitigation</w:t>
      </w:r>
      <w:r>
        <w:rPr>
          <w:spacing w:val="-12"/>
        </w:rPr>
        <w:t> </w:t>
      </w:r>
      <w:r>
        <w:rPr/>
        <w:t>Measures:</w:t>
      </w:r>
      <w:r>
        <w:rPr>
          <w:spacing w:val="-11"/>
        </w:rPr>
        <w:t> </w:t>
      </w:r>
      <w:r>
        <w:rPr/>
        <w:t>The</w:t>
      </w:r>
      <w:r>
        <w:rPr>
          <w:spacing w:val="-13"/>
        </w:rPr>
        <w:t> </w:t>
      </w:r>
      <w:r>
        <w:rPr/>
        <w:t>Case</w:t>
      </w:r>
      <w:r>
        <w:rPr>
          <w:spacing w:val="-12"/>
        </w:rPr>
        <w:t> </w:t>
      </w:r>
      <w:r>
        <w:rPr/>
        <w:t>of</w:t>
      </w:r>
      <w:r>
        <w:rPr>
          <w:spacing w:val="-12"/>
        </w:rPr>
        <w:t> </w:t>
      </w:r>
      <w:r>
        <w:rPr/>
        <w:t>Baluwayo.</w:t>
      </w:r>
      <w:r>
        <w:rPr>
          <w:spacing w:val="-11"/>
        </w:rPr>
        <w:t> </w:t>
      </w:r>
      <w:r>
        <w:rPr>
          <w:i/>
        </w:rPr>
        <w:t>Journal</w:t>
      </w:r>
      <w:r>
        <w:rPr>
          <w:i/>
          <w:spacing w:val="-11"/>
        </w:rPr>
        <w:t> </w:t>
      </w:r>
      <w:r>
        <w:rPr>
          <w:i/>
        </w:rPr>
        <w:t>of</w:t>
      </w:r>
      <w:r>
        <w:rPr>
          <w:i/>
          <w:spacing w:val="-11"/>
        </w:rPr>
        <w:t> </w:t>
      </w:r>
      <w:r>
        <w:rPr>
          <w:i/>
        </w:rPr>
        <w:t>Sustainable</w:t>
      </w:r>
      <w:r>
        <w:rPr>
          <w:i/>
          <w:spacing w:val="-13"/>
        </w:rPr>
        <w:t> </w:t>
      </w:r>
      <w:r>
        <w:rPr>
          <w:i/>
        </w:rPr>
        <w:t>Development</w:t>
      </w:r>
      <w:r>
        <w:rPr/>
        <w:t>;</w:t>
      </w:r>
      <w:r>
        <w:rPr>
          <w:spacing w:val="-11"/>
        </w:rPr>
        <w:t> </w:t>
      </w:r>
      <w:r>
        <w:rPr/>
        <w:t>7(1), </w:t>
      </w:r>
      <w:r>
        <w:rPr>
          <w:spacing w:val="-2"/>
        </w:rPr>
        <w:t>144-152.</w:t>
      </w:r>
    </w:p>
    <w:p>
      <w:pPr>
        <w:spacing w:after="0"/>
        <w:jc w:val="both"/>
        <w:sectPr>
          <w:pgSz w:w="12240" w:h="15840"/>
          <w:pgMar w:header="0" w:footer="1068" w:top="1340" w:bottom="1260" w:left="1440" w:right="1300"/>
        </w:sectPr>
      </w:pPr>
    </w:p>
    <w:p>
      <w:pPr>
        <w:pStyle w:val="BodyText"/>
        <w:spacing w:before="79"/>
        <w:ind w:left="547" w:right="113" w:hanging="432"/>
        <w:jc w:val="both"/>
      </w:pPr>
      <w:r>
        <w:rPr/>
        <w:t>Munda, G. &amp; Nardo, M. (2005a). Constructing consistent composite indicators: the issue of weights, Institute for the Protection and Security of the Citizen, EUR 21834 EN.</w:t>
      </w:r>
    </w:p>
    <w:p>
      <w:pPr>
        <w:pStyle w:val="BodyText"/>
      </w:pPr>
    </w:p>
    <w:p>
      <w:pPr>
        <w:pStyle w:val="BodyText"/>
        <w:ind w:left="547" w:right="113" w:hanging="432"/>
        <w:jc w:val="both"/>
      </w:pPr>
      <w:r>
        <w:rPr/>
        <w:t>Munda,</w:t>
      </w:r>
      <w:r>
        <w:rPr>
          <w:spacing w:val="-6"/>
        </w:rPr>
        <w:t> </w:t>
      </w:r>
      <w:r>
        <w:rPr/>
        <w:t>G.</w:t>
      </w:r>
      <w:r>
        <w:rPr>
          <w:spacing w:val="-6"/>
        </w:rPr>
        <w:t> </w:t>
      </w:r>
      <w:r>
        <w:rPr/>
        <w:t>&amp;</w:t>
      </w:r>
      <w:r>
        <w:rPr>
          <w:spacing w:val="-8"/>
        </w:rPr>
        <w:t> </w:t>
      </w:r>
      <w:r>
        <w:rPr/>
        <w:t>Nardo,</w:t>
      </w:r>
      <w:r>
        <w:rPr>
          <w:spacing w:val="-7"/>
        </w:rPr>
        <w:t> </w:t>
      </w:r>
      <w:r>
        <w:rPr/>
        <w:t>M.</w:t>
      </w:r>
      <w:r>
        <w:rPr>
          <w:spacing w:val="-6"/>
        </w:rPr>
        <w:t> </w:t>
      </w:r>
      <w:r>
        <w:rPr/>
        <w:t>(2005b).</w:t>
      </w:r>
      <w:r>
        <w:rPr>
          <w:spacing w:val="-7"/>
        </w:rPr>
        <w:t> </w:t>
      </w:r>
      <w:r>
        <w:rPr/>
        <w:t>Non-compensatory</w:t>
      </w:r>
      <w:r>
        <w:rPr>
          <w:spacing w:val="-8"/>
        </w:rPr>
        <w:t> </w:t>
      </w:r>
      <w:r>
        <w:rPr/>
        <w:t>composite</w:t>
      </w:r>
      <w:r>
        <w:rPr>
          <w:spacing w:val="-7"/>
        </w:rPr>
        <w:t> </w:t>
      </w:r>
      <w:r>
        <w:rPr/>
        <w:t>indicators</w:t>
      </w:r>
      <w:r>
        <w:rPr>
          <w:spacing w:val="-6"/>
        </w:rPr>
        <w:t> </w:t>
      </w:r>
      <w:r>
        <w:rPr/>
        <w:t>for</w:t>
      </w:r>
      <w:r>
        <w:rPr>
          <w:spacing w:val="-7"/>
        </w:rPr>
        <w:t> </w:t>
      </w:r>
      <w:r>
        <w:rPr/>
        <w:t>ranking</w:t>
      </w:r>
      <w:r>
        <w:rPr>
          <w:spacing w:val="-8"/>
        </w:rPr>
        <w:t> </w:t>
      </w:r>
      <w:r>
        <w:rPr/>
        <w:t>countries: A defensible setting. Joint research centre, European Commission , Ispra.</w:t>
      </w:r>
    </w:p>
    <w:p>
      <w:pPr>
        <w:pStyle w:val="BodyText"/>
      </w:pPr>
    </w:p>
    <w:p>
      <w:pPr>
        <w:pStyle w:val="BodyText"/>
        <w:ind w:left="547" w:right="104" w:hanging="432"/>
        <w:jc w:val="both"/>
      </w:pPr>
      <w:r>
        <w:rPr/>
        <w:t>Munia,</w:t>
      </w:r>
      <w:r>
        <w:rPr>
          <w:spacing w:val="-15"/>
        </w:rPr>
        <w:t> </w:t>
      </w:r>
      <w:r>
        <w:rPr/>
        <w:t>H.,</w:t>
      </w:r>
      <w:r>
        <w:rPr>
          <w:spacing w:val="-15"/>
        </w:rPr>
        <w:t> </w:t>
      </w:r>
      <w:r>
        <w:rPr/>
        <w:t>Guillame,</w:t>
      </w:r>
      <w:r>
        <w:rPr>
          <w:spacing w:val="-15"/>
        </w:rPr>
        <w:t> </w:t>
      </w:r>
      <w:r>
        <w:rPr/>
        <w:t>J.H.A.,</w:t>
      </w:r>
      <w:r>
        <w:rPr>
          <w:spacing w:val="-15"/>
        </w:rPr>
        <w:t> </w:t>
      </w:r>
      <w:r>
        <w:rPr/>
        <w:t>Mirumachi,</w:t>
      </w:r>
      <w:r>
        <w:rPr>
          <w:spacing w:val="-15"/>
        </w:rPr>
        <w:t> </w:t>
      </w:r>
      <w:r>
        <w:rPr/>
        <w:t>N.,</w:t>
      </w:r>
      <w:r>
        <w:rPr>
          <w:spacing w:val="-15"/>
        </w:rPr>
        <w:t> </w:t>
      </w:r>
      <w:r>
        <w:rPr/>
        <w:t>Porkka.,</w:t>
      </w:r>
      <w:r>
        <w:rPr>
          <w:spacing w:val="-15"/>
        </w:rPr>
        <w:t> </w:t>
      </w:r>
      <w:r>
        <w:rPr/>
        <w:t>M.,</w:t>
      </w:r>
      <w:r>
        <w:rPr>
          <w:spacing w:val="-15"/>
        </w:rPr>
        <w:t> </w:t>
      </w:r>
      <w:r>
        <w:rPr/>
        <w:t>Wada,</w:t>
      </w:r>
      <w:r>
        <w:rPr>
          <w:spacing w:val="-15"/>
        </w:rPr>
        <w:t> </w:t>
      </w:r>
      <w:r>
        <w:rPr/>
        <w:t>Y.</w:t>
      </w:r>
      <w:r>
        <w:rPr>
          <w:spacing w:val="-15"/>
        </w:rPr>
        <w:t> </w:t>
      </w:r>
      <w:r>
        <w:rPr/>
        <w:t>&amp;</w:t>
      </w:r>
      <w:r>
        <w:rPr>
          <w:spacing w:val="-15"/>
        </w:rPr>
        <w:t> </w:t>
      </w:r>
      <w:r>
        <w:rPr/>
        <w:t>Kummu,</w:t>
      </w:r>
      <w:r>
        <w:rPr>
          <w:spacing w:val="-15"/>
        </w:rPr>
        <w:t> </w:t>
      </w:r>
      <w:r>
        <w:rPr/>
        <w:t>M.</w:t>
      </w:r>
      <w:r>
        <w:rPr>
          <w:spacing w:val="-15"/>
        </w:rPr>
        <w:t> </w:t>
      </w:r>
      <w:r>
        <w:rPr/>
        <w:t>(2016).</w:t>
      </w:r>
      <w:r>
        <w:rPr>
          <w:spacing w:val="-15"/>
        </w:rPr>
        <w:t> </w:t>
      </w:r>
      <w:r>
        <w:rPr/>
        <w:t>Water stress in global transboundary river basins: significance of upstream water use on downstream stress. </w:t>
      </w:r>
      <w:r>
        <w:rPr>
          <w:i/>
        </w:rPr>
        <w:t>Environmental Research Letter, </w:t>
      </w:r>
      <w:r>
        <w:rPr/>
        <w:t>11, 01-40.</w:t>
      </w:r>
    </w:p>
    <w:p>
      <w:pPr>
        <w:pStyle w:val="BodyText"/>
      </w:pPr>
    </w:p>
    <w:p>
      <w:pPr>
        <w:spacing w:before="0"/>
        <w:ind w:left="547" w:right="107" w:hanging="432"/>
        <w:jc w:val="both"/>
        <w:rPr>
          <w:sz w:val="24"/>
        </w:rPr>
      </w:pPr>
      <w:r>
        <w:rPr>
          <w:sz w:val="24"/>
        </w:rPr>
        <w:t>Mycoo,</w:t>
      </w:r>
      <w:r>
        <w:rPr>
          <w:spacing w:val="-4"/>
          <w:sz w:val="24"/>
        </w:rPr>
        <w:t> </w:t>
      </w:r>
      <w:r>
        <w:rPr>
          <w:sz w:val="24"/>
        </w:rPr>
        <w:t>M.</w:t>
      </w:r>
      <w:r>
        <w:rPr>
          <w:spacing w:val="-6"/>
          <w:sz w:val="24"/>
        </w:rPr>
        <w:t> </w:t>
      </w:r>
      <w:r>
        <w:rPr>
          <w:sz w:val="24"/>
        </w:rPr>
        <w:t>(1996).</w:t>
      </w:r>
      <w:r>
        <w:rPr>
          <w:spacing w:val="-4"/>
          <w:sz w:val="24"/>
        </w:rPr>
        <w:t> </w:t>
      </w:r>
      <w:r>
        <w:rPr>
          <w:i/>
          <w:sz w:val="24"/>
        </w:rPr>
        <w:t>Water</w:t>
      </w:r>
      <w:r>
        <w:rPr>
          <w:i/>
          <w:spacing w:val="-6"/>
          <w:sz w:val="24"/>
        </w:rPr>
        <w:t> </w:t>
      </w:r>
      <w:r>
        <w:rPr>
          <w:i/>
          <w:sz w:val="24"/>
        </w:rPr>
        <w:t>provision</w:t>
      </w:r>
      <w:r>
        <w:rPr>
          <w:i/>
          <w:spacing w:val="-6"/>
          <w:sz w:val="24"/>
        </w:rPr>
        <w:t> </w:t>
      </w:r>
      <w:r>
        <w:rPr>
          <w:i/>
          <w:sz w:val="24"/>
        </w:rPr>
        <w:t>improvements:</w:t>
      </w:r>
      <w:r>
        <w:rPr>
          <w:i/>
          <w:spacing w:val="-6"/>
          <w:sz w:val="24"/>
        </w:rPr>
        <w:t> </w:t>
      </w:r>
      <w:r>
        <w:rPr>
          <w:i/>
          <w:sz w:val="24"/>
        </w:rPr>
        <w:t>A</w:t>
      </w:r>
      <w:r>
        <w:rPr>
          <w:i/>
          <w:spacing w:val="-3"/>
          <w:sz w:val="24"/>
        </w:rPr>
        <w:t> </w:t>
      </w:r>
      <w:r>
        <w:rPr>
          <w:i/>
          <w:sz w:val="24"/>
        </w:rPr>
        <w:t>case</w:t>
      </w:r>
      <w:r>
        <w:rPr>
          <w:i/>
          <w:spacing w:val="-7"/>
          <w:sz w:val="24"/>
        </w:rPr>
        <w:t> </w:t>
      </w:r>
      <w:r>
        <w:rPr>
          <w:i/>
          <w:sz w:val="24"/>
        </w:rPr>
        <w:t>study</w:t>
      </w:r>
      <w:r>
        <w:rPr>
          <w:i/>
          <w:spacing w:val="-4"/>
          <w:sz w:val="24"/>
        </w:rPr>
        <w:t> </w:t>
      </w:r>
      <w:r>
        <w:rPr>
          <w:i/>
          <w:sz w:val="24"/>
        </w:rPr>
        <w:t>of</w:t>
      </w:r>
      <w:r>
        <w:rPr>
          <w:i/>
          <w:spacing w:val="-5"/>
          <w:sz w:val="24"/>
        </w:rPr>
        <w:t> </w:t>
      </w:r>
      <w:r>
        <w:rPr>
          <w:i/>
          <w:sz w:val="24"/>
        </w:rPr>
        <w:t>Trinidad.</w:t>
      </w:r>
      <w:r>
        <w:rPr>
          <w:i/>
          <w:spacing w:val="-3"/>
          <w:sz w:val="24"/>
        </w:rPr>
        <w:t> </w:t>
      </w:r>
      <w:r>
        <w:rPr>
          <w:i/>
          <w:sz w:val="24"/>
        </w:rPr>
        <w:t>Willingness</w:t>
      </w:r>
      <w:r>
        <w:rPr>
          <w:i/>
          <w:spacing w:val="-5"/>
          <w:sz w:val="24"/>
        </w:rPr>
        <w:t> </w:t>
      </w:r>
      <w:r>
        <w:rPr>
          <w:i/>
          <w:sz w:val="24"/>
        </w:rPr>
        <w:t>to</w:t>
      </w:r>
      <w:r>
        <w:rPr>
          <w:i/>
          <w:spacing w:val="-5"/>
          <w:sz w:val="24"/>
        </w:rPr>
        <w:t> </w:t>
      </w:r>
      <w:r>
        <w:rPr>
          <w:i/>
          <w:sz w:val="24"/>
        </w:rPr>
        <w:t>pay, pricing policy, cost reduction and institutional strengthening</w:t>
      </w:r>
      <w:r>
        <w:rPr>
          <w:sz w:val="24"/>
        </w:rPr>
        <w:t>. PhD Thesis, McGill </w:t>
      </w:r>
      <w:r>
        <w:rPr>
          <w:spacing w:val="-2"/>
          <w:sz w:val="24"/>
        </w:rPr>
        <w:t>University.</w:t>
      </w:r>
    </w:p>
    <w:p>
      <w:pPr>
        <w:pStyle w:val="BodyText"/>
        <w:spacing w:before="1"/>
      </w:pPr>
    </w:p>
    <w:p>
      <w:pPr>
        <w:pStyle w:val="BodyText"/>
        <w:ind w:left="547" w:right="109" w:hanging="432"/>
        <w:jc w:val="both"/>
      </w:pPr>
      <w:r>
        <w:rPr/>
        <w:t>Naiga, R., Penker, M., &amp; Hogl, K. (2015). Challenging pathways to safe water access in rural Uganda: From supply to demand-driven water governance. </w:t>
      </w:r>
      <w:r>
        <w:rPr>
          <w:i/>
        </w:rPr>
        <w:t>International Journal of the Commons, </w:t>
      </w:r>
      <w:r>
        <w:rPr/>
        <w:t>9(1), 237-260.</w:t>
      </w:r>
      <w:r>
        <w:rPr>
          <w:spacing w:val="40"/>
        </w:rPr>
        <w:t> </w:t>
      </w:r>
      <w:r>
        <w:rPr/>
        <w:t>URL: </w:t>
      </w:r>
      <w:hyperlink r:id="rId73">
        <w:r>
          <w:rPr>
            <w:u w:val="single"/>
          </w:rPr>
          <w:t>http://www.thecommonsjournal.org.</w:t>
        </w:r>
      </w:hyperlink>
    </w:p>
    <w:p>
      <w:pPr>
        <w:pStyle w:val="BodyText"/>
      </w:pPr>
    </w:p>
    <w:p>
      <w:pPr>
        <w:pStyle w:val="BodyText"/>
        <w:ind w:left="547" w:right="106" w:hanging="432"/>
        <w:jc w:val="both"/>
      </w:pPr>
      <w:r>
        <w:rPr/>
        <w:t>Nardo, M., Saisana, M., Saltelli, A., Tarantola, S., Hoffman, A., &amp; Giovannini, E. (2008). </w:t>
      </w:r>
      <w:r>
        <w:rPr>
          <w:i/>
        </w:rPr>
        <w:t>Handbook on constructing composite indicators: </w:t>
      </w:r>
      <w:r>
        <w:rPr/>
        <w:t>Methodology and user guide. [e-book] OECD, European Commission, Joint Research Centre. Available at: </w:t>
      </w:r>
      <w:hyperlink r:id="rId74">
        <w:r>
          <w:rPr>
            <w:spacing w:val="-2"/>
            <w:u w:val="single"/>
          </w:rPr>
          <w:t>http://compositeindicators.jrc.ec.europa.eu/Handbook.htm</w:t>
        </w:r>
      </w:hyperlink>
      <w:r>
        <w:rPr>
          <w:spacing w:val="-2"/>
        </w:rPr>
        <w:t>l.</w:t>
      </w:r>
    </w:p>
    <w:p>
      <w:pPr>
        <w:pStyle w:val="BodyText"/>
      </w:pPr>
    </w:p>
    <w:p>
      <w:pPr>
        <w:pStyle w:val="BodyText"/>
        <w:ind w:left="547" w:right="107" w:hanging="432"/>
        <w:jc w:val="both"/>
      </w:pPr>
      <w:r>
        <w:rPr/>
        <w:t>Nastiti,</w:t>
      </w:r>
      <w:r>
        <w:rPr>
          <w:spacing w:val="-6"/>
        </w:rPr>
        <w:t> </w:t>
      </w:r>
      <w:r>
        <w:rPr/>
        <w:t>A.,</w:t>
      </w:r>
      <w:r>
        <w:rPr>
          <w:spacing w:val="-6"/>
        </w:rPr>
        <w:t> </w:t>
      </w:r>
      <w:r>
        <w:rPr/>
        <w:t>Muntalif,</w:t>
      </w:r>
      <w:r>
        <w:rPr>
          <w:spacing w:val="-3"/>
        </w:rPr>
        <w:t> </w:t>
      </w:r>
      <w:r>
        <w:rPr/>
        <w:t>B.S.,</w:t>
      </w:r>
      <w:r>
        <w:rPr>
          <w:spacing w:val="-6"/>
        </w:rPr>
        <w:t> </w:t>
      </w:r>
      <w:r>
        <w:rPr/>
        <w:t>Roosmini,</w:t>
      </w:r>
      <w:r>
        <w:rPr>
          <w:spacing w:val="-6"/>
        </w:rPr>
        <w:t> </w:t>
      </w:r>
      <w:r>
        <w:rPr/>
        <w:t>D.,</w:t>
      </w:r>
      <w:r>
        <w:rPr>
          <w:spacing w:val="-6"/>
        </w:rPr>
        <w:t> </w:t>
      </w:r>
      <w:r>
        <w:rPr/>
        <w:t>Sudradjat,</w:t>
      </w:r>
      <w:r>
        <w:rPr>
          <w:spacing w:val="-5"/>
        </w:rPr>
        <w:t> </w:t>
      </w:r>
      <w:r>
        <w:rPr/>
        <w:t>A.,</w:t>
      </w:r>
      <w:r>
        <w:rPr>
          <w:spacing w:val="-6"/>
        </w:rPr>
        <w:t> </w:t>
      </w:r>
      <w:r>
        <w:rPr/>
        <w:t>Meijerink,</w:t>
      </w:r>
      <w:r>
        <w:rPr>
          <w:spacing w:val="-4"/>
        </w:rPr>
        <w:t> </w:t>
      </w:r>
      <w:r>
        <w:rPr/>
        <w:t>S.V.</w:t>
      </w:r>
      <w:r>
        <w:rPr>
          <w:spacing w:val="-2"/>
        </w:rPr>
        <w:t> </w:t>
      </w:r>
      <w:r>
        <w:rPr/>
        <w:t>&amp;</w:t>
      </w:r>
      <w:r>
        <w:rPr>
          <w:spacing w:val="-5"/>
        </w:rPr>
        <w:t> </w:t>
      </w:r>
      <w:r>
        <w:rPr/>
        <w:t>Smits,</w:t>
      </w:r>
      <w:r>
        <w:rPr>
          <w:spacing w:val="-5"/>
        </w:rPr>
        <w:t> </w:t>
      </w:r>
      <w:r>
        <w:rPr/>
        <w:t>A.J.M.</w:t>
      </w:r>
      <w:r>
        <w:rPr>
          <w:spacing w:val="-6"/>
        </w:rPr>
        <w:t> </w:t>
      </w:r>
      <w:r>
        <w:rPr/>
        <w:t>(2017). Coping with poor water supply</w:t>
      </w:r>
      <w:r>
        <w:rPr>
          <w:spacing w:val="-4"/>
        </w:rPr>
        <w:t> </w:t>
      </w:r>
      <w:r>
        <w:rPr/>
        <w:t>in peri urban Bandung, Indonesia: towards a framework for understanding risks and aversion behaviors. </w:t>
      </w:r>
      <w:r>
        <w:rPr>
          <w:i/>
        </w:rPr>
        <w:t>International Institute for Environment Development</w:t>
      </w:r>
      <w:r>
        <w:rPr/>
        <w:t>, 29(1), 69-88. DOI: 10.1177/0956247816686485</w:t>
      </w:r>
    </w:p>
    <w:p>
      <w:pPr>
        <w:spacing w:line="550" w:lineRule="atLeast" w:before="3"/>
        <w:ind w:left="115" w:right="113" w:firstLine="0"/>
        <w:jc w:val="both"/>
        <w:rPr>
          <w:i/>
          <w:sz w:val="24"/>
        </w:rPr>
      </w:pPr>
      <w:r>
        <w:rPr>
          <w:sz w:val="24"/>
        </w:rPr>
        <w:t>NEPAD</w:t>
      </w:r>
      <w:r>
        <w:rPr>
          <w:spacing w:val="-15"/>
          <w:sz w:val="24"/>
        </w:rPr>
        <w:t> </w:t>
      </w:r>
      <w:r>
        <w:rPr>
          <w:sz w:val="24"/>
        </w:rPr>
        <w:t>(2006).</w:t>
      </w:r>
      <w:r>
        <w:rPr>
          <w:spacing w:val="-15"/>
          <w:sz w:val="24"/>
        </w:rPr>
        <w:t> </w:t>
      </w:r>
      <w:r>
        <w:rPr>
          <w:sz w:val="24"/>
        </w:rPr>
        <w:t>Water</w:t>
      </w:r>
      <w:r>
        <w:rPr>
          <w:spacing w:val="-15"/>
          <w:sz w:val="24"/>
        </w:rPr>
        <w:t> </w:t>
      </w:r>
      <w:r>
        <w:rPr>
          <w:sz w:val="24"/>
        </w:rPr>
        <w:t>in</w:t>
      </w:r>
      <w:r>
        <w:rPr>
          <w:spacing w:val="-15"/>
          <w:sz w:val="24"/>
        </w:rPr>
        <w:t> </w:t>
      </w:r>
      <w:r>
        <w:rPr>
          <w:sz w:val="24"/>
        </w:rPr>
        <w:t>Africa:</w:t>
      </w:r>
      <w:r>
        <w:rPr>
          <w:spacing w:val="-15"/>
          <w:sz w:val="24"/>
        </w:rPr>
        <w:t> </w:t>
      </w:r>
      <w:r>
        <w:rPr>
          <w:sz w:val="24"/>
        </w:rPr>
        <w:t>Management</w:t>
      </w:r>
      <w:r>
        <w:rPr>
          <w:spacing w:val="-15"/>
          <w:sz w:val="24"/>
        </w:rPr>
        <w:t> </w:t>
      </w:r>
      <w:r>
        <w:rPr>
          <w:sz w:val="24"/>
        </w:rPr>
        <w:t>options</w:t>
      </w:r>
      <w:r>
        <w:rPr>
          <w:spacing w:val="-15"/>
          <w:sz w:val="24"/>
        </w:rPr>
        <w:t> </w:t>
      </w:r>
      <w:r>
        <w:rPr>
          <w:sz w:val="24"/>
        </w:rPr>
        <w:t>to</w:t>
      </w:r>
      <w:r>
        <w:rPr>
          <w:spacing w:val="-15"/>
          <w:sz w:val="24"/>
        </w:rPr>
        <w:t> </w:t>
      </w:r>
      <w:r>
        <w:rPr>
          <w:sz w:val="24"/>
        </w:rPr>
        <w:t>enhance</w:t>
      </w:r>
      <w:r>
        <w:rPr>
          <w:spacing w:val="-15"/>
          <w:sz w:val="24"/>
        </w:rPr>
        <w:t> </w:t>
      </w:r>
      <w:r>
        <w:rPr>
          <w:sz w:val="24"/>
        </w:rPr>
        <w:t>survival</w:t>
      </w:r>
      <w:r>
        <w:rPr>
          <w:spacing w:val="-15"/>
          <w:sz w:val="24"/>
        </w:rPr>
        <w:t> </w:t>
      </w:r>
      <w:r>
        <w:rPr>
          <w:sz w:val="24"/>
        </w:rPr>
        <w:t>and</w:t>
      </w:r>
      <w:r>
        <w:rPr>
          <w:spacing w:val="-15"/>
          <w:sz w:val="24"/>
        </w:rPr>
        <w:t> </w:t>
      </w:r>
      <w:r>
        <w:rPr>
          <w:sz w:val="24"/>
        </w:rPr>
        <w:t>growth.</w:t>
      </w:r>
      <w:r>
        <w:rPr>
          <w:spacing w:val="-15"/>
          <w:sz w:val="24"/>
        </w:rPr>
        <w:t> </w:t>
      </w:r>
      <w:r>
        <w:rPr>
          <w:sz w:val="24"/>
        </w:rPr>
        <w:t>Economic Nepomiluiva,</w:t>
      </w:r>
      <w:r>
        <w:rPr>
          <w:spacing w:val="49"/>
          <w:sz w:val="24"/>
        </w:rPr>
        <w:t> </w:t>
      </w:r>
      <w:r>
        <w:rPr>
          <w:sz w:val="24"/>
        </w:rPr>
        <w:t>D.</w:t>
      </w:r>
      <w:r>
        <w:rPr>
          <w:spacing w:val="51"/>
          <w:sz w:val="24"/>
        </w:rPr>
        <w:t> </w:t>
      </w:r>
      <w:r>
        <w:rPr>
          <w:sz w:val="24"/>
        </w:rPr>
        <w:t>(2017).</w:t>
      </w:r>
      <w:r>
        <w:rPr>
          <w:spacing w:val="56"/>
          <w:sz w:val="24"/>
        </w:rPr>
        <w:t> </w:t>
      </w:r>
      <w:r>
        <w:rPr>
          <w:i/>
          <w:sz w:val="24"/>
        </w:rPr>
        <w:t>Water</w:t>
      </w:r>
      <w:r>
        <w:rPr>
          <w:i/>
          <w:spacing w:val="51"/>
          <w:sz w:val="24"/>
        </w:rPr>
        <w:t> </w:t>
      </w:r>
      <w:r>
        <w:rPr>
          <w:i/>
          <w:sz w:val="24"/>
        </w:rPr>
        <w:t>scarcity</w:t>
      </w:r>
      <w:r>
        <w:rPr>
          <w:i/>
          <w:spacing w:val="50"/>
          <w:sz w:val="24"/>
        </w:rPr>
        <w:t> </w:t>
      </w:r>
      <w:r>
        <w:rPr>
          <w:i/>
          <w:sz w:val="24"/>
        </w:rPr>
        <w:t>indexes:</w:t>
      </w:r>
      <w:r>
        <w:rPr>
          <w:i/>
          <w:spacing w:val="51"/>
          <w:sz w:val="24"/>
        </w:rPr>
        <w:t> </w:t>
      </w:r>
      <w:r>
        <w:rPr>
          <w:i/>
          <w:sz w:val="24"/>
        </w:rPr>
        <w:t>water</w:t>
      </w:r>
      <w:r>
        <w:rPr>
          <w:i/>
          <w:spacing w:val="51"/>
          <w:sz w:val="24"/>
        </w:rPr>
        <w:t> </w:t>
      </w:r>
      <w:r>
        <w:rPr>
          <w:i/>
          <w:sz w:val="24"/>
        </w:rPr>
        <w:t>availability</w:t>
      </w:r>
      <w:r>
        <w:rPr>
          <w:i/>
          <w:spacing w:val="50"/>
          <w:sz w:val="24"/>
        </w:rPr>
        <w:t> </w:t>
      </w:r>
      <w:r>
        <w:rPr>
          <w:i/>
          <w:sz w:val="24"/>
        </w:rPr>
        <w:t>to</w:t>
      </w:r>
      <w:r>
        <w:rPr>
          <w:i/>
          <w:spacing w:val="52"/>
          <w:sz w:val="24"/>
        </w:rPr>
        <w:t> </w:t>
      </w:r>
      <w:r>
        <w:rPr>
          <w:i/>
          <w:sz w:val="24"/>
        </w:rPr>
        <w:t>satisfy</w:t>
      </w:r>
      <w:r>
        <w:rPr>
          <w:i/>
          <w:spacing w:val="51"/>
          <w:sz w:val="24"/>
        </w:rPr>
        <w:t> </w:t>
      </w:r>
      <w:r>
        <w:rPr>
          <w:i/>
          <w:sz w:val="24"/>
        </w:rPr>
        <w:t>human</w:t>
      </w:r>
      <w:r>
        <w:rPr>
          <w:i/>
          <w:spacing w:val="52"/>
          <w:sz w:val="24"/>
        </w:rPr>
        <w:t> </w:t>
      </w:r>
      <w:r>
        <w:rPr>
          <w:i/>
          <w:spacing w:val="-4"/>
          <w:sz w:val="24"/>
        </w:rPr>
        <w:t>needs</w:t>
      </w:r>
    </w:p>
    <w:p>
      <w:pPr>
        <w:pStyle w:val="BodyText"/>
        <w:spacing w:before="2"/>
        <w:ind w:left="547"/>
        <w:jc w:val="both"/>
      </w:pPr>
      <w:r>
        <w:rPr/>
        <w:t>(unpublished</w:t>
      </w:r>
      <w:r>
        <w:rPr>
          <w:spacing w:val="-4"/>
        </w:rPr>
        <w:t> </w:t>
      </w:r>
      <w:r>
        <w:rPr/>
        <w:t>Bachelor’s degree</w:t>
      </w:r>
      <w:r>
        <w:rPr>
          <w:spacing w:val="-2"/>
        </w:rPr>
        <w:t> </w:t>
      </w:r>
      <w:r>
        <w:rPr/>
        <w:t>thesis).</w:t>
      </w:r>
      <w:r>
        <w:rPr>
          <w:spacing w:val="-2"/>
        </w:rPr>
        <w:t> </w:t>
      </w:r>
      <w:r>
        <w:rPr/>
        <w:t>Helskini</w:t>
      </w:r>
      <w:r>
        <w:rPr>
          <w:spacing w:val="-1"/>
        </w:rPr>
        <w:t> </w:t>
      </w:r>
      <w:r>
        <w:rPr/>
        <w:t>University</w:t>
      </w:r>
      <w:r>
        <w:rPr>
          <w:spacing w:val="-6"/>
        </w:rPr>
        <w:t> </w:t>
      </w:r>
      <w:r>
        <w:rPr/>
        <w:t>of</w:t>
      </w:r>
      <w:r>
        <w:rPr>
          <w:spacing w:val="-2"/>
        </w:rPr>
        <w:t> </w:t>
      </w:r>
      <w:r>
        <w:rPr/>
        <w:t>applied</w:t>
      </w:r>
      <w:r>
        <w:rPr>
          <w:spacing w:val="-1"/>
        </w:rPr>
        <w:t> </w:t>
      </w:r>
      <w:r>
        <w:rPr>
          <w:spacing w:val="-2"/>
        </w:rPr>
        <w:t>sciences.</w:t>
      </w:r>
    </w:p>
    <w:p>
      <w:pPr>
        <w:pStyle w:val="BodyText"/>
      </w:pPr>
    </w:p>
    <w:p>
      <w:pPr>
        <w:pStyle w:val="BodyText"/>
        <w:ind w:left="547" w:right="104" w:hanging="432"/>
        <w:jc w:val="both"/>
      </w:pPr>
      <w:r>
        <w:rPr/>
        <w:t>Nganyanyuka,</w:t>
      </w:r>
      <w:r>
        <w:rPr>
          <w:spacing w:val="-11"/>
        </w:rPr>
        <w:t> </w:t>
      </w:r>
      <w:r>
        <w:rPr/>
        <w:t>K.,</w:t>
      </w:r>
      <w:r>
        <w:rPr>
          <w:spacing w:val="-11"/>
        </w:rPr>
        <w:t> </w:t>
      </w:r>
      <w:r>
        <w:rPr/>
        <w:t>Martnez,</w:t>
      </w:r>
      <w:r>
        <w:rPr>
          <w:spacing w:val="-13"/>
        </w:rPr>
        <w:t> </w:t>
      </w:r>
      <w:r>
        <w:rPr/>
        <w:t>J.,</w:t>
      </w:r>
      <w:r>
        <w:rPr>
          <w:spacing w:val="-13"/>
        </w:rPr>
        <w:t> </w:t>
      </w:r>
      <w:r>
        <w:rPr/>
        <w:t>Wesselink,</w:t>
      </w:r>
      <w:r>
        <w:rPr>
          <w:spacing w:val="-10"/>
        </w:rPr>
        <w:t> </w:t>
      </w:r>
      <w:r>
        <w:rPr/>
        <w:t>A.,</w:t>
      </w:r>
      <w:r>
        <w:rPr>
          <w:spacing w:val="-11"/>
        </w:rPr>
        <w:t> </w:t>
      </w:r>
      <w:r>
        <w:rPr/>
        <w:t>Lungo,</w:t>
      </w:r>
      <w:r>
        <w:rPr>
          <w:spacing w:val="-11"/>
        </w:rPr>
        <w:t> </w:t>
      </w:r>
      <w:r>
        <w:rPr/>
        <w:t>J.H.,</w:t>
      </w:r>
      <w:r>
        <w:rPr>
          <w:spacing w:val="-11"/>
        </w:rPr>
        <w:t> </w:t>
      </w:r>
      <w:r>
        <w:rPr/>
        <w:t>&amp;</w:t>
      </w:r>
      <w:r>
        <w:rPr>
          <w:spacing w:val="-13"/>
        </w:rPr>
        <w:t> </w:t>
      </w:r>
      <w:r>
        <w:rPr/>
        <w:t>Georgiadou,</w:t>
      </w:r>
      <w:r>
        <w:rPr>
          <w:spacing w:val="-9"/>
        </w:rPr>
        <w:t> </w:t>
      </w:r>
      <w:r>
        <w:rPr/>
        <w:t>Y.</w:t>
      </w:r>
      <w:r>
        <w:rPr>
          <w:spacing w:val="-11"/>
        </w:rPr>
        <w:t> </w:t>
      </w:r>
      <w:r>
        <w:rPr/>
        <w:t>(2014),</w:t>
      </w:r>
      <w:r>
        <w:rPr>
          <w:spacing w:val="-11"/>
        </w:rPr>
        <w:t> </w:t>
      </w:r>
      <w:r>
        <w:rPr/>
        <w:t>“Accessing water</w:t>
      </w:r>
      <w:r>
        <w:rPr>
          <w:spacing w:val="-3"/>
        </w:rPr>
        <w:t> </w:t>
      </w:r>
      <w:r>
        <w:rPr/>
        <w:t>services</w:t>
      </w:r>
      <w:r>
        <w:rPr>
          <w:spacing w:val="-1"/>
        </w:rPr>
        <w:t> </w:t>
      </w:r>
      <w:r>
        <w:rPr/>
        <w:t>in</w:t>
      </w:r>
      <w:r>
        <w:rPr>
          <w:spacing w:val="-1"/>
        </w:rPr>
        <w:t> </w:t>
      </w:r>
      <w:r>
        <w:rPr/>
        <w:t>Dar</w:t>
      </w:r>
      <w:r>
        <w:rPr>
          <w:spacing w:val="-2"/>
        </w:rPr>
        <w:t> </w:t>
      </w:r>
      <w:r>
        <w:rPr/>
        <w:t>es Salaam:</w:t>
      </w:r>
      <w:r>
        <w:rPr>
          <w:spacing w:val="-1"/>
        </w:rPr>
        <w:t> </w:t>
      </w:r>
      <w:r>
        <w:rPr/>
        <w:t>Are</w:t>
      </w:r>
      <w:r>
        <w:rPr>
          <w:spacing w:val="-2"/>
        </w:rPr>
        <w:t> </w:t>
      </w:r>
      <w:r>
        <w:rPr/>
        <w:t>we</w:t>
      </w:r>
      <w:r>
        <w:rPr>
          <w:spacing w:val="-2"/>
        </w:rPr>
        <w:t> </w:t>
      </w:r>
      <w:r>
        <w:rPr/>
        <w:t>counting</w:t>
      </w:r>
      <w:r>
        <w:rPr>
          <w:spacing w:val="-1"/>
        </w:rPr>
        <w:t> </w:t>
      </w:r>
      <w:r>
        <w:rPr/>
        <w:t>what</w:t>
      </w:r>
      <w:r>
        <w:rPr>
          <w:spacing w:val="-1"/>
        </w:rPr>
        <w:t> </w:t>
      </w:r>
      <w:r>
        <w:rPr/>
        <w:t>counts?”, </w:t>
      </w:r>
      <w:r>
        <w:rPr>
          <w:i/>
        </w:rPr>
        <w:t>Habitat</w:t>
      </w:r>
      <w:r>
        <w:rPr>
          <w:i/>
          <w:spacing w:val="-1"/>
        </w:rPr>
        <w:t> </w:t>
      </w:r>
      <w:r>
        <w:rPr>
          <w:i/>
        </w:rPr>
        <w:t>International, </w:t>
      </w:r>
      <w:r>
        <w:rPr/>
        <w:t>44, </w:t>
      </w:r>
      <w:r>
        <w:rPr>
          <w:spacing w:val="-2"/>
        </w:rPr>
        <w:t>358-366.</w:t>
      </w:r>
    </w:p>
    <w:p>
      <w:pPr>
        <w:pStyle w:val="BodyText"/>
      </w:pPr>
    </w:p>
    <w:p>
      <w:pPr>
        <w:spacing w:before="1"/>
        <w:ind w:left="547" w:right="108" w:hanging="432"/>
        <w:jc w:val="both"/>
        <w:rPr>
          <w:sz w:val="24"/>
        </w:rPr>
      </w:pPr>
      <w:r>
        <w:rPr>
          <w:sz w:val="24"/>
        </w:rPr>
        <w:t>National Bureau of Statistics. (2006). </w:t>
      </w:r>
      <w:r>
        <w:rPr>
          <w:i/>
          <w:sz w:val="24"/>
        </w:rPr>
        <w:t>Proceedings 5th Meeting of Directors of Planning, Research &amp; Statistics Departments (PRSDs) of Federal Ministries, Departments and Agencies (MDAs)</w:t>
      </w:r>
      <w:r>
        <w:rPr>
          <w:sz w:val="24"/>
        </w:rPr>
        <w:t>. National Bureau of Statistics.</w:t>
      </w:r>
    </w:p>
    <w:p>
      <w:pPr>
        <w:pStyle w:val="BodyText"/>
        <w:spacing w:before="2"/>
      </w:pPr>
    </w:p>
    <w:p>
      <w:pPr>
        <w:pStyle w:val="BodyText"/>
        <w:spacing w:line="237" w:lineRule="auto"/>
        <w:ind w:left="547" w:right="109" w:hanging="432"/>
        <w:jc w:val="both"/>
      </w:pPr>
      <w:r>
        <w:rPr/>
        <w:t>Niger State Bureau of Statistics (2014).</w:t>
      </w:r>
      <w:r>
        <w:rPr>
          <w:spacing w:val="40"/>
        </w:rPr>
        <w:t> </w:t>
      </w:r>
      <w:r>
        <w:rPr/>
        <w:t>Socio- Economic Survey. NSBS with technical support of National Bureau of Statistics, Nigeria.</w:t>
      </w:r>
    </w:p>
    <w:p>
      <w:pPr>
        <w:pStyle w:val="BodyText"/>
        <w:spacing w:before="1"/>
      </w:pPr>
    </w:p>
    <w:p>
      <w:pPr>
        <w:pStyle w:val="BodyText"/>
        <w:ind w:left="115"/>
        <w:jc w:val="both"/>
      </w:pPr>
      <w:r>
        <w:rPr/>
        <w:t>Niger</w:t>
      </w:r>
      <w:r>
        <w:rPr>
          <w:spacing w:val="35"/>
        </w:rPr>
        <w:t> </w:t>
      </w:r>
      <w:r>
        <w:rPr/>
        <w:t>State</w:t>
      </w:r>
      <w:r>
        <w:rPr>
          <w:spacing w:val="37"/>
        </w:rPr>
        <w:t> </w:t>
      </w:r>
      <w:r>
        <w:rPr/>
        <w:t>Water</w:t>
      </w:r>
      <w:r>
        <w:rPr>
          <w:spacing w:val="39"/>
        </w:rPr>
        <w:t> </w:t>
      </w:r>
      <w:r>
        <w:rPr/>
        <w:t>Board</w:t>
      </w:r>
      <w:r>
        <w:rPr>
          <w:spacing w:val="38"/>
        </w:rPr>
        <w:t> </w:t>
      </w:r>
      <w:r>
        <w:rPr/>
        <w:t>(2019).</w:t>
      </w:r>
      <w:r>
        <w:rPr>
          <w:spacing w:val="37"/>
        </w:rPr>
        <w:t> </w:t>
      </w:r>
      <w:r>
        <w:rPr/>
        <w:t>Making</w:t>
      </w:r>
      <w:r>
        <w:rPr>
          <w:spacing w:val="35"/>
        </w:rPr>
        <w:t> </w:t>
      </w:r>
      <w:r>
        <w:rPr/>
        <w:t>the</w:t>
      </w:r>
      <w:r>
        <w:rPr>
          <w:spacing w:val="37"/>
        </w:rPr>
        <w:t> </w:t>
      </w:r>
      <w:r>
        <w:rPr/>
        <w:t>provision</w:t>
      </w:r>
      <w:r>
        <w:rPr>
          <w:spacing w:val="39"/>
        </w:rPr>
        <w:t> </w:t>
      </w:r>
      <w:r>
        <w:rPr/>
        <w:t>of</w:t>
      </w:r>
      <w:r>
        <w:rPr>
          <w:spacing w:val="37"/>
        </w:rPr>
        <w:t> </w:t>
      </w:r>
      <w:r>
        <w:rPr/>
        <w:t>water</w:t>
      </w:r>
      <w:r>
        <w:rPr>
          <w:spacing w:val="39"/>
        </w:rPr>
        <w:t> </w:t>
      </w:r>
      <w:r>
        <w:rPr/>
        <w:t>a</w:t>
      </w:r>
      <w:r>
        <w:rPr>
          <w:spacing w:val="37"/>
        </w:rPr>
        <w:t> </w:t>
      </w:r>
      <w:r>
        <w:rPr/>
        <w:t>birth</w:t>
      </w:r>
      <w:r>
        <w:rPr>
          <w:spacing w:val="38"/>
        </w:rPr>
        <w:t> </w:t>
      </w:r>
      <w:r>
        <w:rPr/>
        <w:t>right</w:t>
      </w:r>
      <w:r>
        <w:rPr>
          <w:spacing w:val="40"/>
        </w:rPr>
        <w:t> </w:t>
      </w:r>
      <w:r>
        <w:rPr/>
        <w:t>of</w:t>
      </w:r>
      <w:r>
        <w:rPr>
          <w:spacing w:val="37"/>
        </w:rPr>
        <w:t> </w:t>
      </w:r>
      <w:r>
        <w:rPr/>
        <w:t>the</w:t>
      </w:r>
      <w:r>
        <w:rPr>
          <w:spacing w:val="38"/>
        </w:rPr>
        <w:t> </w:t>
      </w:r>
      <w:r>
        <w:rPr>
          <w:spacing w:val="-2"/>
        </w:rPr>
        <w:t>people.</w:t>
      </w:r>
    </w:p>
    <w:p>
      <w:pPr>
        <w:spacing w:before="0"/>
        <w:ind w:left="547" w:right="0" w:firstLine="0"/>
        <w:jc w:val="both"/>
        <w:rPr>
          <w:i/>
          <w:sz w:val="24"/>
        </w:rPr>
      </w:pPr>
      <w:r>
        <w:rPr>
          <w:i/>
          <w:sz w:val="24"/>
        </w:rPr>
        <w:t>Progress</w:t>
      </w:r>
      <w:r>
        <w:rPr>
          <w:i/>
          <w:spacing w:val="-1"/>
          <w:sz w:val="24"/>
        </w:rPr>
        <w:t> </w:t>
      </w:r>
      <w:r>
        <w:rPr>
          <w:i/>
          <w:sz w:val="24"/>
        </w:rPr>
        <w:t>report for</w:t>
      </w:r>
      <w:r>
        <w:rPr>
          <w:i/>
          <w:spacing w:val="-1"/>
          <w:sz w:val="24"/>
        </w:rPr>
        <w:t> </w:t>
      </w:r>
      <w:r>
        <w:rPr>
          <w:i/>
          <w:sz w:val="24"/>
        </w:rPr>
        <w:t>the</w:t>
      </w:r>
      <w:r>
        <w:rPr>
          <w:i/>
          <w:spacing w:val="-1"/>
          <w:sz w:val="24"/>
        </w:rPr>
        <w:t> </w:t>
      </w:r>
      <w:r>
        <w:rPr>
          <w:i/>
          <w:sz w:val="24"/>
        </w:rPr>
        <w:t>period</w:t>
      </w:r>
      <w:r>
        <w:rPr>
          <w:i/>
          <w:spacing w:val="-1"/>
          <w:sz w:val="24"/>
        </w:rPr>
        <w:t> </w:t>
      </w:r>
      <w:r>
        <w:rPr>
          <w:i/>
          <w:sz w:val="24"/>
        </w:rPr>
        <w:t>of October</w:t>
      </w:r>
      <w:r>
        <w:rPr>
          <w:i/>
          <w:spacing w:val="-1"/>
          <w:sz w:val="24"/>
        </w:rPr>
        <w:t> </w:t>
      </w:r>
      <w:r>
        <w:rPr>
          <w:i/>
          <w:sz w:val="24"/>
        </w:rPr>
        <w:t>1975 to</w:t>
      </w:r>
      <w:r>
        <w:rPr>
          <w:i/>
          <w:spacing w:val="-1"/>
          <w:sz w:val="24"/>
        </w:rPr>
        <w:t> </w:t>
      </w:r>
      <w:r>
        <w:rPr>
          <w:i/>
          <w:sz w:val="24"/>
        </w:rPr>
        <w:t>October </w:t>
      </w:r>
      <w:r>
        <w:rPr>
          <w:i/>
          <w:spacing w:val="-2"/>
          <w:sz w:val="24"/>
        </w:rPr>
        <w:t>2015.</w:t>
      </w:r>
    </w:p>
    <w:p>
      <w:pPr>
        <w:spacing w:after="0"/>
        <w:jc w:val="both"/>
        <w:rPr>
          <w:sz w:val="24"/>
        </w:rPr>
        <w:sectPr>
          <w:pgSz w:w="12240" w:h="15840"/>
          <w:pgMar w:header="0" w:footer="1068" w:top="1600" w:bottom="1260" w:left="1440" w:right="1300"/>
        </w:sectPr>
      </w:pPr>
    </w:p>
    <w:p>
      <w:pPr>
        <w:spacing w:before="79"/>
        <w:ind w:left="115" w:right="0" w:firstLine="0"/>
        <w:jc w:val="left"/>
        <w:rPr>
          <w:sz w:val="24"/>
        </w:rPr>
      </w:pPr>
      <w:r>
        <w:rPr>
          <w:sz w:val="24"/>
        </w:rPr>
        <w:t>NPC</w:t>
      </w:r>
      <w:r>
        <w:rPr>
          <w:spacing w:val="-1"/>
          <w:sz w:val="24"/>
        </w:rPr>
        <w:t> </w:t>
      </w:r>
      <w:r>
        <w:rPr>
          <w:sz w:val="24"/>
        </w:rPr>
        <w:t>(2006).</w:t>
      </w:r>
      <w:r>
        <w:rPr>
          <w:spacing w:val="-2"/>
          <w:sz w:val="24"/>
        </w:rPr>
        <w:t> </w:t>
      </w:r>
      <w:r>
        <w:rPr>
          <w:i/>
          <w:sz w:val="24"/>
        </w:rPr>
        <w:t>2006</w:t>
      </w:r>
      <w:r>
        <w:rPr>
          <w:i/>
          <w:spacing w:val="-1"/>
          <w:sz w:val="24"/>
        </w:rPr>
        <w:t> </w:t>
      </w:r>
      <w:r>
        <w:rPr>
          <w:i/>
          <w:sz w:val="24"/>
        </w:rPr>
        <w:t>National</w:t>
      </w:r>
      <w:r>
        <w:rPr>
          <w:i/>
          <w:spacing w:val="-1"/>
          <w:sz w:val="24"/>
        </w:rPr>
        <w:t> </w:t>
      </w:r>
      <w:r>
        <w:rPr>
          <w:i/>
          <w:sz w:val="24"/>
        </w:rPr>
        <w:t>Population Census</w:t>
      </w:r>
      <w:r>
        <w:rPr>
          <w:i/>
          <w:spacing w:val="-1"/>
          <w:sz w:val="24"/>
        </w:rPr>
        <w:t> </w:t>
      </w:r>
      <w:r>
        <w:rPr>
          <w:i/>
          <w:sz w:val="24"/>
        </w:rPr>
        <w:t>Data</w:t>
      </w:r>
      <w:r>
        <w:rPr>
          <w:sz w:val="24"/>
        </w:rPr>
        <w:t>.</w:t>
      </w:r>
      <w:r>
        <w:rPr>
          <w:spacing w:val="-1"/>
          <w:sz w:val="24"/>
        </w:rPr>
        <w:t> </w:t>
      </w:r>
      <w:r>
        <w:rPr>
          <w:sz w:val="24"/>
        </w:rPr>
        <w:t>Abuja:</w:t>
      </w:r>
      <w:r>
        <w:rPr>
          <w:spacing w:val="-1"/>
          <w:sz w:val="24"/>
        </w:rPr>
        <w:t> </w:t>
      </w:r>
      <w:r>
        <w:rPr>
          <w:sz w:val="24"/>
        </w:rPr>
        <w:t>National</w:t>
      </w:r>
      <w:r>
        <w:rPr>
          <w:spacing w:val="-1"/>
          <w:sz w:val="24"/>
        </w:rPr>
        <w:t> </w:t>
      </w:r>
      <w:r>
        <w:rPr>
          <w:sz w:val="24"/>
        </w:rPr>
        <w:t>Population </w:t>
      </w:r>
      <w:r>
        <w:rPr>
          <w:spacing w:val="-2"/>
          <w:sz w:val="24"/>
        </w:rPr>
        <w:t>Commission.</w:t>
      </w:r>
    </w:p>
    <w:p>
      <w:pPr>
        <w:pStyle w:val="BodyText"/>
      </w:pPr>
    </w:p>
    <w:p>
      <w:pPr>
        <w:spacing w:before="0"/>
        <w:ind w:left="547" w:right="108" w:hanging="432"/>
        <w:jc w:val="both"/>
        <w:rPr>
          <w:sz w:val="24"/>
        </w:rPr>
      </w:pPr>
      <w:r>
        <w:rPr>
          <w:sz w:val="24"/>
        </w:rPr>
        <w:t>Nyarko, Y. (2008). Is the brain drain good for Africa?. </w:t>
      </w:r>
      <w:r>
        <w:rPr>
          <w:i/>
          <w:sz w:val="24"/>
        </w:rPr>
        <w:t>Brookings Global Economy and Development Working Paper</w:t>
      </w:r>
      <w:r>
        <w:rPr>
          <w:sz w:val="24"/>
        </w:rPr>
        <w:t>, (19).</w:t>
      </w:r>
    </w:p>
    <w:p>
      <w:pPr>
        <w:pStyle w:val="BodyText"/>
      </w:pPr>
    </w:p>
    <w:p>
      <w:pPr>
        <w:pStyle w:val="BodyText"/>
        <w:ind w:left="547" w:right="105" w:hanging="432"/>
        <w:jc w:val="both"/>
      </w:pPr>
      <w:r>
        <w:rPr/>
        <w:t>OECD (Organisation for Economic Co-operation and Development), (1993). Core set of indicators for environmental performance reviews. A synthesis reports by the group on the state of the environment. Rep. no. 83 paris.</w:t>
      </w:r>
    </w:p>
    <w:p>
      <w:pPr>
        <w:pStyle w:val="BodyText"/>
      </w:pPr>
    </w:p>
    <w:p>
      <w:pPr>
        <w:pStyle w:val="BodyText"/>
        <w:ind w:left="115"/>
      </w:pPr>
      <w:r>
        <w:rPr/>
        <w:t>Offodile,</w:t>
      </w:r>
      <w:r>
        <w:rPr>
          <w:spacing w:val="29"/>
        </w:rPr>
        <w:t> </w:t>
      </w:r>
      <w:r>
        <w:rPr/>
        <w:t>M.E</w:t>
      </w:r>
      <w:r>
        <w:rPr>
          <w:spacing w:val="33"/>
        </w:rPr>
        <w:t> </w:t>
      </w:r>
      <w:r>
        <w:rPr/>
        <w:t>(2002).</w:t>
      </w:r>
      <w:r>
        <w:rPr>
          <w:spacing w:val="31"/>
        </w:rPr>
        <w:t> </w:t>
      </w:r>
      <w:r>
        <w:rPr/>
        <w:t>Ground</w:t>
      </w:r>
      <w:r>
        <w:rPr>
          <w:spacing w:val="30"/>
        </w:rPr>
        <w:t> </w:t>
      </w:r>
      <w:r>
        <w:rPr/>
        <w:t>water</w:t>
      </w:r>
      <w:r>
        <w:rPr>
          <w:spacing w:val="30"/>
        </w:rPr>
        <w:t> </w:t>
      </w:r>
      <w:r>
        <w:rPr/>
        <w:t>study</w:t>
      </w:r>
      <w:r>
        <w:rPr>
          <w:spacing w:val="27"/>
        </w:rPr>
        <w:t> </w:t>
      </w:r>
      <w:r>
        <w:rPr/>
        <w:t>and</w:t>
      </w:r>
      <w:r>
        <w:rPr>
          <w:spacing w:val="30"/>
        </w:rPr>
        <w:t> </w:t>
      </w:r>
      <w:r>
        <w:rPr/>
        <w:t>development</w:t>
      </w:r>
      <w:r>
        <w:rPr>
          <w:spacing w:val="30"/>
        </w:rPr>
        <w:t> </w:t>
      </w:r>
      <w:r>
        <w:rPr/>
        <w:t>in</w:t>
      </w:r>
      <w:r>
        <w:rPr>
          <w:spacing w:val="31"/>
        </w:rPr>
        <w:t> </w:t>
      </w:r>
      <w:r>
        <w:rPr/>
        <w:t>Nigeria.</w:t>
      </w:r>
      <w:r>
        <w:rPr>
          <w:spacing w:val="35"/>
        </w:rPr>
        <w:t> </w:t>
      </w:r>
      <w:r>
        <w:rPr/>
        <w:t>In:</w:t>
      </w:r>
      <w:r>
        <w:rPr>
          <w:spacing w:val="29"/>
        </w:rPr>
        <w:t> </w:t>
      </w:r>
      <w:r>
        <w:rPr/>
        <w:t>C.A.</w:t>
      </w:r>
      <w:r>
        <w:rPr>
          <w:spacing w:val="30"/>
        </w:rPr>
        <w:t> </w:t>
      </w:r>
      <w:r>
        <w:rPr/>
        <w:t>Kogbe</w:t>
      </w:r>
      <w:r>
        <w:rPr>
          <w:spacing w:val="32"/>
        </w:rPr>
        <w:t> </w:t>
      </w:r>
      <w:r>
        <w:rPr>
          <w:spacing w:val="-4"/>
        </w:rPr>
        <w:t>(ed)</w:t>
      </w:r>
    </w:p>
    <w:p>
      <w:pPr>
        <w:spacing w:before="0"/>
        <w:ind w:left="547" w:right="0" w:firstLine="0"/>
        <w:jc w:val="left"/>
        <w:rPr>
          <w:sz w:val="24"/>
        </w:rPr>
      </w:pPr>
      <w:r>
        <w:rPr>
          <w:i/>
          <w:sz w:val="24"/>
        </w:rPr>
        <w:t>Geology</w:t>
      </w:r>
      <w:r>
        <w:rPr>
          <w:i/>
          <w:spacing w:val="-1"/>
          <w:sz w:val="24"/>
        </w:rPr>
        <w:t> </w:t>
      </w:r>
      <w:r>
        <w:rPr>
          <w:i/>
          <w:sz w:val="24"/>
        </w:rPr>
        <w:t>in</w:t>
      </w:r>
      <w:r>
        <w:rPr>
          <w:i/>
          <w:spacing w:val="-1"/>
          <w:sz w:val="24"/>
        </w:rPr>
        <w:t> </w:t>
      </w:r>
      <w:r>
        <w:rPr>
          <w:i/>
          <w:sz w:val="24"/>
        </w:rPr>
        <w:t>Nigeria</w:t>
      </w:r>
      <w:r>
        <w:rPr>
          <w:sz w:val="24"/>
        </w:rPr>
        <w:t>.</w:t>
      </w:r>
      <w:r>
        <w:rPr>
          <w:spacing w:val="-1"/>
          <w:sz w:val="24"/>
        </w:rPr>
        <w:t> </w:t>
      </w:r>
      <w:r>
        <w:rPr>
          <w:sz w:val="24"/>
        </w:rPr>
        <w:t>Minna:</w:t>
      </w:r>
      <w:r>
        <w:rPr>
          <w:spacing w:val="-1"/>
          <w:sz w:val="24"/>
        </w:rPr>
        <w:t> </w:t>
      </w:r>
      <w:r>
        <w:rPr>
          <w:sz w:val="24"/>
        </w:rPr>
        <w:t>publication</w:t>
      </w:r>
      <w:r>
        <w:rPr>
          <w:spacing w:val="-1"/>
          <w:sz w:val="24"/>
        </w:rPr>
        <w:t> </w:t>
      </w:r>
      <w:r>
        <w:rPr>
          <w:spacing w:val="-5"/>
          <w:sz w:val="24"/>
        </w:rPr>
        <w:t>RD.</w:t>
      </w:r>
    </w:p>
    <w:p>
      <w:pPr>
        <w:pStyle w:val="BodyText"/>
        <w:spacing w:before="1"/>
      </w:pPr>
    </w:p>
    <w:p>
      <w:pPr>
        <w:pStyle w:val="BodyText"/>
        <w:ind w:left="547" w:right="107" w:hanging="432"/>
        <w:jc w:val="both"/>
      </w:pPr>
      <w:r>
        <w:rPr/>
        <w:t>Ogunbode,</w:t>
      </w:r>
      <w:r>
        <w:rPr>
          <w:spacing w:val="-8"/>
        </w:rPr>
        <w:t> </w:t>
      </w:r>
      <w:r>
        <w:rPr/>
        <w:t>T.</w:t>
      </w:r>
      <w:r>
        <w:rPr>
          <w:spacing w:val="-9"/>
        </w:rPr>
        <w:t> </w:t>
      </w:r>
      <w:r>
        <w:rPr/>
        <w:t>O.,</w:t>
      </w:r>
      <w:r>
        <w:rPr>
          <w:spacing w:val="-7"/>
        </w:rPr>
        <w:t> </w:t>
      </w:r>
      <w:r>
        <w:rPr/>
        <w:t>&amp;</w:t>
      </w:r>
      <w:r>
        <w:rPr>
          <w:spacing w:val="-5"/>
        </w:rPr>
        <w:t> </w:t>
      </w:r>
      <w:r>
        <w:rPr/>
        <w:t>Ifabiyi,</w:t>
      </w:r>
      <w:r>
        <w:rPr>
          <w:spacing w:val="-6"/>
        </w:rPr>
        <w:t> </w:t>
      </w:r>
      <w:r>
        <w:rPr/>
        <w:t>I.</w:t>
      </w:r>
      <w:r>
        <w:rPr>
          <w:spacing w:val="-6"/>
        </w:rPr>
        <w:t> </w:t>
      </w:r>
      <w:r>
        <w:rPr/>
        <w:t>P.</w:t>
      </w:r>
      <w:r>
        <w:rPr>
          <w:spacing w:val="-8"/>
        </w:rPr>
        <w:t> </w:t>
      </w:r>
      <w:r>
        <w:rPr/>
        <w:t>(2017).</w:t>
      </w:r>
      <w:r>
        <w:rPr>
          <w:spacing w:val="-9"/>
        </w:rPr>
        <w:t> </w:t>
      </w:r>
      <w:r>
        <w:rPr/>
        <w:t>Application</w:t>
      </w:r>
      <w:r>
        <w:rPr>
          <w:spacing w:val="-8"/>
        </w:rPr>
        <w:t> </w:t>
      </w:r>
      <w:r>
        <w:rPr/>
        <w:t>of</w:t>
      </w:r>
      <w:r>
        <w:rPr>
          <w:spacing w:val="-9"/>
        </w:rPr>
        <w:t> </w:t>
      </w:r>
      <w:r>
        <w:rPr/>
        <w:t>Water</w:t>
      </w:r>
      <w:r>
        <w:rPr>
          <w:spacing w:val="-9"/>
        </w:rPr>
        <w:t> </w:t>
      </w:r>
      <w:r>
        <w:rPr/>
        <w:t>Poverty</w:t>
      </w:r>
      <w:r>
        <w:rPr>
          <w:spacing w:val="-8"/>
        </w:rPr>
        <w:t> </w:t>
      </w:r>
      <w:r>
        <w:rPr/>
        <w:t>Index</w:t>
      </w:r>
      <w:r>
        <w:rPr>
          <w:spacing w:val="-6"/>
        </w:rPr>
        <w:t> </w:t>
      </w:r>
      <w:r>
        <w:rPr/>
        <w:t>(WPI)</w:t>
      </w:r>
      <w:r>
        <w:rPr>
          <w:spacing w:val="-9"/>
        </w:rPr>
        <w:t> </w:t>
      </w:r>
      <w:r>
        <w:rPr/>
        <w:t>in</w:t>
      </w:r>
      <w:r>
        <w:rPr>
          <w:spacing w:val="-5"/>
        </w:rPr>
        <w:t> </w:t>
      </w:r>
      <w:r>
        <w:rPr/>
        <w:t>Assessing Water Accessibility in the Rural Suburbs of Ogbomoso Zone of Oyo State, Nigeria. </w:t>
      </w:r>
      <w:r>
        <w:rPr>
          <w:i/>
        </w:rPr>
        <w:t>Asian Journal of Environment &amp; Ecology</w:t>
      </w:r>
      <w:r>
        <w:rPr/>
        <w:t>, 1-9.</w:t>
      </w:r>
    </w:p>
    <w:p>
      <w:pPr>
        <w:pStyle w:val="BodyText"/>
      </w:pPr>
    </w:p>
    <w:p>
      <w:pPr>
        <w:pStyle w:val="BodyText"/>
        <w:ind w:left="547" w:right="115" w:hanging="432"/>
        <w:jc w:val="both"/>
      </w:pPr>
      <w:r>
        <w:rPr/>
        <w:t>Ogwang, T. (1994). The choice of principle variables for computing the Human Development Index. </w:t>
      </w:r>
      <w:r>
        <w:rPr>
          <w:i/>
        </w:rPr>
        <w:t>World Development, </w:t>
      </w:r>
      <w:r>
        <w:rPr/>
        <w:t>22,</w:t>
      </w:r>
      <w:r>
        <w:rPr>
          <w:spacing w:val="40"/>
        </w:rPr>
        <w:t> </w:t>
      </w:r>
      <w:r>
        <w:rPr/>
        <w:t>2011-2014.</w:t>
      </w:r>
    </w:p>
    <w:p>
      <w:pPr>
        <w:pStyle w:val="BodyText"/>
      </w:pPr>
    </w:p>
    <w:p>
      <w:pPr>
        <w:spacing w:before="0"/>
        <w:ind w:left="547" w:right="114" w:hanging="432"/>
        <w:jc w:val="both"/>
        <w:rPr>
          <w:sz w:val="24"/>
        </w:rPr>
      </w:pPr>
      <w:r>
        <w:rPr>
          <w:sz w:val="24"/>
        </w:rPr>
        <w:t>Ogwumike, F. O. (1991). A basic needs-oriented approach to the measurement of poverty in Nigeria. </w:t>
      </w:r>
      <w:r>
        <w:rPr>
          <w:i/>
          <w:sz w:val="24"/>
        </w:rPr>
        <w:t>The Nigerian Journal of Economic and Social Studies</w:t>
      </w:r>
      <w:r>
        <w:rPr>
          <w:sz w:val="24"/>
        </w:rPr>
        <w:t>, </w:t>
      </w:r>
      <w:r>
        <w:rPr>
          <w:i/>
          <w:sz w:val="24"/>
        </w:rPr>
        <w:t>33</w:t>
      </w:r>
      <w:r>
        <w:rPr>
          <w:sz w:val="24"/>
        </w:rPr>
        <w:t>(2), 105-120.</w:t>
      </w:r>
    </w:p>
    <w:p>
      <w:pPr>
        <w:pStyle w:val="BodyText"/>
      </w:pPr>
    </w:p>
    <w:p>
      <w:pPr>
        <w:spacing w:before="0"/>
        <w:ind w:left="115" w:right="0" w:firstLine="0"/>
        <w:jc w:val="left"/>
        <w:rPr>
          <w:sz w:val="24"/>
        </w:rPr>
      </w:pPr>
      <w:r>
        <w:rPr>
          <w:sz w:val="24"/>
        </w:rPr>
        <w:t>Ohlsson,</w:t>
      </w:r>
      <w:r>
        <w:rPr>
          <w:spacing w:val="54"/>
          <w:sz w:val="24"/>
        </w:rPr>
        <w:t> </w:t>
      </w:r>
      <w:r>
        <w:rPr>
          <w:sz w:val="24"/>
        </w:rPr>
        <w:t>L.</w:t>
      </w:r>
      <w:r>
        <w:rPr>
          <w:spacing w:val="56"/>
          <w:sz w:val="24"/>
        </w:rPr>
        <w:t> </w:t>
      </w:r>
      <w:r>
        <w:rPr>
          <w:sz w:val="24"/>
        </w:rPr>
        <w:t>(1999).</w:t>
      </w:r>
      <w:r>
        <w:rPr>
          <w:spacing w:val="55"/>
          <w:sz w:val="24"/>
        </w:rPr>
        <w:t> </w:t>
      </w:r>
      <w:r>
        <w:rPr>
          <w:i/>
          <w:sz w:val="24"/>
        </w:rPr>
        <w:t>Environment,</w:t>
      </w:r>
      <w:r>
        <w:rPr>
          <w:i/>
          <w:spacing w:val="56"/>
          <w:sz w:val="24"/>
        </w:rPr>
        <w:t> </w:t>
      </w:r>
      <w:r>
        <w:rPr>
          <w:i/>
          <w:sz w:val="24"/>
        </w:rPr>
        <w:t>Scarcity</w:t>
      </w:r>
      <w:r>
        <w:rPr>
          <w:i/>
          <w:spacing w:val="55"/>
          <w:sz w:val="24"/>
        </w:rPr>
        <w:t> </w:t>
      </w:r>
      <w:r>
        <w:rPr>
          <w:i/>
          <w:sz w:val="24"/>
        </w:rPr>
        <w:t>and</w:t>
      </w:r>
      <w:r>
        <w:rPr>
          <w:i/>
          <w:spacing w:val="56"/>
          <w:sz w:val="24"/>
        </w:rPr>
        <w:t> </w:t>
      </w:r>
      <w:r>
        <w:rPr>
          <w:i/>
          <w:sz w:val="24"/>
        </w:rPr>
        <w:t>Conflict:</w:t>
      </w:r>
      <w:r>
        <w:rPr>
          <w:i/>
          <w:spacing w:val="55"/>
          <w:sz w:val="24"/>
        </w:rPr>
        <w:t> </w:t>
      </w:r>
      <w:r>
        <w:rPr>
          <w:i/>
          <w:sz w:val="24"/>
        </w:rPr>
        <w:t>A</w:t>
      </w:r>
      <w:r>
        <w:rPr>
          <w:i/>
          <w:spacing w:val="53"/>
          <w:sz w:val="24"/>
        </w:rPr>
        <w:t> </w:t>
      </w:r>
      <w:r>
        <w:rPr>
          <w:i/>
          <w:sz w:val="24"/>
        </w:rPr>
        <w:t>Study</w:t>
      </w:r>
      <w:r>
        <w:rPr>
          <w:i/>
          <w:spacing w:val="55"/>
          <w:sz w:val="24"/>
        </w:rPr>
        <w:t> </w:t>
      </w:r>
      <w:r>
        <w:rPr>
          <w:i/>
          <w:sz w:val="24"/>
        </w:rPr>
        <w:t>of</w:t>
      </w:r>
      <w:r>
        <w:rPr>
          <w:i/>
          <w:spacing w:val="52"/>
          <w:sz w:val="24"/>
        </w:rPr>
        <w:t> </w:t>
      </w:r>
      <w:r>
        <w:rPr>
          <w:i/>
          <w:sz w:val="24"/>
        </w:rPr>
        <w:t>Malthusian</w:t>
      </w:r>
      <w:r>
        <w:rPr>
          <w:i/>
          <w:spacing w:val="57"/>
          <w:sz w:val="24"/>
        </w:rPr>
        <w:t> </w:t>
      </w:r>
      <w:r>
        <w:rPr>
          <w:i/>
          <w:spacing w:val="-2"/>
          <w:sz w:val="24"/>
        </w:rPr>
        <w:t>Concerns</w:t>
      </w:r>
      <w:r>
        <w:rPr>
          <w:spacing w:val="-2"/>
          <w:sz w:val="24"/>
        </w:rPr>
        <w:t>.</w:t>
      </w:r>
    </w:p>
    <w:p>
      <w:pPr>
        <w:pStyle w:val="BodyText"/>
        <w:ind w:left="547"/>
      </w:pPr>
      <w:r>
        <w:rPr/>
        <w:t>Department</w:t>
      </w:r>
      <w:r>
        <w:rPr>
          <w:spacing w:val="-1"/>
        </w:rPr>
        <w:t> </w:t>
      </w:r>
      <w:r>
        <w:rPr/>
        <w:t>of</w:t>
      </w:r>
      <w:r>
        <w:rPr>
          <w:spacing w:val="-1"/>
        </w:rPr>
        <w:t> </w:t>
      </w:r>
      <w:r>
        <w:rPr/>
        <w:t>Peace</w:t>
      </w:r>
      <w:r>
        <w:rPr>
          <w:spacing w:val="-2"/>
        </w:rPr>
        <w:t> </w:t>
      </w:r>
      <w:r>
        <w:rPr/>
        <w:t>and Development</w:t>
      </w:r>
      <w:r>
        <w:rPr>
          <w:spacing w:val="-1"/>
        </w:rPr>
        <w:t> </w:t>
      </w:r>
      <w:r>
        <w:rPr/>
        <w:t>Research.</w:t>
      </w:r>
      <w:r>
        <w:rPr>
          <w:spacing w:val="1"/>
        </w:rPr>
        <w:t> </w:t>
      </w:r>
      <w:r>
        <w:rPr/>
        <w:t>University</w:t>
      </w:r>
      <w:r>
        <w:rPr>
          <w:spacing w:val="-5"/>
        </w:rPr>
        <w:t> </w:t>
      </w:r>
      <w:r>
        <w:rPr/>
        <w:t>of</w:t>
      </w:r>
      <w:r>
        <w:rPr>
          <w:spacing w:val="-1"/>
        </w:rPr>
        <w:t> </w:t>
      </w:r>
      <w:r>
        <w:rPr>
          <w:spacing w:val="-2"/>
        </w:rPr>
        <w:t>Göteborg</w:t>
      </w:r>
    </w:p>
    <w:p>
      <w:pPr>
        <w:pStyle w:val="BodyText"/>
        <w:spacing w:before="1"/>
      </w:pPr>
    </w:p>
    <w:p>
      <w:pPr>
        <w:pStyle w:val="BodyText"/>
        <w:ind w:left="547" w:right="112" w:hanging="432"/>
        <w:jc w:val="both"/>
      </w:pPr>
      <w:r>
        <w:rPr/>
        <w:t>Ohlsson, L. (2000). Water conflicts and social resource scarcity. Physics and chemistry of the earth, part B. </w:t>
      </w:r>
      <w:r>
        <w:rPr>
          <w:i/>
        </w:rPr>
        <w:t>Hydrology Oceans and Atmosphere</w:t>
      </w:r>
      <w:r>
        <w:rPr/>
        <w:t>, 25, 213-230.</w:t>
      </w:r>
    </w:p>
    <w:p>
      <w:pPr>
        <w:pStyle w:val="BodyText"/>
      </w:pPr>
    </w:p>
    <w:p>
      <w:pPr>
        <w:pStyle w:val="BodyText"/>
        <w:ind w:left="547" w:right="113" w:hanging="432"/>
        <w:jc w:val="both"/>
      </w:pPr>
      <w:r>
        <w:rPr/>
        <w:t>Ohlsson,</w:t>
      </w:r>
      <w:r>
        <w:rPr>
          <w:spacing w:val="-5"/>
        </w:rPr>
        <w:t> </w:t>
      </w:r>
      <w:r>
        <w:rPr/>
        <w:t>L.</w:t>
      </w:r>
      <w:r>
        <w:rPr>
          <w:spacing w:val="-7"/>
        </w:rPr>
        <w:t> </w:t>
      </w:r>
      <w:r>
        <w:rPr/>
        <w:t>&amp;</w:t>
      </w:r>
      <w:r>
        <w:rPr>
          <w:spacing w:val="-9"/>
        </w:rPr>
        <w:t> </w:t>
      </w:r>
      <w:r>
        <w:rPr/>
        <w:t>Turton,</w:t>
      </w:r>
      <w:r>
        <w:rPr>
          <w:spacing w:val="-8"/>
        </w:rPr>
        <w:t> </w:t>
      </w:r>
      <w:r>
        <w:rPr/>
        <w:t>A.</w:t>
      </w:r>
      <w:r>
        <w:rPr>
          <w:spacing w:val="-8"/>
        </w:rPr>
        <w:t> </w:t>
      </w:r>
      <w:r>
        <w:rPr/>
        <w:t>(2000).</w:t>
      </w:r>
      <w:r>
        <w:rPr>
          <w:spacing w:val="-8"/>
        </w:rPr>
        <w:t> </w:t>
      </w:r>
      <w:r>
        <w:rPr/>
        <w:t>The</w:t>
      </w:r>
      <w:r>
        <w:rPr>
          <w:spacing w:val="-8"/>
        </w:rPr>
        <w:t> </w:t>
      </w:r>
      <w:r>
        <w:rPr/>
        <w:t>turning</w:t>
      </w:r>
      <w:r>
        <w:rPr>
          <w:spacing w:val="-9"/>
        </w:rPr>
        <w:t> </w:t>
      </w:r>
      <w:r>
        <w:rPr/>
        <w:t>of</w:t>
      </w:r>
      <w:r>
        <w:rPr>
          <w:spacing w:val="-7"/>
        </w:rPr>
        <w:t> </w:t>
      </w:r>
      <w:r>
        <w:rPr/>
        <w:t>a</w:t>
      </w:r>
      <w:r>
        <w:rPr>
          <w:spacing w:val="-8"/>
        </w:rPr>
        <w:t> </w:t>
      </w:r>
      <w:r>
        <w:rPr/>
        <w:t>screw.</w:t>
      </w:r>
      <w:r>
        <w:rPr>
          <w:spacing w:val="-8"/>
        </w:rPr>
        <w:t> </w:t>
      </w:r>
      <w:r>
        <w:rPr/>
        <w:t>Social</w:t>
      </w:r>
      <w:r>
        <w:rPr>
          <w:spacing w:val="-7"/>
        </w:rPr>
        <w:t> </w:t>
      </w:r>
      <w:r>
        <w:rPr/>
        <w:t>resource</w:t>
      </w:r>
      <w:r>
        <w:rPr>
          <w:spacing w:val="-8"/>
        </w:rPr>
        <w:t> </w:t>
      </w:r>
      <w:r>
        <w:rPr/>
        <w:t>scarcity</w:t>
      </w:r>
      <w:r>
        <w:rPr>
          <w:spacing w:val="-12"/>
        </w:rPr>
        <w:t> </w:t>
      </w:r>
      <w:r>
        <w:rPr/>
        <w:t>as</w:t>
      </w:r>
      <w:r>
        <w:rPr>
          <w:spacing w:val="-7"/>
        </w:rPr>
        <w:t> </w:t>
      </w:r>
      <w:r>
        <w:rPr/>
        <w:t>a</w:t>
      </w:r>
      <w:r>
        <w:rPr>
          <w:spacing w:val="-8"/>
        </w:rPr>
        <w:t> </w:t>
      </w:r>
      <w:r>
        <w:rPr/>
        <w:t>bottle</w:t>
      </w:r>
      <w:r>
        <w:rPr>
          <w:spacing w:val="-8"/>
        </w:rPr>
        <w:t> </w:t>
      </w:r>
      <w:r>
        <w:rPr/>
        <w:t>neck in adaptation to water scarcity. </w:t>
      </w:r>
      <w:r>
        <w:rPr>
          <w:i/>
        </w:rPr>
        <w:t>Stockholm Water Front, </w:t>
      </w:r>
      <w:r>
        <w:rPr/>
        <w:t>1, 10-11.</w:t>
      </w:r>
    </w:p>
    <w:p>
      <w:pPr>
        <w:pStyle w:val="BodyText"/>
      </w:pPr>
    </w:p>
    <w:p>
      <w:pPr>
        <w:pStyle w:val="BodyText"/>
        <w:ind w:left="547" w:right="107" w:hanging="432"/>
        <w:jc w:val="both"/>
      </w:pPr>
      <w:r>
        <w:rPr/>
        <w:t>Oki, T., &amp; Kanae, S. (2006). Global hydrological cycles and world water resources. </w:t>
      </w:r>
      <w:r>
        <w:rPr>
          <w:i/>
        </w:rPr>
        <w:t>Science</w:t>
      </w:r>
      <w:r>
        <w:rPr/>
        <w:t>, 313(5790), 1068-1072.</w:t>
      </w:r>
    </w:p>
    <w:p>
      <w:pPr>
        <w:pStyle w:val="BodyText"/>
      </w:pPr>
    </w:p>
    <w:p>
      <w:pPr>
        <w:spacing w:before="0"/>
        <w:ind w:left="547" w:right="105" w:hanging="432"/>
        <w:jc w:val="both"/>
        <w:rPr>
          <w:sz w:val="24"/>
        </w:rPr>
      </w:pPr>
      <w:r>
        <w:rPr>
          <w:sz w:val="24"/>
        </w:rPr>
        <w:t>Olajuyigbe, A. (2010). Some factors impacting on quantity of water used by households in a rapidly urbanizing state capital in South Western Nigeria. </w:t>
      </w:r>
      <w:r>
        <w:rPr>
          <w:i/>
          <w:sz w:val="24"/>
        </w:rPr>
        <w:t>Journal of Sustainable Development in Africa</w:t>
      </w:r>
      <w:r>
        <w:rPr>
          <w:sz w:val="24"/>
        </w:rPr>
        <w:t>, </w:t>
      </w:r>
      <w:r>
        <w:rPr>
          <w:i/>
          <w:sz w:val="24"/>
        </w:rPr>
        <w:t>12</w:t>
      </w:r>
      <w:r>
        <w:rPr>
          <w:sz w:val="24"/>
        </w:rPr>
        <w:t>(2), 321-37.</w:t>
      </w:r>
    </w:p>
    <w:p>
      <w:pPr>
        <w:pStyle w:val="BodyText"/>
        <w:spacing w:before="1"/>
      </w:pPr>
    </w:p>
    <w:p>
      <w:pPr>
        <w:spacing w:before="0"/>
        <w:ind w:left="547" w:right="106" w:hanging="432"/>
        <w:jc w:val="both"/>
        <w:rPr>
          <w:sz w:val="24"/>
        </w:rPr>
      </w:pPr>
      <w:r>
        <w:rPr>
          <w:sz w:val="24"/>
        </w:rPr>
        <w:t>Oni,</w:t>
      </w:r>
      <w:r>
        <w:rPr>
          <w:spacing w:val="40"/>
          <w:sz w:val="24"/>
        </w:rPr>
        <w:t> </w:t>
      </w:r>
      <w:r>
        <w:rPr>
          <w:sz w:val="24"/>
        </w:rPr>
        <w:t>O.</w:t>
      </w:r>
      <w:r>
        <w:rPr>
          <w:spacing w:val="40"/>
          <w:sz w:val="24"/>
        </w:rPr>
        <w:t> </w:t>
      </w:r>
      <w:r>
        <w:rPr>
          <w:sz w:val="24"/>
        </w:rPr>
        <w:t>A.,</w:t>
      </w:r>
      <w:r>
        <w:rPr>
          <w:spacing w:val="40"/>
          <w:sz w:val="24"/>
        </w:rPr>
        <w:t> </w:t>
      </w:r>
      <w:r>
        <w:rPr>
          <w:sz w:val="24"/>
        </w:rPr>
        <w:t>&amp;</w:t>
      </w:r>
      <w:r>
        <w:rPr>
          <w:spacing w:val="40"/>
          <w:sz w:val="24"/>
        </w:rPr>
        <w:t> </w:t>
      </w:r>
      <w:r>
        <w:rPr>
          <w:sz w:val="24"/>
        </w:rPr>
        <w:t>Fashogbon,</w:t>
      </w:r>
      <w:r>
        <w:rPr>
          <w:spacing w:val="40"/>
          <w:sz w:val="24"/>
        </w:rPr>
        <w:t> </w:t>
      </w:r>
      <w:r>
        <w:rPr>
          <w:sz w:val="24"/>
        </w:rPr>
        <w:t>A.</w:t>
      </w:r>
      <w:r>
        <w:rPr>
          <w:spacing w:val="40"/>
          <w:sz w:val="24"/>
        </w:rPr>
        <w:t> </w:t>
      </w:r>
      <w:r>
        <w:rPr>
          <w:sz w:val="24"/>
        </w:rPr>
        <w:t>E.</w:t>
      </w:r>
      <w:r>
        <w:rPr>
          <w:spacing w:val="40"/>
          <w:sz w:val="24"/>
        </w:rPr>
        <w:t> </w:t>
      </w:r>
      <w:r>
        <w:rPr>
          <w:sz w:val="24"/>
        </w:rPr>
        <w:t>(2013).</w:t>
      </w:r>
      <w:r>
        <w:rPr>
          <w:spacing w:val="40"/>
          <w:sz w:val="24"/>
        </w:rPr>
        <w:t> </w:t>
      </w:r>
      <w:r>
        <w:rPr>
          <w:sz w:val="24"/>
        </w:rPr>
        <w:t>Food</w:t>
      </w:r>
      <w:r>
        <w:rPr>
          <w:spacing w:val="40"/>
          <w:sz w:val="24"/>
        </w:rPr>
        <w:t> </w:t>
      </w:r>
      <w:r>
        <w:rPr>
          <w:sz w:val="24"/>
        </w:rPr>
        <w:t>poverty</w:t>
      </w:r>
      <w:r>
        <w:rPr>
          <w:spacing w:val="40"/>
          <w:sz w:val="24"/>
        </w:rPr>
        <w:t> </w:t>
      </w:r>
      <w:r>
        <w:rPr>
          <w:sz w:val="24"/>
        </w:rPr>
        <w:t>and</w:t>
      </w:r>
      <w:r>
        <w:rPr>
          <w:spacing w:val="40"/>
          <w:sz w:val="24"/>
        </w:rPr>
        <w:t> </w:t>
      </w:r>
      <w:r>
        <w:rPr>
          <w:sz w:val="24"/>
        </w:rPr>
        <w:t>livelihoods</w:t>
      </w:r>
      <w:r>
        <w:rPr>
          <w:spacing w:val="40"/>
          <w:sz w:val="24"/>
        </w:rPr>
        <w:t> </w:t>
      </w:r>
      <w:r>
        <w:rPr>
          <w:sz w:val="24"/>
        </w:rPr>
        <w:t>issues</w:t>
      </w:r>
      <w:r>
        <w:rPr>
          <w:spacing w:val="40"/>
          <w:sz w:val="24"/>
        </w:rPr>
        <w:t> </w:t>
      </w:r>
      <w:r>
        <w:rPr>
          <w:sz w:val="24"/>
        </w:rPr>
        <w:t>in</w:t>
      </w:r>
      <w:r>
        <w:rPr>
          <w:spacing w:val="40"/>
          <w:sz w:val="24"/>
        </w:rPr>
        <w:t> </w:t>
      </w:r>
      <w:r>
        <w:rPr>
          <w:sz w:val="24"/>
        </w:rPr>
        <w:t>rural Nigeria. </w:t>
      </w:r>
      <w:r>
        <w:rPr>
          <w:i/>
          <w:sz w:val="24"/>
        </w:rPr>
        <w:t>African Journal of Agricultural and Resource Economics</w:t>
      </w:r>
      <w:r>
        <w:rPr>
          <w:sz w:val="24"/>
        </w:rPr>
        <w:t>, </w:t>
      </w:r>
      <w:r>
        <w:rPr>
          <w:i/>
          <w:sz w:val="24"/>
        </w:rPr>
        <w:t>8</w:t>
      </w:r>
      <w:r>
        <w:rPr>
          <w:sz w:val="24"/>
        </w:rPr>
        <w:t>(311-2016-5562), 108- </w:t>
      </w:r>
      <w:r>
        <w:rPr>
          <w:spacing w:val="-4"/>
          <w:sz w:val="24"/>
        </w:rPr>
        <w:t>135.</w:t>
      </w:r>
    </w:p>
    <w:p>
      <w:pPr>
        <w:spacing w:before="273"/>
        <w:ind w:left="547" w:right="109" w:hanging="432"/>
        <w:jc w:val="both"/>
        <w:rPr>
          <w:sz w:val="24"/>
        </w:rPr>
      </w:pPr>
      <w:r>
        <w:rPr>
          <w:sz w:val="24"/>
        </w:rPr>
        <w:t>Ostrom, E., &amp; Hess (2001).</w:t>
      </w:r>
      <w:r>
        <w:rPr>
          <w:spacing w:val="40"/>
          <w:sz w:val="24"/>
        </w:rPr>
        <w:t> </w:t>
      </w:r>
      <w:r>
        <w:rPr>
          <w:i/>
          <w:sz w:val="24"/>
        </w:rPr>
        <w:t>Artifacts, Facilities and Content: Information as a common pool resource. </w:t>
      </w:r>
      <w:r>
        <w:rPr>
          <w:sz w:val="24"/>
        </w:rPr>
        <w:t>Conference on Public Domain, Duke Law School, November, pp 9-11.</w:t>
      </w:r>
    </w:p>
    <w:p>
      <w:pPr>
        <w:spacing w:after="0"/>
        <w:jc w:val="both"/>
        <w:rPr>
          <w:sz w:val="24"/>
        </w:rPr>
        <w:sectPr>
          <w:pgSz w:w="12240" w:h="15840"/>
          <w:pgMar w:header="0" w:footer="1068" w:top="1600" w:bottom="1260" w:left="1440" w:right="1300"/>
        </w:sectPr>
      </w:pPr>
    </w:p>
    <w:p>
      <w:pPr>
        <w:spacing w:before="63"/>
        <w:ind w:left="115" w:right="0" w:firstLine="0"/>
        <w:jc w:val="left"/>
        <w:rPr>
          <w:i/>
          <w:sz w:val="24"/>
        </w:rPr>
      </w:pPr>
      <w:r>
        <w:rPr>
          <w:sz w:val="24"/>
        </w:rPr>
        <w:t>Ostrom,</w:t>
      </w:r>
      <w:r>
        <w:rPr>
          <w:spacing w:val="8"/>
          <w:sz w:val="24"/>
        </w:rPr>
        <w:t> </w:t>
      </w:r>
      <w:r>
        <w:rPr>
          <w:sz w:val="24"/>
        </w:rPr>
        <w:t>E.</w:t>
      </w:r>
      <w:r>
        <w:rPr>
          <w:spacing w:val="10"/>
          <w:sz w:val="24"/>
        </w:rPr>
        <w:t> </w:t>
      </w:r>
      <w:r>
        <w:rPr>
          <w:sz w:val="24"/>
        </w:rPr>
        <w:t>(1990).</w:t>
      </w:r>
      <w:r>
        <w:rPr>
          <w:spacing w:val="10"/>
          <w:sz w:val="24"/>
        </w:rPr>
        <w:t> </w:t>
      </w:r>
      <w:r>
        <w:rPr>
          <w:i/>
          <w:sz w:val="24"/>
        </w:rPr>
        <w:t>Governing</w:t>
      </w:r>
      <w:r>
        <w:rPr>
          <w:i/>
          <w:spacing w:val="12"/>
          <w:sz w:val="24"/>
        </w:rPr>
        <w:t> </w:t>
      </w:r>
      <w:r>
        <w:rPr>
          <w:i/>
          <w:sz w:val="24"/>
        </w:rPr>
        <w:t>the</w:t>
      </w:r>
      <w:r>
        <w:rPr>
          <w:i/>
          <w:spacing w:val="10"/>
          <w:sz w:val="24"/>
        </w:rPr>
        <w:t> </w:t>
      </w:r>
      <w:r>
        <w:rPr>
          <w:i/>
          <w:sz w:val="24"/>
        </w:rPr>
        <w:t>Commons:</w:t>
      </w:r>
      <w:r>
        <w:rPr>
          <w:i/>
          <w:spacing w:val="10"/>
          <w:sz w:val="24"/>
        </w:rPr>
        <w:t> </w:t>
      </w:r>
      <w:r>
        <w:rPr>
          <w:i/>
          <w:sz w:val="24"/>
        </w:rPr>
        <w:t>The</w:t>
      </w:r>
      <w:r>
        <w:rPr>
          <w:i/>
          <w:spacing w:val="9"/>
          <w:sz w:val="24"/>
        </w:rPr>
        <w:t> </w:t>
      </w:r>
      <w:r>
        <w:rPr>
          <w:i/>
          <w:sz w:val="24"/>
        </w:rPr>
        <w:t>evolution</w:t>
      </w:r>
      <w:r>
        <w:rPr>
          <w:i/>
          <w:spacing w:val="12"/>
          <w:sz w:val="24"/>
        </w:rPr>
        <w:t> </w:t>
      </w:r>
      <w:r>
        <w:rPr>
          <w:i/>
          <w:sz w:val="24"/>
        </w:rPr>
        <w:t>of</w:t>
      </w:r>
      <w:r>
        <w:rPr>
          <w:i/>
          <w:spacing w:val="11"/>
          <w:sz w:val="24"/>
        </w:rPr>
        <w:t> </w:t>
      </w:r>
      <w:r>
        <w:rPr>
          <w:i/>
          <w:sz w:val="24"/>
        </w:rPr>
        <w:t>institutions</w:t>
      </w:r>
      <w:r>
        <w:rPr>
          <w:i/>
          <w:spacing w:val="9"/>
          <w:sz w:val="24"/>
        </w:rPr>
        <w:t> </w:t>
      </w:r>
      <w:r>
        <w:rPr>
          <w:i/>
          <w:sz w:val="24"/>
        </w:rPr>
        <w:t>for</w:t>
      </w:r>
      <w:r>
        <w:rPr>
          <w:i/>
          <w:spacing w:val="11"/>
          <w:sz w:val="24"/>
        </w:rPr>
        <w:t> </w:t>
      </w:r>
      <w:r>
        <w:rPr>
          <w:i/>
          <w:sz w:val="24"/>
        </w:rPr>
        <w:t>collective</w:t>
      </w:r>
      <w:r>
        <w:rPr>
          <w:i/>
          <w:spacing w:val="10"/>
          <w:sz w:val="24"/>
        </w:rPr>
        <w:t> </w:t>
      </w:r>
      <w:r>
        <w:rPr>
          <w:i/>
          <w:spacing w:val="-2"/>
          <w:sz w:val="24"/>
        </w:rPr>
        <w:t>action.</w:t>
      </w:r>
    </w:p>
    <w:p>
      <w:pPr>
        <w:pStyle w:val="BodyText"/>
        <w:ind w:left="547"/>
      </w:pPr>
      <w:r>
        <w:rPr/>
        <w:t>New</w:t>
      </w:r>
      <w:r>
        <w:rPr>
          <w:spacing w:val="-1"/>
        </w:rPr>
        <w:t> </w:t>
      </w:r>
      <w:r>
        <w:rPr/>
        <w:t>York: Cambridge</w:t>
      </w:r>
      <w:r>
        <w:rPr>
          <w:spacing w:val="-1"/>
        </w:rPr>
        <w:t> </w:t>
      </w:r>
      <w:r>
        <w:rPr/>
        <w:t>University</w:t>
      </w:r>
      <w:r>
        <w:rPr>
          <w:spacing w:val="-5"/>
        </w:rPr>
        <w:t> </w:t>
      </w:r>
      <w:r>
        <w:rPr/>
        <w:t>Press, pp. 90-</w:t>
      </w:r>
      <w:r>
        <w:rPr>
          <w:spacing w:val="-4"/>
        </w:rPr>
        <w:t>105.</w:t>
      </w:r>
    </w:p>
    <w:p>
      <w:pPr>
        <w:pStyle w:val="BodyText"/>
      </w:pPr>
    </w:p>
    <w:p>
      <w:pPr>
        <w:spacing w:before="0"/>
        <w:ind w:left="547" w:right="111" w:hanging="432"/>
        <w:jc w:val="both"/>
        <w:rPr>
          <w:sz w:val="24"/>
        </w:rPr>
      </w:pPr>
      <w:r>
        <w:rPr>
          <w:sz w:val="24"/>
        </w:rPr>
        <w:t>Ostrom, E. (2008). ‘The Challenges of Common- pool Resources’, </w:t>
      </w:r>
      <w:r>
        <w:rPr>
          <w:i/>
          <w:sz w:val="24"/>
        </w:rPr>
        <w:t>Environment: Science and Policy for Sustainable Development, </w:t>
      </w:r>
      <w:r>
        <w:rPr>
          <w:sz w:val="24"/>
        </w:rPr>
        <w:t>50(4), 10-11.</w:t>
      </w:r>
    </w:p>
    <w:p>
      <w:pPr>
        <w:pStyle w:val="BodyText"/>
      </w:pPr>
    </w:p>
    <w:p>
      <w:pPr>
        <w:spacing w:before="0"/>
        <w:ind w:left="115" w:right="0" w:firstLine="0"/>
        <w:jc w:val="left"/>
        <w:rPr>
          <w:i/>
          <w:sz w:val="24"/>
        </w:rPr>
      </w:pPr>
      <w:r>
        <w:rPr>
          <w:sz w:val="24"/>
        </w:rPr>
        <w:t>Ostrom,</w:t>
      </w:r>
      <w:r>
        <w:rPr>
          <w:spacing w:val="20"/>
          <w:sz w:val="24"/>
        </w:rPr>
        <w:t> </w:t>
      </w:r>
      <w:r>
        <w:rPr>
          <w:sz w:val="24"/>
        </w:rPr>
        <w:t>E.,</w:t>
      </w:r>
      <w:r>
        <w:rPr>
          <w:spacing w:val="23"/>
          <w:sz w:val="24"/>
        </w:rPr>
        <w:t> </w:t>
      </w:r>
      <w:r>
        <w:rPr>
          <w:sz w:val="24"/>
        </w:rPr>
        <w:t>Gardner,</w:t>
      </w:r>
      <w:r>
        <w:rPr>
          <w:spacing w:val="22"/>
          <w:sz w:val="24"/>
        </w:rPr>
        <w:t> </w:t>
      </w:r>
      <w:r>
        <w:rPr>
          <w:sz w:val="24"/>
        </w:rPr>
        <w:t>R.,</w:t>
      </w:r>
      <w:r>
        <w:rPr>
          <w:spacing w:val="25"/>
          <w:sz w:val="24"/>
        </w:rPr>
        <w:t> </w:t>
      </w:r>
      <w:r>
        <w:rPr>
          <w:sz w:val="24"/>
        </w:rPr>
        <w:t>and</w:t>
      </w:r>
      <w:r>
        <w:rPr>
          <w:spacing w:val="22"/>
          <w:sz w:val="24"/>
        </w:rPr>
        <w:t> </w:t>
      </w:r>
      <w:r>
        <w:rPr>
          <w:sz w:val="24"/>
        </w:rPr>
        <w:t>Walker,</w:t>
      </w:r>
      <w:r>
        <w:rPr>
          <w:spacing w:val="23"/>
          <w:sz w:val="24"/>
        </w:rPr>
        <w:t> </w:t>
      </w:r>
      <w:r>
        <w:rPr>
          <w:sz w:val="24"/>
        </w:rPr>
        <w:t>J.</w:t>
      </w:r>
      <w:r>
        <w:rPr>
          <w:spacing w:val="22"/>
          <w:sz w:val="24"/>
        </w:rPr>
        <w:t> </w:t>
      </w:r>
      <w:r>
        <w:rPr>
          <w:sz w:val="24"/>
        </w:rPr>
        <w:t>(1994).</w:t>
      </w:r>
      <w:r>
        <w:rPr>
          <w:spacing w:val="26"/>
          <w:sz w:val="24"/>
        </w:rPr>
        <w:t> </w:t>
      </w:r>
      <w:r>
        <w:rPr>
          <w:i/>
          <w:sz w:val="24"/>
        </w:rPr>
        <w:t>Rules,</w:t>
      </w:r>
      <w:r>
        <w:rPr>
          <w:i/>
          <w:spacing w:val="23"/>
          <w:sz w:val="24"/>
        </w:rPr>
        <w:t> </w:t>
      </w:r>
      <w:r>
        <w:rPr>
          <w:i/>
          <w:sz w:val="24"/>
        </w:rPr>
        <w:t>Games,</w:t>
      </w:r>
      <w:r>
        <w:rPr>
          <w:i/>
          <w:spacing w:val="24"/>
          <w:sz w:val="24"/>
        </w:rPr>
        <w:t> </w:t>
      </w:r>
      <w:r>
        <w:rPr>
          <w:i/>
          <w:sz w:val="24"/>
        </w:rPr>
        <w:t>and</w:t>
      </w:r>
      <w:r>
        <w:rPr>
          <w:i/>
          <w:spacing w:val="22"/>
          <w:sz w:val="24"/>
        </w:rPr>
        <w:t> </w:t>
      </w:r>
      <w:r>
        <w:rPr>
          <w:i/>
          <w:sz w:val="24"/>
        </w:rPr>
        <w:t>Common-Pool</w:t>
      </w:r>
      <w:r>
        <w:rPr>
          <w:i/>
          <w:spacing w:val="24"/>
          <w:sz w:val="24"/>
        </w:rPr>
        <w:t> </w:t>
      </w:r>
      <w:r>
        <w:rPr>
          <w:i/>
          <w:spacing w:val="-2"/>
          <w:sz w:val="24"/>
        </w:rPr>
        <w:t>Resources.</w:t>
      </w:r>
    </w:p>
    <w:p>
      <w:pPr>
        <w:spacing w:before="0"/>
        <w:ind w:left="547" w:right="0" w:firstLine="0"/>
        <w:jc w:val="left"/>
        <w:rPr>
          <w:sz w:val="24"/>
        </w:rPr>
      </w:pPr>
      <w:r>
        <w:rPr>
          <w:i/>
          <w:sz w:val="24"/>
        </w:rPr>
        <w:t>Ann</w:t>
      </w:r>
      <w:r>
        <w:rPr>
          <w:i/>
          <w:spacing w:val="-3"/>
          <w:sz w:val="24"/>
        </w:rPr>
        <w:t> </w:t>
      </w:r>
      <w:r>
        <w:rPr>
          <w:i/>
          <w:sz w:val="24"/>
        </w:rPr>
        <w:t>Arbor,</w:t>
      </w:r>
      <w:r>
        <w:rPr>
          <w:i/>
          <w:spacing w:val="-1"/>
          <w:sz w:val="24"/>
        </w:rPr>
        <w:t> </w:t>
      </w:r>
      <w:r>
        <w:rPr>
          <w:sz w:val="24"/>
        </w:rPr>
        <w:t>MI:</w:t>
      </w:r>
      <w:r>
        <w:rPr>
          <w:spacing w:val="-1"/>
          <w:sz w:val="24"/>
        </w:rPr>
        <w:t> </w:t>
      </w:r>
      <w:r>
        <w:rPr>
          <w:sz w:val="24"/>
        </w:rPr>
        <w:t>University</w:t>
      </w:r>
      <w:r>
        <w:rPr>
          <w:spacing w:val="-3"/>
          <w:sz w:val="24"/>
        </w:rPr>
        <w:t> </w:t>
      </w:r>
      <w:r>
        <w:rPr>
          <w:sz w:val="24"/>
        </w:rPr>
        <w:t>of</w:t>
      </w:r>
      <w:r>
        <w:rPr>
          <w:spacing w:val="-1"/>
          <w:sz w:val="24"/>
        </w:rPr>
        <w:t> </w:t>
      </w:r>
      <w:r>
        <w:rPr>
          <w:sz w:val="24"/>
        </w:rPr>
        <w:t>Michigan </w:t>
      </w:r>
      <w:r>
        <w:rPr>
          <w:spacing w:val="-2"/>
          <w:sz w:val="24"/>
        </w:rPr>
        <w:t>Press.</w:t>
      </w:r>
    </w:p>
    <w:p>
      <w:pPr>
        <w:pStyle w:val="BodyText"/>
      </w:pPr>
    </w:p>
    <w:p>
      <w:pPr>
        <w:pStyle w:val="BodyText"/>
        <w:ind w:left="547" w:right="107" w:hanging="432"/>
        <w:jc w:val="both"/>
      </w:pPr>
      <w:r>
        <w:rPr/>
        <w:t>Ostrom, E., Stern, P.C., and Dietz, T. (2003). Water rights in the commons. </w:t>
      </w:r>
      <w:r>
        <w:rPr>
          <w:i/>
        </w:rPr>
        <w:t>Water Resources Impact</w:t>
      </w:r>
      <w:r>
        <w:rPr/>
        <w:t>, 5(2), 9-12.</w:t>
      </w:r>
    </w:p>
    <w:p>
      <w:pPr>
        <w:pStyle w:val="BodyText"/>
      </w:pPr>
    </w:p>
    <w:p>
      <w:pPr>
        <w:spacing w:before="1"/>
        <w:ind w:left="547" w:right="107" w:hanging="432"/>
        <w:jc w:val="both"/>
        <w:rPr>
          <w:sz w:val="24"/>
        </w:rPr>
      </w:pPr>
      <w:r>
        <w:rPr>
          <w:sz w:val="24"/>
        </w:rPr>
        <w:t>Pasakhala, B., Harada, H., Fujii, S., Tanaka, S., Shivakoti, B. R., &amp; Shrestha, S. (2013). Household</w:t>
      </w:r>
      <w:r>
        <w:rPr>
          <w:spacing w:val="-10"/>
          <w:sz w:val="24"/>
        </w:rPr>
        <w:t> </w:t>
      </w:r>
      <w:r>
        <w:rPr>
          <w:sz w:val="24"/>
        </w:rPr>
        <w:t>coping</w:t>
      </w:r>
      <w:r>
        <w:rPr>
          <w:spacing w:val="-13"/>
          <w:sz w:val="24"/>
        </w:rPr>
        <w:t> </w:t>
      </w:r>
      <w:r>
        <w:rPr>
          <w:sz w:val="24"/>
        </w:rPr>
        <w:t>measures</w:t>
      </w:r>
      <w:r>
        <w:rPr>
          <w:spacing w:val="-10"/>
          <w:sz w:val="24"/>
        </w:rPr>
        <w:t> </w:t>
      </w:r>
      <w:r>
        <w:rPr>
          <w:sz w:val="24"/>
        </w:rPr>
        <w:t>with</w:t>
      </w:r>
      <w:r>
        <w:rPr>
          <w:spacing w:val="-10"/>
          <w:sz w:val="24"/>
        </w:rPr>
        <w:t> </w:t>
      </w:r>
      <w:r>
        <w:rPr>
          <w:sz w:val="24"/>
        </w:rPr>
        <w:t>water</w:t>
      </w:r>
      <w:r>
        <w:rPr>
          <w:spacing w:val="-12"/>
          <w:sz w:val="24"/>
        </w:rPr>
        <w:t> </w:t>
      </w:r>
      <w:r>
        <w:rPr>
          <w:sz w:val="24"/>
        </w:rPr>
        <w:t>scarcity:</w:t>
      </w:r>
      <w:r>
        <w:rPr>
          <w:spacing w:val="-10"/>
          <w:sz w:val="24"/>
        </w:rPr>
        <w:t> </w:t>
      </w:r>
      <w:r>
        <w:rPr>
          <w:sz w:val="24"/>
        </w:rPr>
        <w:t>A</w:t>
      </w:r>
      <w:r>
        <w:rPr>
          <w:spacing w:val="-9"/>
          <w:sz w:val="24"/>
        </w:rPr>
        <w:t> </w:t>
      </w:r>
      <w:r>
        <w:rPr>
          <w:sz w:val="24"/>
        </w:rPr>
        <w:t>case</w:t>
      </w:r>
      <w:r>
        <w:rPr>
          <w:spacing w:val="-11"/>
          <w:sz w:val="24"/>
        </w:rPr>
        <w:t> </w:t>
      </w:r>
      <w:r>
        <w:rPr>
          <w:sz w:val="24"/>
        </w:rPr>
        <w:t>study</w:t>
      </w:r>
      <w:r>
        <w:rPr>
          <w:spacing w:val="-15"/>
          <w:sz w:val="24"/>
        </w:rPr>
        <w:t> </w:t>
      </w:r>
      <w:r>
        <w:rPr>
          <w:sz w:val="24"/>
        </w:rPr>
        <w:t>in</w:t>
      </w:r>
      <w:r>
        <w:rPr>
          <w:spacing w:val="-10"/>
          <w:sz w:val="24"/>
        </w:rPr>
        <w:t> </w:t>
      </w:r>
      <w:r>
        <w:rPr>
          <w:sz w:val="24"/>
        </w:rPr>
        <w:t>Kathmandu,</w:t>
      </w:r>
      <w:r>
        <w:rPr>
          <w:spacing w:val="-11"/>
          <w:sz w:val="24"/>
        </w:rPr>
        <w:t> </w:t>
      </w:r>
      <w:r>
        <w:rPr>
          <w:sz w:val="24"/>
        </w:rPr>
        <w:t>Nepal.</w:t>
      </w:r>
      <w:r>
        <w:rPr>
          <w:spacing w:val="-7"/>
          <w:sz w:val="24"/>
        </w:rPr>
        <w:t> </w:t>
      </w:r>
      <w:r>
        <w:rPr>
          <w:i/>
          <w:sz w:val="24"/>
        </w:rPr>
        <w:t>Journal of Japan Society of Civil Engineers Series Giornale (Environmental Research)</w:t>
      </w:r>
      <w:r>
        <w:rPr>
          <w:sz w:val="24"/>
        </w:rPr>
        <w:t>, </w:t>
      </w:r>
      <w:r>
        <w:rPr>
          <w:i/>
          <w:sz w:val="24"/>
        </w:rPr>
        <w:t>69</w:t>
      </w:r>
      <w:r>
        <w:rPr>
          <w:sz w:val="24"/>
        </w:rPr>
        <w:t>, 73-81.</w:t>
      </w:r>
    </w:p>
    <w:p>
      <w:pPr>
        <w:pStyle w:val="BodyText"/>
      </w:pPr>
    </w:p>
    <w:p>
      <w:pPr>
        <w:spacing w:before="0"/>
        <w:ind w:left="547" w:right="111" w:hanging="432"/>
        <w:jc w:val="both"/>
        <w:rPr>
          <w:sz w:val="24"/>
        </w:rPr>
      </w:pPr>
      <w:r>
        <w:rPr>
          <w:sz w:val="24"/>
        </w:rPr>
        <w:t>Paulson, R. (2015). </w:t>
      </w:r>
      <w:r>
        <w:rPr>
          <w:i/>
          <w:sz w:val="24"/>
        </w:rPr>
        <w:t>What Is Water Scarcity</w:t>
      </w:r>
      <w:r>
        <w:rPr>
          <w:sz w:val="24"/>
        </w:rPr>
        <w:t>? Available From: </w:t>
      </w:r>
      <w:hyperlink r:id="rId75">
        <w:r>
          <w:rPr>
            <w:spacing w:val="-2"/>
            <w:sz w:val="24"/>
            <w:u w:val="single"/>
          </w:rPr>
          <w:t>Https://Www.Rwlwater.Com/What-Is-Water-Scarcity/</w:t>
        </w:r>
      </w:hyperlink>
      <w:r>
        <w:rPr>
          <w:spacing w:val="-2"/>
          <w:sz w:val="24"/>
        </w:rPr>
        <w:t>.</w:t>
      </w:r>
    </w:p>
    <w:p>
      <w:pPr>
        <w:pStyle w:val="BodyText"/>
      </w:pPr>
    </w:p>
    <w:p>
      <w:pPr>
        <w:pStyle w:val="BodyText"/>
        <w:ind w:left="547" w:right="118" w:hanging="432"/>
        <w:jc w:val="both"/>
      </w:pPr>
      <w:r>
        <w:rPr/>
        <w:t>Pereira, L.S., Cordery, L. and Lacovides, L. (2009).</w:t>
      </w:r>
      <w:r>
        <w:rPr>
          <w:spacing w:val="-1"/>
        </w:rPr>
        <w:t> </w:t>
      </w:r>
      <w:r>
        <w:rPr/>
        <w:t>Coping with water</w:t>
      </w:r>
      <w:r>
        <w:rPr>
          <w:spacing w:val="-1"/>
        </w:rPr>
        <w:t> </w:t>
      </w:r>
      <w:r>
        <w:rPr/>
        <w:t>scarcity: Addressing</w:t>
      </w:r>
      <w:r>
        <w:rPr>
          <w:spacing w:val="-2"/>
        </w:rPr>
        <w:t> </w:t>
      </w:r>
      <w:r>
        <w:rPr/>
        <w:t>the challenges. New York: Springer.</w:t>
      </w:r>
    </w:p>
    <w:p>
      <w:pPr>
        <w:pStyle w:val="BodyText"/>
      </w:pPr>
    </w:p>
    <w:p>
      <w:pPr>
        <w:spacing w:before="0"/>
        <w:ind w:left="547" w:right="108" w:hanging="432"/>
        <w:jc w:val="both"/>
        <w:rPr>
          <w:sz w:val="24"/>
        </w:rPr>
      </w:pPr>
      <w:r>
        <w:rPr>
          <w:sz w:val="24"/>
        </w:rPr>
        <w:t>Pickering, A.J., &amp; Davis, J. (2012). Freshwater availability and water fetching distance affect child health in sub-saharan Africa. </w:t>
      </w:r>
      <w:r>
        <w:rPr>
          <w:i/>
          <w:sz w:val="24"/>
        </w:rPr>
        <w:t>Environmental and Water Studies, Civil and Environmental Engineering. </w:t>
      </w:r>
      <w:r>
        <w:rPr>
          <w:sz w:val="24"/>
        </w:rPr>
        <w:t>46,</w:t>
      </w:r>
      <w:r>
        <w:rPr>
          <w:spacing w:val="40"/>
          <w:sz w:val="24"/>
        </w:rPr>
        <w:t> </w:t>
      </w:r>
      <w:r>
        <w:rPr>
          <w:sz w:val="24"/>
        </w:rPr>
        <w:t>2391-2397. dx.doi.org/10.1021/es203177v</w:t>
      </w:r>
    </w:p>
    <w:p>
      <w:pPr>
        <w:pStyle w:val="BodyText"/>
        <w:spacing w:before="1"/>
      </w:pPr>
    </w:p>
    <w:p>
      <w:pPr>
        <w:spacing w:before="0"/>
        <w:ind w:left="547" w:right="108" w:hanging="432"/>
        <w:jc w:val="both"/>
        <w:rPr>
          <w:sz w:val="24"/>
        </w:rPr>
      </w:pPr>
      <w:r>
        <w:rPr>
          <w:sz w:val="24"/>
        </w:rPr>
        <w:t>Poteete, A. R., Janssen, M.A., &amp; Ostrom. E. (2010). </w:t>
      </w:r>
      <w:r>
        <w:rPr>
          <w:i/>
          <w:sz w:val="24"/>
        </w:rPr>
        <w:t>Working together: Collective Action, the Commons, and Multiple Methods in Practice.</w:t>
      </w:r>
      <w:r>
        <w:rPr>
          <w:i/>
          <w:spacing w:val="40"/>
          <w:sz w:val="24"/>
        </w:rPr>
        <w:t> </w:t>
      </w:r>
      <w:r>
        <w:rPr>
          <w:sz w:val="24"/>
        </w:rPr>
        <w:t>Princeton and Oxford: Princeton University </w:t>
      </w:r>
      <w:r>
        <w:rPr>
          <w:spacing w:val="-2"/>
          <w:sz w:val="24"/>
        </w:rPr>
        <w:t>Press.</w:t>
      </w:r>
    </w:p>
    <w:p>
      <w:pPr>
        <w:pStyle w:val="BodyText"/>
      </w:pPr>
    </w:p>
    <w:p>
      <w:pPr>
        <w:pStyle w:val="BodyText"/>
        <w:ind w:left="547" w:right="110" w:hanging="432"/>
        <w:jc w:val="both"/>
      </w:pPr>
      <w:r>
        <w:rPr/>
        <w:t>Potter, R.B., &amp; Darmame, K. (2010). Contemporary social variations in household water use, management</w:t>
      </w:r>
      <w:r>
        <w:rPr>
          <w:spacing w:val="-15"/>
        </w:rPr>
        <w:t> </w:t>
      </w:r>
      <w:r>
        <w:rPr/>
        <w:t>strategies</w:t>
      </w:r>
      <w:r>
        <w:rPr>
          <w:spacing w:val="-15"/>
        </w:rPr>
        <w:t> </w:t>
      </w:r>
      <w:r>
        <w:rPr/>
        <w:t>and</w:t>
      </w:r>
      <w:r>
        <w:rPr>
          <w:spacing w:val="-15"/>
        </w:rPr>
        <w:t> </w:t>
      </w:r>
      <w:r>
        <w:rPr/>
        <w:t>awareness</w:t>
      </w:r>
      <w:r>
        <w:rPr>
          <w:spacing w:val="-15"/>
        </w:rPr>
        <w:t> </w:t>
      </w:r>
      <w:r>
        <w:rPr/>
        <w:t>under</w:t>
      </w:r>
      <w:r>
        <w:rPr>
          <w:spacing w:val="-15"/>
        </w:rPr>
        <w:t> </w:t>
      </w:r>
      <w:r>
        <w:rPr/>
        <w:t>conditions</w:t>
      </w:r>
      <w:r>
        <w:rPr>
          <w:spacing w:val="-15"/>
        </w:rPr>
        <w:t> </w:t>
      </w:r>
      <w:r>
        <w:rPr/>
        <w:t>of</w:t>
      </w:r>
      <w:r>
        <w:rPr>
          <w:spacing w:val="-15"/>
        </w:rPr>
        <w:t> </w:t>
      </w:r>
      <w:r>
        <w:rPr/>
        <w:t>“water</w:t>
      </w:r>
      <w:r>
        <w:rPr>
          <w:spacing w:val="-15"/>
        </w:rPr>
        <w:t> </w:t>
      </w:r>
      <w:r>
        <w:rPr/>
        <w:t>stress”:</w:t>
      </w:r>
      <w:r>
        <w:rPr>
          <w:spacing w:val="-15"/>
        </w:rPr>
        <w:t> </w:t>
      </w:r>
      <w:r>
        <w:rPr/>
        <w:t>The</w:t>
      </w:r>
      <w:r>
        <w:rPr>
          <w:spacing w:val="-15"/>
        </w:rPr>
        <w:t> </w:t>
      </w:r>
      <w:r>
        <w:rPr/>
        <w:t>case</w:t>
      </w:r>
      <w:r>
        <w:rPr>
          <w:spacing w:val="-15"/>
        </w:rPr>
        <w:t> </w:t>
      </w:r>
      <w:r>
        <w:rPr/>
        <w:t>of</w:t>
      </w:r>
      <w:r>
        <w:rPr>
          <w:spacing w:val="-15"/>
        </w:rPr>
        <w:t> </w:t>
      </w:r>
      <w:r>
        <w:rPr/>
        <w:t>Greater Amman, Jordan. </w:t>
      </w:r>
      <w:r>
        <w:rPr>
          <w:i/>
        </w:rPr>
        <w:t>Habitat International</w:t>
      </w:r>
      <w:r>
        <w:rPr/>
        <w:t>. 34, 115–124</w:t>
      </w:r>
    </w:p>
    <w:p>
      <w:pPr>
        <w:pStyle w:val="BodyText"/>
      </w:pPr>
    </w:p>
    <w:p>
      <w:pPr>
        <w:spacing w:before="0"/>
        <w:ind w:left="547" w:right="107" w:hanging="432"/>
        <w:jc w:val="both"/>
        <w:rPr>
          <w:sz w:val="24"/>
        </w:rPr>
      </w:pPr>
      <w:r>
        <w:rPr>
          <w:sz w:val="24"/>
        </w:rPr>
        <w:t>Rached, E., Rathgeber, V., &amp;</w:t>
      </w:r>
      <w:r>
        <w:rPr>
          <w:spacing w:val="-1"/>
          <w:sz w:val="24"/>
        </w:rPr>
        <w:t> </w:t>
      </w:r>
      <w:r>
        <w:rPr>
          <w:sz w:val="24"/>
        </w:rPr>
        <w:t>Brooks, D.B</w:t>
      </w:r>
      <w:r>
        <w:rPr>
          <w:spacing w:val="-1"/>
          <w:sz w:val="24"/>
        </w:rPr>
        <w:t> </w:t>
      </w:r>
      <w:r>
        <w:rPr>
          <w:sz w:val="24"/>
        </w:rPr>
        <w:t>(1996). </w:t>
      </w:r>
      <w:r>
        <w:rPr>
          <w:i/>
          <w:sz w:val="24"/>
        </w:rPr>
        <w:t>Water Management in Africa and the Middle East: Challenges and Opportunities. </w:t>
      </w:r>
      <w:r>
        <w:rPr>
          <w:sz w:val="24"/>
        </w:rPr>
        <w:t>Canada: IDRC Books.</w:t>
      </w:r>
    </w:p>
    <w:p>
      <w:pPr>
        <w:pStyle w:val="BodyText"/>
        <w:spacing w:before="1"/>
      </w:pPr>
    </w:p>
    <w:p>
      <w:pPr>
        <w:pStyle w:val="BodyText"/>
        <w:ind w:left="547" w:right="107" w:hanging="432"/>
        <w:jc w:val="both"/>
      </w:pPr>
      <w:r>
        <w:rPr/>
        <w:t>Raskin,</w:t>
      </w:r>
      <w:r>
        <w:rPr>
          <w:spacing w:val="-14"/>
        </w:rPr>
        <w:t> </w:t>
      </w:r>
      <w:r>
        <w:rPr/>
        <w:t>P.,</w:t>
      </w:r>
      <w:r>
        <w:rPr>
          <w:spacing w:val="-14"/>
        </w:rPr>
        <w:t> </w:t>
      </w:r>
      <w:r>
        <w:rPr/>
        <w:t>Gleick,</w:t>
      </w:r>
      <w:r>
        <w:rPr>
          <w:spacing w:val="-15"/>
        </w:rPr>
        <w:t> </w:t>
      </w:r>
      <w:r>
        <w:rPr/>
        <w:t>P.,</w:t>
      </w:r>
      <w:r>
        <w:rPr>
          <w:spacing w:val="-14"/>
        </w:rPr>
        <w:t> </w:t>
      </w:r>
      <w:r>
        <w:rPr/>
        <w:t>Kirshen,</w:t>
      </w:r>
      <w:r>
        <w:rPr>
          <w:spacing w:val="-14"/>
        </w:rPr>
        <w:t> </w:t>
      </w:r>
      <w:r>
        <w:rPr/>
        <w:t>P.,</w:t>
      </w:r>
      <w:r>
        <w:rPr>
          <w:spacing w:val="-14"/>
        </w:rPr>
        <w:t> </w:t>
      </w:r>
      <w:r>
        <w:rPr/>
        <w:t>Pontius,</w:t>
      </w:r>
      <w:r>
        <w:rPr>
          <w:spacing w:val="-14"/>
        </w:rPr>
        <w:t> </w:t>
      </w:r>
      <w:r>
        <w:rPr/>
        <w:t>G.,</w:t>
      </w:r>
      <w:r>
        <w:rPr>
          <w:spacing w:val="-15"/>
        </w:rPr>
        <w:t> </w:t>
      </w:r>
      <w:r>
        <w:rPr/>
        <w:t>&amp;</w:t>
      </w:r>
      <w:r>
        <w:rPr>
          <w:spacing w:val="-14"/>
        </w:rPr>
        <w:t> </w:t>
      </w:r>
      <w:r>
        <w:rPr/>
        <w:t>Strezepek,</w:t>
      </w:r>
      <w:r>
        <w:rPr>
          <w:spacing w:val="-14"/>
        </w:rPr>
        <w:t> </w:t>
      </w:r>
      <w:r>
        <w:rPr/>
        <w:t>K.</w:t>
      </w:r>
      <w:r>
        <w:rPr>
          <w:spacing w:val="-13"/>
        </w:rPr>
        <w:t> </w:t>
      </w:r>
      <w:r>
        <w:rPr/>
        <w:t>(1997).</w:t>
      </w:r>
      <w:r>
        <w:rPr>
          <w:spacing w:val="-15"/>
        </w:rPr>
        <w:t> </w:t>
      </w:r>
      <w:r>
        <w:rPr/>
        <w:t>Water</w:t>
      </w:r>
      <w:r>
        <w:rPr>
          <w:spacing w:val="-15"/>
        </w:rPr>
        <w:t> </w:t>
      </w:r>
      <w:r>
        <w:rPr/>
        <w:t>futures:</w:t>
      </w:r>
      <w:r>
        <w:rPr>
          <w:spacing w:val="-14"/>
        </w:rPr>
        <w:t> </w:t>
      </w:r>
      <w:r>
        <w:rPr/>
        <w:t>assessment of long-range pattern sand problems. Background document for Chapter 3 of the </w:t>
      </w:r>
      <w:r>
        <w:rPr>
          <w:i/>
        </w:rPr>
        <w:t>Comprehensive</w:t>
      </w:r>
      <w:r>
        <w:rPr>
          <w:i/>
          <w:spacing w:val="-6"/>
        </w:rPr>
        <w:t> </w:t>
      </w:r>
      <w:r>
        <w:rPr>
          <w:i/>
        </w:rPr>
        <w:t>assessment</w:t>
      </w:r>
      <w:r>
        <w:rPr>
          <w:i/>
          <w:spacing w:val="-4"/>
        </w:rPr>
        <w:t> </w:t>
      </w:r>
      <w:r>
        <w:rPr>
          <w:i/>
        </w:rPr>
        <w:t>of</w:t>
      </w:r>
      <w:r>
        <w:rPr>
          <w:i/>
          <w:spacing w:val="-4"/>
        </w:rPr>
        <w:t> </w:t>
      </w:r>
      <w:r>
        <w:rPr>
          <w:i/>
        </w:rPr>
        <w:t>Freshwater</w:t>
      </w:r>
      <w:r>
        <w:rPr>
          <w:i/>
          <w:spacing w:val="-4"/>
        </w:rPr>
        <w:t> </w:t>
      </w:r>
      <w:r>
        <w:rPr>
          <w:i/>
        </w:rPr>
        <w:t>Resources</w:t>
      </w:r>
      <w:r>
        <w:rPr>
          <w:i/>
          <w:spacing w:val="-3"/>
        </w:rPr>
        <w:t> </w:t>
      </w:r>
      <w:r>
        <w:rPr/>
        <w:t>of</w:t>
      </w:r>
      <w:r>
        <w:rPr>
          <w:spacing w:val="-4"/>
        </w:rPr>
        <w:t> </w:t>
      </w:r>
      <w:r>
        <w:rPr/>
        <w:t>the</w:t>
      </w:r>
      <w:r>
        <w:rPr>
          <w:spacing w:val="-6"/>
        </w:rPr>
        <w:t> </w:t>
      </w:r>
      <w:r>
        <w:rPr/>
        <w:t>World.</w:t>
      </w:r>
      <w:r>
        <w:rPr>
          <w:spacing w:val="-4"/>
        </w:rPr>
        <w:t> </w:t>
      </w:r>
      <w:r>
        <w:rPr/>
        <w:t>Boston,</w:t>
      </w:r>
      <w:r>
        <w:rPr>
          <w:spacing w:val="-2"/>
        </w:rPr>
        <w:t> </w:t>
      </w:r>
      <w:r>
        <w:rPr/>
        <w:t>MA:</w:t>
      </w:r>
      <w:r>
        <w:rPr>
          <w:spacing w:val="-4"/>
        </w:rPr>
        <w:t> </w:t>
      </w:r>
      <w:r>
        <w:rPr/>
        <w:t>Stockholm Environment Institute.</w:t>
      </w:r>
    </w:p>
    <w:p>
      <w:pPr>
        <w:pStyle w:val="BodyText"/>
        <w:spacing w:before="2"/>
      </w:pPr>
    </w:p>
    <w:p>
      <w:pPr>
        <w:pStyle w:val="BodyText"/>
        <w:spacing w:line="237" w:lineRule="auto"/>
        <w:ind w:left="547" w:right="110" w:hanging="432"/>
        <w:jc w:val="both"/>
      </w:pPr>
      <w:r>
        <w:rPr/>
        <w:t>Raskin,</w:t>
      </w:r>
      <w:r>
        <w:rPr>
          <w:spacing w:val="-10"/>
        </w:rPr>
        <w:t> </w:t>
      </w:r>
      <w:r>
        <w:rPr/>
        <w:t>P.D.,</w:t>
      </w:r>
      <w:r>
        <w:rPr>
          <w:spacing w:val="-11"/>
        </w:rPr>
        <w:t> </w:t>
      </w:r>
      <w:r>
        <w:rPr/>
        <w:t>Hansen,</w:t>
      </w:r>
      <w:r>
        <w:rPr>
          <w:spacing w:val="-11"/>
        </w:rPr>
        <w:t> </w:t>
      </w:r>
      <w:r>
        <w:rPr/>
        <w:t>E.</w:t>
      </w:r>
      <w:r>
        <w:rPr>
          <w:spacing w:val="37"/>
        </w:rPr>
        <w:t> </w:t>
      </w:r>
      <w:r>
        <w:rPr/>
        <w:t>&amp;</w:t>
      </w:r>
      <w:r>
        <w:rPr>
          <w:spacing w:val="-13"/>
        </w:rPr>
        <w:t> </w:t>
      </w:r>
      <w:r>
        <w:rPr/>
        <w:t>Margolis,</w:t>
      </w:r>
      <w:r>
        <w:rPr>
          <w:spacing w:val="-10"/>
        </w:rPr>
        <w:t> </w:t>
      </w:r>
      <w:r>
        <w:rPr/>
        <w:t>R.M.</w:t>
      </w:r>
      <w:r>
        <w:rPr>
          <w:spacing w:val="-10"/>
        </w:rPr>
        <w:t> </w:t>
      </w:r>
      <w:r>
        <w:rPr/>
        <w:t>(1996).</w:t>
      </w:r>
      <w:r>
        <w:rPr>
          <w:spacing w:val="-11"/>
        </w:rPr>
        <w:t> </w:t>
      </w:r>
      <w:r>
        <w:rPr/>
        <w:t>Water</w:t>
      </w:r>
      <w:r>
        <w:rPr>
          <w:spacing w:val="-12"/>
        </w:rPr>
        <w:t> </w:t>
      </w:r>
      <w:r>
        <w:rPr/>
        <w:t>and</w:t>
      </w:r>
      <w:r>
        <w:rPr>
          <w:spacing w:val="-11"/>
        </w:rPr>
        <w:t> </w:t>
      </w:r>
      <w:r>
        <w:rPr/>
        <w:t>sustainability:</w:t>
      </w:r>
      <w:r>
        <w:rPr>
          <w:spacing w:val="-10"/>
        </w:rPr>
        <w:t> </w:t>
      </w:r>
      <w:r>
        <w:rPr/>
        <w:t>Global</w:t>
      </w:r>
      <w:r>
        <w:rPr>
          <w:spacing w:val="-10"/>
        </w:rPr>
        <w:t> </w:t>
      </w:r>
      <w:r>
        <w:rPr/>
        <w:t>patterns</w:t>
      </w:r>
      <w:r>
        <w:rPr>
          <w:spacing w:val="-11"/>
        </w:rPr>
        <w:t> </w:t>
      </w:r>
      <w:r>
        <w:rPr/>
        <w:t>and long-range problems. </w:t>
      </w:r>
      <w:r>
        <w:rPr>
          <w:i/>
        </w:rPr>
        <w:t>Natural Resources Forum </w:t>
      </w:r>
      <w:r>
        <w:rPr/>
        <w:t>20,</w:t>
      </w:r>
      <w:r>
        <w:rPr>
          <w:spacing w:val="40"/>
        </w:rPr>
        <w:t> </w:t>
      </w:r>
      <w:r>
        <w:rPr/>
        <w:t>1–15.</w:t>
      </w:r>
    </w:p>
    <w:p>
      <w:pPr>
        <w:pStyle w:val="BodyText"/>
        <w:spacing w:before="1"/>
      </w:pPr>
    </w:p>
    <w:p>
      <w:pPr>
        <w:pStyle w:val="BodyText"/>
        <w:ind w:left="547" w:right="106" w:hanging="432"/>
        <w:jc w:val="both"/>
      </w:pPr>
      <w:r>
        <w:rPr/>
        <w:t>Reigh P, Maddocks, A., &amp; Gassert, F. (2013). World’s 36 most water-stressed countries. World Resources Institute.</w:t>
      </w:r>
    </w:p>
    <w:p>
      <w:pPr>
        <w:spacing w:after="0"/>
        <w:jc w:val="both"/>
        <w:sectPr>
          <w:pgSz w:w="12240" w:h="15840"/>
          <w:pgMar w:header="0" w:footer="1068" w:top="1340" w:bottom="1260" w:left="1440" w:right="1300"/>
        </w:sectPr>
      </w:pPr>
    </w:p>
    <w:p>
      <w:pPr>
        <w:spacing w:before="79"/>
        <w:ind w:left="547" w:right="106" w:hanging="432"/>
        <w:jc w:val="both"/>
        <w:rPr>
          <w:sz w:val="24"/>
        </w:rPr>
      </w:pPr>
      <w:r>
        <w:rPr>
          <w:sz w:val="24"/>
        </w:rPr>
        <w:t>Remenyi, D., Williams, B., Money, A., &amp; Swartz, E (1998). </w:t>
      </w:r>
      <w:r>
        <w:rPr>
          <w:i/>
          <w:sz w:val="24"/>
        </w:rPr>
        <w:t>Doing research in business and management. An introduction to process and method</w:t>
      </w:r>
      <w:r>
        <w:rPr>
          <w:sz w:val="24"/>
        </w:rPr>
        <w:t>. London: Sage .</w:t>
      </w:r>
    </w:p>
    <w:p>
      <w:pPr>
        <w:pStyle w:val="BodyText"/>
      </w:pPr>
    </w:p>
    <w:p>
      <w:pPr>
        <w:spacing w:before="0"/>
        <w:ind w:left="547" w:right="107" w:hanging="432"/>
        <w:jc w:val="both"/>
        <w:rPr>
          <w:sz w:val="24"/>
        </w:rPr>
      </w:pPr>
      <w:r>
        <w:rPr>
          <w:sz w:val="24"/>
        </w:rPr>
        <w:t>Rijsberman,</w:t>
      </w:r>
      <w:r>
        <w:rPr>
          <w:spacing w:val="-12"/>
          <w:sz w:val="24"/>
        </w:rPr>
        <w:t> </w:t>
      </w:r>
      <w:r>
        <w:rPr>
          <w:sz w:val="24"/>
        </w:rPr>
        <w:t>F.</w:t>
      </w:r>
      <w:r>
        <w:rPr>
          <w:spacing w:val="-12"/>
          <w:sz w:val="24"/>
        </w:rPr>
        <w:t> </w:t>
      </w:r>
      <w:r>
        <w:rPr>
          <w:sz w:val="24"/>
        </w:rPr>
        <w:t>R.</w:t>
      </w:r>
      <w:r>
        <w:rPr>
          <w:spacing w:val="-12"/>
          <w:sz w:val="24"/>
        </w:rPr>
        <w:t> </w:t>
      </w:r>
      <w:r>
        <w:rPr>
          <w:sz w:val="24"/>
        </w:rPr>
        <w:t>(2006).</w:t>
      </w:r>
      <w:r>
        <w:rPr>
          <w:spacing w:val="-9"/>
          <w:sz w:val="24"/>
        </w:rPr>
        <w:t> </w:t>
      </w:r>
      <w:r>
        <w:rPr>
          <w:sz w:val="24"/>
        </w:rPr>
        <w:t>Water</w:t>
      </w:r>
      <w:r>
        <w:rPr>
          <w:spacing w:val="-13"/>
          <w:sz w:val="24"/>
        </w:rPr>
        <w:t> </w:t>
      </w:r>
      <w:r>
        <w:rPr>
          <w:sz w:val="24"/>
        </w:rPr>
        <w:t>scarcity:</w:t>
      </w:r>
      <w:r>
        <w:rPr>
          <w:spacing w:val="-11"/>
          <w:sz w:val="24"/>
        </w:rPr>
        <w:t> </w:t>
      </w:r>
      <w:r>
        <w:rPr>
          <w:sz w:val="24"/>
        </w:rPr>
        <w:t>Fact</w:t>
      </w:r>
      <w:r>
        <w:rPr>
          <w:spacing w:val="-11"/>
          <w:sz w:val="24"/>
        </w:rPr>
        <w:t> </w:t>
      </w:r>
      <w:r>
        <w:rPr>
          <w:sz w:val="24"/>
        </w:rPr>
        <w:t>or</w:t>
      </w:r>
      <w:r>
        <w:rPr>
          <w:spacing w:val="-12"/>
          <w:sz w:val="24"/>
        </w:rPr>
        <w:t> </w:t>
      </w:r>
      <w:r>
        <w:rPr>
          <w:sz w:val="24"/>
        </w:rPr>
        <w:t>fiction.</w:t>
      </w:r>
      <w:r>
        <w:rPr>
          <w:spacing w:val="-12"/>
          <w:sz w:val="24"/>
        </w:rPr>
        <w:t> </w:t>
      </w:r>
      <w:r>
        <w:rPr>
          <w:i/>
          <w:sz w:val="24"/>
        </w:rPr>
        <w:t>Agricultural</w:t>
      </w:r>
      <w:r>
        <w:rPr>
          <w:i/>
          <w:spacing w:val="-11"/>
          <w:sz w:val="24"/>
        </w:rPr>
        <w:t> </w:t>
      </w:r>
      <w:r>
        <w:rPr>
          <w:i/>
          <w:sz w:val="24"/>
        </w:rPr>
        <w:t>Water</w:t>
      </w:r>
      <w:r>
        <w:rPr>
          <w:i/>
          <w:spacing w:val="-9"/>
          <w:sz w:val="24"/>
        </w:rPr>
        <w:t> </w:t>
      </w:r>
      <w:r>
        <w:rPr>
          <w:i/>
          <w:sz w:val="24"/>
        </w:rPr>
        <w:t>Management</w:t>
      </w:r>
      <w:r>
        <w:rPr>
          <w:sz w:val="24"/>
        </w:rPr>
        <w:t>,</w:t>
      </w:r>
      <w:r>
        <w:rPr>
          <w:spacing w:val="-12"/>
          <w:sz w:val="24"/>
        </w:rPr>
        <w:t> </w:t>
      </w:r>
      <w:r>
        <w:rPr>
          <w:sz w:val="24"/>
        </w:rPr>
        <w:t>80(1), </w:t>
      </w:r>
      <w:r>
        <w:rPr>
          <w:spacing w:val="-2"/>
          <w:sz w:val="24"/>
        </w:rPr>
        <w:t>5-22.</w:t>
      </w:r>
    </w:p>
    <w:p>
      <w:pPr>
        <w:pStyle w:val="BodyText"/>
      </w:pPr>
    </w:p>
    <w:p>
      <w:pPr>
        <w:pStyle w:val="BodyText"/>
        <w:ind w:left="4" w:right="5"/>
        <w:jc w:val="center"/>
      </w:pPr>
      <w:r>
        <w:rPr/>
        <w:t>Rockstrum,</w:t>
      </w:r>
      <w:r>
        <w:rPr>
          <w:spacing w:val="22"/>
        </w:rPr>
        <w:t> </w:t>
      </w:r>
      <w:r>
        <w:rPr/>
        <w:t>J.,</w:t>
      </w:r>
      <w:r>
        <w:rPr>
          <w:spacing w:val="22"/>
        </w:rPr>
        <w:t> </w:t>
      </w:r>
      <w:r>
        <w:rPr/>
        <w:t>&amp;</w:t>
      </w:r>
      <w:r>
        <w:rPr>
          <w:spacing w:val="22"/>
        </w:rPr>
        <w:t> </w:t>
      </w:r>
      <w:r>
        <w:rPr/>
        <w:t>Falkenmark,</w:t>
      </w:r>
      <w:r>
        <w:rPr>
          <w:spacing w:val="25"/>
        </w:rPr>
        <w:t> </w:t>
      </w:r>
      <w:r>
        <w:rPr/>
        <w:t>M.</w:t>
      </w:r>
      <w:r>
        <w:rPr>
          <w:spacing w:val="24"/>
        </w:rPr>
        <w:t> </w:t>
      </w:r>
      <w:r>
        <w:rPr/>
        <w:t>(2015).</w:t>
      </w:r>
      <w:r>
        <w:rPr>
          <w:spacing w:val="24"/>
        </w:rPr>
        <w:t> </w:t>
      </w:r>
      <w:r>
        <w:rPr/>
        <w:t>Agriculture:</w:t>
      </w:r>
      <w:r>
        <w:rPr>
          <w:spacing w:val="28"/>
        </w:rPr>
        <w:t> </w:t>
      </w:r>
      <w:r>
        <w:rPr/>
        <w:t>Increase</w:t>
      </w:r>
      <w:r>
        <w:rPr>
          <w:spacing w:val="23"/>
        </w:rPr>
        <w:t> </w:t>
      </w:r>
      <w:r>
        <w:rPr/>
        <w:t>in</w:t>
      </w:r>
      <w:r>
        <w:rPr>
          <w:spacing w:val="25"/>
        </w:rPr>
        <w:t> </w:t>
      </w:r>
      <w:r>
        <w:rPr/>
        <w:t>water</w:t>
      </w:r>
      <w:r>
        <w:rPr>
          <w:spacing w:val="25"/>
        </w:rPr>
        <w:t> </w:t>
      </w:r>
      <w:r>
        <w:rPr/>
        <w:t>harvesting</w:t>
      </w:r>
      <w:r>
        <w:rPr>
          <w:spacing w:val="22"/>
        </w:rPr>
        <w:t> </w:t>
      </w:r>
      <w:r>
        <w:rPr/>
        <w:t>in</w:t>
      </w:r>
      <w:r>
        <w:rPr>
          <w:spacing w:val="25"/>
        </w:rPr>
        <w:t> </w:t>
      </w:r>
      <w:r>
        <w:rPr>
          <w:spacing w:val="-2"/>
        </w:rPr>
        <w:t>Africa.</w:t>
      </w:r>
    </w:p>
    <w:p>
      <w:pPr>
        <w:spacing w:before="0"/>
        <w:ind w:left="547" w:right="0" w:firstLine="0"/>
        <w:jc w:val="left"/>
        <w:rPr>
          <w:sz w:val="24"/>
        </w:rPr>
      </w:pPr>
      <w:r>
        <w:rPr>
          <w:i/>
          <w:sz w:val="24"/>
        </w:rPr>
        <w:t>Nature</w:t>
      </w:r>
      <w:r>
        <w:rPr>
          <w:sz w:val="24"/>
        </w:rPr>
        <w:t>,</w:t>
      </w:r>
      <w:r>
        <w:rPr>
          <w:spacing w:val="-1"/>
          <w:sz w:val="24"/>
        </w:rPr>
        <w:t> </w:t>
      </w:r>
      <w:r>
        <w:rPr>
          <w:spacing w:val="-4"/>
          <w:sz w:val="24"/>
        </w:rPr>
        <w:t>519.</w:t>
      </w:r>
    </w:p>
    <w:p>
      <w:pPr>
        <w:pStyle w:val="BodyText"/>
      </w:pPr>
    </w:p>
    <w:p>
      <w:pPr>
        <w:spacing w:before="0"/>
        <w:ind w:left="547" w:right="109" w:hanging="432"/>
        <w:jc w:val="both"/>
        <w:rPr>
          <w:sz w:val="24"/>
        </w:rPr>
      </w:pPr>
      <w:r>
        <w:rPr>
          <w:sz w:val="24"/>
        </w:rPr>
        <w:t>Rockstrum, J. (2011). Green water security for the food makers of tomorrow. Window for opportunity in drought. </w:t>
      </w:r>
      <w:r>
        <w:rPr>
          <w:i/>
          <w:sz w:val="24"/>
        </w:rPr>
        <w:t>Journal of Water Science and Technology, </w:t>
      </w:r>
      <w:r>
        <w:rPr>
          <w:sz w:val="24"/>
        </w:rPr>
        <w:t>43, 71-78.</w:t>
      </w:r>
    </w:p>
    <w:p>
      <w:pPr>
        <w:pStyle w:val="BodyText"/>
        <w:spacing w:before="1"/>
      </w:pPr>
    </w:p>
    <w:p>
      <w:pPr>
        <w:pStyle w:val="BodyText"/>
        <w:ind w:left="4" w:right="7"/>
        <w:jc w:val="center"/>
      </w:pPr>
      <w:r>
        <w:rPr>
          <w:color w:val="212121"/>
        </w:rPr>
        <w:t>Rosenberg, D. E., Talozi, S., &amp; Lund, J. R. (2008). Intermittent water supplies: Challenges and opportunities for residential water users in Jordan. </w:t>
      </w:r>
      <w:r>
        <w:rPr>
          <w:i/>
          <w:color w:val="212121"/>
        </w:rPr>
        <w:t>Water International</w:t>
      </w:r>
      <w:r>
        <w:rPr>
          <w:color w:val="212121"/>
        </w:rPr>
        <w:t>, </w:t>
      </w:r>
      <w:r>
        <w:rPr>
          <w:i/>
          <w:color w:val="212121"/>
        </w:rPr>
        <w:t>33</w:t>
      </w:r>
      <w:r>
        <w:rPr>
          <w:color w:val="212121"/>
        </w:rPr>
        <w:t>(4), 488-504.</w:t>
      </w:r>
    </w:p>
    <w:p>
      <w:pPr>
        <w:pStyle w:val="BodyText"/>
      </w:pPr>
    </w:p>
    <w:p>
      <w:pPr>
        <w:pStyle w:val="BodyText"/>
        <w:ind w:left="547" w:right="106" w:hanging="432"/>
        <w:jc w:val="both"/>
      </w:pPr>
      <w:r>
        <w:rPr/>
        <w:t>Rovira,</w:t>
      </w:r>
      <w:r>
        <w:rPr>
          <w:spacing w:val="-3"/>
        </w:rPr>
        <w:t> </w:t>
      </w:r>
      <w:r>
        <w:rPr/>
        <w:t>J.S.,</w:t>
      </w:r>
      <w:r>
        <w:rPr>
          <w:spacing w:val="-3"/>
        </w:rPr>
        <w:t> </w:t>
      </w:r>
      <w:r>
        <w:rPr/>
        <w:t>&amp;</w:t>
      </w:r>
      <w:r>
        <w:rPr>
          <w:spacing w:val="-4"/>
        </w:rPr>
        <w:t> </w:t>
      </w:r>
      <w:r>
        <w:rPr/>
        <w:t>Rovira,</w:t>
      </w:r>
      <w:r>
        <w:rPr>
          <w:spacing w:val="-3"/>
        </w:rPr>
        <w:t> </w:t>
      </w:r>
      <w:r>
        <w:rPr/>
        <w:t>P.S.</w:t>
      </w:r>
      <w:r>
        <w:rPr>
          <w:spacing w:val="-3"/>
        </w:rPr>
        <w:t> </w:t>
      </w:r>
      <w:r>
        <w:rPr/>
        <w:t>(2008).</w:t>
      </w:r>
      <w:r>
        <w:rPr>
          <w:spacing w:val="-3"/>
        </w:rPr>
        <w:t> </w:t>
      </w:r>
      <w:r>
        <w:rPr/>
        <w:t>“Assessment</w:t>
      </w:r>
      <w:r>
        <w:rPr>
          <w:spacing w:val="-1"/>
        </w:rPr>
        <w:t> </w:t>
      </w:r>
      <w:r>
        <w:rPr/>
        <w:t>of</w:t>
      </w:r>
      <w:r>
        <w:rPr>
          <w:spacing w:val="-3"/>
        </w:rPr>
        <w:t> </w:t>
      </w:r>
      <w:r>
        <w:rPr/>
        <w:t>aggregated</w:t>
      </w:r>
      <w:r>
        <w:rPr>
          <w:spacing w:val="-2"/>
        </w:rPr>
        <w:t> </w:t>
      </w:r>
      <w:r>
        <w:rPr/>
        <w:t>indicators</w:t>
      </w:r>
      <w:r>
        <w:rPr>
          <w:spacing w:val="-1"/>
        </w:rPr>
        <w:t> </w:t>
      </w:r>
      <w:r>
        <w:rPr/>
        <w:t>of</w:t>
      </w:r>
      <w:r>
        <w:rPr>
          <w:spacing w:val="-3"/>
        </w:rPr>
        <w:t> </w:t>
      </w:r>
      <w:r>
        <w:rPr/>
        <w:t>sustainability</w:t>
      </w:r>
      <w:r>
        <w:rPr>
          <w:spacing w:val="-7"/>
        </w:rPr>
        <w:t> </w:t>
      </w:r>
      <w:r>
        <w:rPr/>
        <w:t>using PCA: the case of apple trade in Spain.” Conference on Life Cycle Assessment in the Agri- Food Zurich. 133–143.</w:t>
      </w:r>
    </w:p>
    <w:p>
      <w:pPr>
        <w:pStyle w:val="BodyText"/>
      </w:pPr>
    </w:p>
    <w:p>
      <w:pPr>
        <w:spacing w:before="0"/>
        <w:ind w:left="547" w:right="110" w:hanging="432"/>
        <w:jc w:val="both"/>
        <w:rPr>
          <w:sz w:val="24"/>
        </w:rPr>
      </w:pPr>
      <w:r>
        <w:rPr>
          <w:sz w:val="24"/>
        </w:rPr>
        <w:t>Rusbult, C. E., Zembrodt, I. M. &amp; Gunn, L. K. (1982). Exit, Voice, Loyalty and Neglect: Responses to dissatisfaction in romantic relationships. </w:t>
      </w:r>
      <w:r>
        <w:rPr>
          <w:i/>
          <w:sz w:val="24"/>
        </w:rPr>
        <w:t>Journal of Personality and Social Psychology, </w:t>
      </w:r>
      <w:r>
        <w:rPr>
          <w:sz w:val="24"/>
        </w:rPr>
        <w:t>43(6), 1230-1242.</w:t>
      </w:r>
    </w:p>
    <w:p>
      <w:pPr>
        <w:pStyle w:val="BodyText"/>
      </w:pPr>
    </w:p>
    <w:p>
      <w:pPr>
        <w:pStyle w:val="BodyText"/>
        <w:ind w:left="547" w:right="109" w:hanging="432"/>
        <w:jc w:val="both"/>
      </w:pPr>
      <w:r>
        <w:rPr/>
        <w:t>Saisana,</w:t>
      </w:r>
      <w:r>
        <w:rPr>
          <w:spacing w:val="-12"/>
        </w:rPr>
        <w:t> </w:t>
      </w:r>
      <w:r>
        <w:rPr/>
        <w:t>M.,</w:t>
      </w:r>
      <w:r>
        <w:rPr>
          <w:spacing w:val="-12"/>
        </w:rPr>
        <w:t> </w:t>
      </w:r>
      <w:r>
        <w:rPr/>
        <w:t>&amp;</w:t>
      </w:r>
      <w:r>
        <w:rPr>
          <w:spacing w:val="-14"/>
        </w:rPr>
        <w:t> </w:t>
      </w:r>
      <w:r>
        <w:rPr/>
        <w:t>Tarantola,</w:t>
      </w:r>
      <w:r>
        <w:rPr>
          <w:spacing w:val="-10"/>
        </w:rPr>
        <w:t> </w:t>
      </w:r>
      <w:r>
        <w:rPr/>
        <w:t>S.</w:t>
      </w:r>
      <w:r>
        <w:rPr>
          <w:spacing w:val="-12"/>
        </w:rPr>
        <w:t> </w:t>
      </w:r>
      <w:r>
        <w:rPr/>
        <w:t>(2002).</w:t>
      </w:r>
      <w:r>
        <w:rPr>
          <w:spacing w:val="-13"/>
        </w:rPr>
        <w:t> </w:t>
      </w:r>
      <w:r>
        <w:rPr/>
        <w:t>State</w:t>
      </w:r>
      <w:r>
        <w:rPr>
          <w:spacing w:val="-13"/>
        </w:rPr>
        <w:t> </w:t>
      </w:r>
      <w:r>
        <w:rPr/>
        <w:t>of</w:t>
      </w:r>
      <w:r>
        <w:rPr>
          <w:spacing w:val="-13"/>
        </w:rPr>
        <w:t> </w:t>
      </w:r>
      <w:r>
        <w:rPr/>
        <w:t>the</w:t>
      </w:r>
      <w:r>
        <w:rPr>
          <w:spacing w:val="-13"/>
        </w:rPr>
        <w:t> </w:t>
      </w:r>
      <w:r>
        <w:rPr/>
        <w:t>art</w:t>
      </w:r>
      <w:r>
        <w:rPr>
          <w:spacing w:val="-12"/>
        </w:rPr>
        <w:t> </w:t>
      </w:r>
      <w:r>
        <w:rPr/>
        <w:t>report</w:t>
      </w:r>
      <w:r>
        <w:rPr>
          <w:spacing w:val="-12"/>
        </w:rPr>
        <w:t> </w:t>
      </w:r>
      <w:r>
        <w:rPr/>
        <w:t>on</w:t>
      </w:r>
      <w:r>
        <w:rPr>
          <w:spacing w:val="-12"/>
        </w:rPr>
        <w:t> </w:t>
      </w:r>
      <w:r>
        <w:rPr/>
        <w:t>current</w:t>
      </w:r>
      <w:r>
        <w:rPr>
          <w:spacing w:val="-12"/>
        </w:rPr>
        <w:t> </w:t>
      </w:r>
      <w:r>
        <w:rPr/>
        <w:t>methodologies</w:t>
      </w:r>
      <w:r>
        <w:rPr>
          <w:spacing w:val="-12"/>
        </w:rPr>
        <w:t> </w:t>
      </w:r>
      <w:r>
        <w:rPr/>
        <w:t>and</w:t>
      </w:r>
      <w:r>
        <w:rPr>
          <w:spacing w:val="-12"/>
        </w:rPr>
        <w:t> </w:t>
      </w:r>
      <w:r>
        <w:rPr/>
        <w:t>practices for</w:t>
      </w:r>
      <w:r>
        <w:rPr>
          <w:spacing w:val="-15"/>
        </w:rPr>
        <w:t> </w:t>
      </w:r>
      <w:r>
        <w:rPr/>
        <w:t>composite</w:t>
      </w:r>
      <w:r>
        <w:rPr>
          <w:spacing w:val="-14"/>
        </w:rPr>
        <w:t> </w:t>
      </w:r>
      <w:r>
        <w:rPr/>
        <w:t>indicator</w:t>
      </w:r>
      <w:r>
        <w:rPr>
          <w:spacing w:val="-14"/>
        </w:rPr>
        <w:t> </w:t>
      </w:r>
      <w:r>
        <w:rPr/>
        <w:t>development.</w:t>
      </w:r>
      <w:r>
        <w:rPr>
          <w:spacing w:val="-14"/>
        </w:rPr>
        <w:t> </w:t>
      </w:r>
      <w:r>
        <w:rPr/>
        <w:t>Rep.</w:t>
      </w:r>
      <w:r>
        <w:rPr>
          <w:spacing w:val="-14"/>
        </w:rPr>
        <w:t> </w:t>
      </w:r>
      <w:r>
        <w:rPr/>
        <w:t>no,</w:t>
      </w:r>
      <w:r>
        <w:rPr>
          <w:spacing w:val="-14"/>
        </w:rPr>
        <w:t> </w:t>
      </w:r>
      <w:r>
        <w:rPr/>
        <w:t>EUR</w:t>
      </w:r>
      <w:r>
        <w:rPr>
          <w:spacing w:val="-14"/>
        </w:rPr>
        <w:t> </w:t>
      </w:r>
      <w:r>
        <w:rPr/>
        <w:t>20408</w:t>
      </w:r>
      <w:r>
        <w:rPr>
          <w:spacing w:val="-14"/>
        </w:rPr>
        <w:t> </w:t>
      </w:r>
      <w:r>
        <w:rPr/>
        <w:t>EN,</w:t>
      </w:r>
      <w:r>
        <w:rPr>
          <w:spacing w:val="-14"/>
        </w:rPr>
        <w:t> </w:t>
      </w:r>
      <w:r>
        <w:rPr/>
        <w:t>European</w:t>
      </w:r>
      <w:r>
        <w:rPr>
          <w:spacing w:val="-14"/>
        </w:rPr>
        <w:t> </w:t>
      </w:r>
      <w:r>
        <w:rPr/>
        <w:t>Commission,</w:t>
      </w:r>
      <w:r>
        <w:rPr>
          <w:spacing w:val="-15"/>
        </w:rPr>
        <w:t> </w:t>
      </w:r>
      <w:r>
        <w:rPr/>
        <w:t>JRC, Ispra, Italy.</w:t>
      </w:r>
    </w:p>
    <w:p>
      <w:pPr>
        <w:pStyle w:val="BodyText"/>
        <w:spacing w:before="1"/>
      </w:pPr>
    </w:p>
    <w:p>
      <w:pPr>
        <w:spacing w:before="0"/>
        <w:ind w:left="547" w:right="112" w:hanging="432"/>
        <w:jc w:val="both"/>
        <w:rPr>
          <w:sz w:val="24"/>
        </w:rPr>
      </w:pPr>
      <w:r>
        <w:rPr>
          <w:sz w:val="24"/>
        </w:rPr>
        <w:t>Salameh, M. K., &amp; Jaber, M. Y. (2000). Economic production quantity model for items with imperfect quality. </w:t>
      </w:r>
      <w:r>
        <w:rPr>
          <w:i/>
          <w:sz w:val="24"/>
        </w:rPr>
        <w:t>International journal of production economics</w:t>
      </w:r>
      <w:r>
        <w:rPr>
          <w:sz w:val="24"/>
        </w:rPr>
        <w:t>, </w:t>
      </w:r>
      <w:r>
        <w:rPr>
          <w:i/>
          <w:sz w:val="24"/>
        </w:rPr>
        <w:t>64</w:t>
      </w:r>
      <w:r>
        <w:rPr>
          <w:sz w:val="24"/>
        </w:rPr>
        <w:t>(1-3), 59-64.</w:t>
      </w:r>
    </w:p>
    <w:p>
      <w:pPr>
        <w:pStyle w:val="BodyText"/>
      </w:pPr>
    </w:p>
    <w:p>
      <w:pPr>
        <w:spacing w:before="0"/>
        <w:ind w:left="547" w:right="107" w:hanging="432"/>
        <w:jc w:val="both"/>
        <w:rPr>
          <w:sz w:val="24"/>
        </w:rPr>
      </w:pPr>
      <w:r>
        <w:rPr>
          <w:sz w:val="24"/>
        </w:rPr>
        <w:t>Salzman, J. &amp; Thompson, B.H (2010). </w:t>
      </w:r>
      <w:r>
        <w:rPr>
          <w:i/>
          <w:sz w:val="24"/>
        </w:rPr>
        <w:t>Environmental Law and Policy</w:t>
      </w:r>
      <w:r>
        <w:rPr>
          <w:sz w:val="24"/>
        </w:rPr>
        <w:t>, 3rd Edition, Thomson Reuters, pp. 47.</w:t>
      </w:r>
    </w:p>
    <w:p>
      <w:pPr>
        <w:pStyle w:val="BodyText"/>
      </w:pPr>
    </w:p>
    <w:p>
      <w:pPr>
        <w:spacing w:before="0"/>
        <w:ind w:left="547" w:right="107" w:hanging="432"/>
        <w:jc w:val="both"/>
        <w:rPr>
          <w:sz w:val="24"/>
        </w:rPr>
      </w:pPr>
      <w:r>
        <w:rPr>
          <w:sz w:val="24"/>
        </w:rPr>
        <w:t>Sanusi, Y.A. (2006). </w:t>
      </w:r>
      <w:r>
        <w:rPr>
          <w:i/>
          <w:sz w:val="24"/>
        </w:rPr>
        <w:t>An assessment of the spatial relationship between poverty and environmental</w:t>
      </w:r>
      <w:r>
        <w:rPr>
          <w:i/>
          <w:spacing w:val="-4"/>
          <w:sz w:val="24"/>
        </w:rPr>
        <w:t> </w:t>
      </w:r>
      <w:r>
        <w:rPr>
          <w:i/>
          <w:sz w:val="24"/>
        </w:rPr>
        <w:t>quality</w:t>
      </w:r>
      <w:r>
        <w:rPr>
          <w:i/>
          <w:spacing w:val="-4"/>
          <w:sz w:val="24"/>
        </w:rPr>
        <w:t> </w:t>
      </w:r>
      <w:r>
        <w:rPr>
          <w:i/>
          <w:sz w:val="24"/>
        </w:rPr>
        <w:t>in</w:t>
      </w:r>
      <w:r>
        <w:rPr>
          <w:i/>
          <w:spacing w:val="-4"/>
          <w:sz w:val="24"/>
        </w:rPr>
        <w:t> </w:t>
      </w:r>
      <w:r>
        <w:rPr>
          <w:i/>
          <w:sz w:val="24"/>
        </w:rPr>
        <w:t>Minna</w:t>
      </w:r>
      <w:r>
        <w:rPr>
          <w:i/>
          <w:spacing w:val="-4"/>
          <w:sz w:val="24"/>
        </w:rPr>
        <w:t> </w:t>
      </w:r>
      <w:r>
        <w:rPr>
          <w:i/>
          <w:sz w:val="24"/>
        </w:rPr>
        <w:t>Metropolis,</w:t>
      </w:r>
      <w:r>
        <w:rPr>
          <w:i/>
          <w:spacing w:val="-2"/>
          <w:sz w:val="24"/>
        </w:rPr>
        <w:t> </w:t>
      </w:r>
      <w:r>
        <w:rPr>
          <w:sz w:val="24"/>
        </w:rPr>
        <w:t>Niger</w:t>
      </w:r>
      <w:r>
        <w:rPr>
          <w:spacing w:val="-3"/>
          <w:sz w:val="24"/>
        </w:rPr>
        <w:t> </w:t>
      </w:r>
      <w:r>
        <w:rPr>
          <w:sz w:val="24"/>
        </w:rPr>
        <w:t>state</w:t>
      </w:r>
      <w:r>
        <w:rPr>
          <w:spacing w:val="-5"/>
          <w:sz w:val="24"/>
        </w:rPr>
        <w:t> </w:t>
      </w:r>
      <w:r>
        <w:rPr>
          <w:sz w:val="24"/>
        </w:rPr>
        <w:t>Nigeria.</w:t>
      </w:r>
      <w:r>
        <w:rPr>
          <w:spacing w:val="-4"/>
          <w:sz w:val="24"/>
        </w:rPr>
        <w:t> </w:t>
      </w:r>
      <w:r>
        <w:rPr>
          <w:sz w:val="24"/>
        </w:rPr>
        <w:t>An</w:t>
      </w:r>
      <w:r>
        <w:rPr>
          <w:spacing w:val="-4"/>
          <w:sz w:val="24"/>
        </w:rPr>
        <w:t> </w:t>
      </w:r>
      <w:r>
        <w:rPr>
          <w:sz w:val="24"/>
        </w:rPr>
        <w:t>unpublished</w:t>
      </w:r>
      <w:r>
        <w:rPr>
          <w:spacing w:val="-4"/>
          <w:sz w:val="24"/>
        </w:rPr>
        <w:t> </w:t>
      </w:r>
      <w:r>
        <w:rPr>
          <w:sz w:val="24"/>
        </w:rPr>
        <w:t>PhD</w:t>
      </w:r>
      <w:r>
        <w:rPr>
          <w:spacing w:val="-4"/>
          <w:sz w:val="24"/>
        </w:rPr>
        <w:t> </w:t>
      </w:r>
      <w:r>
        <w:rPr>
          <w:sz w:val="24"/>
        </w:rPr>
        <w:t>thesis submitted to Federal University of Technology Minna Niger State.</w:t>
      </w:r>
    </w:p>
    <w:p>
      <w:pPr>
        <w:pStyle w:val="BodyText"/>
        <w:spacing w:before="1"/>
      </w:pPr>
    </w:p>
    <w:p>
      <w:pPr>
        <w:spacing w:before="0"/>
        <w:ind w:left="4" w:right="7" w:firstLine="0"/>
        <w:jc w:val="center"/>
        <w:rPr>
          <w:sz w:val="24"/>
        </w:rPr>
      </w:pPr>
      <w:r>
        <w:rPr>
          <w:sz w:val="24"/>
        </w:rPr>
        <w:t>Sanusi, Y.A. (2010). Water, sanitation and human development in urban fringe settlements in</w:t>
      </w:r>
      <w:r>
        <w:rPr>
          <w:spacing w:val="80"/>
          <w:sz w:val="24"/>
        </w:rPr>
        <w:t> </w:t>
      </w:r>
      <w:r>
        <w:rPr>
          <w:sz w:val="24"/>
        </w:rPr>
        <w:t>Nigeria. </w:t>
      </w:r>
      <w:r>
        <w:rPr>
          <w:i/>
          <w:sz w:val="24"/>
        </w:rPr>
        <w:t>Theoretical and Empirical Researches in Urban Management</w:t>
      </w:r>
      <w:r>
        <w:rPr>
          <w:sz w:val="24"/>
        </w:rPr>
        <w:t>. 5(8), pp. 14-29.</w:t>
      </w:r>
    </w:p>
    <w:p>
      <w:pPr>
        <w:pStyle w:val="BodyText"/>
      </w:pPr>
    </w:p>
    <w:p>
      <w:pPr>
        <w:spacing w:before="0"/>
        <w:ind w:left="547" w:right="107" w:hanging="432"/>
        <w:jc w:val="both"/>
        <w:rPr>
          <w:sz w:val="24"/>
        </w:rPr>
      </w:pPr>
      <w:r>
        <w:rPr>
          <w:sz w:val="24"/>
        </w:rPr>
        <w:t>Saunders, M., Lewis, P. &amp; Thornhill, A. (2012). </w:t>
      </w:r>
      <w:r>
        <w:rPr>
          <w:i/>
          <w:sz w:val="24"/>
        </w:rPr>
        <w:t>Research methods for business students </w:t>
      </w:r>
      <w:r>
        <w:rPr>
          <w:sz w:val="24"/>
        </w:rPr>
        <w:t>(6</w:t>
      </w:r>
      <w:r>
        <w:rPr>
          <w:sz w:val="24"/>
          <w:vertAlign w:val="superscript"/>
        </w:rPr>
        <w:t>th</w:t>
      </w:r>
      <w:r>
        <w:rPr>
          <w:sz w:val="24"/>
          <w:vertAlign w:val="baseline"/>
        </w:rPr>
        <w:t> edition), London: Prentice hall.</w:t>
      </w:r>
    </w:p>
    <w:p>
      <w:pPr>
        <w:pStyle w:val="BodyText"/>
        <w:spacing w:before="273"/>
        <w:ind w:left="4" w:right="4"/>
        <w:jc w:val="center"/>
      </w:pPr>
      <w:r>
        <w:rPr/>
        <w:t>Savenije,</w:t>
      </w:r>
      <w:r>
        <w:rPr>
          <w:spacing w:val="44"/>
        </w:rPr>
        <w:t> </w:t>
      </w:r>
      <w:r>
        <w:rPr/>
        <w:t>H.H.G.</w:t>
      </w:r>
      <w:r>
        <w:rPr>
          <w:spacing w:val="47"/>
        </w:rPr>
        <w:t> </w:t>
      </w:r>
      <w:r>
        <w:rPr/>
        <w:t>(1999).</w:t>
      </w:r>
      <w:r>
        <w:rPr>
          <w:spacing w:val="45"/>
        </w:rPr>
        <w:t> </w:t>
      </w:r>
      <w:r>
        <w:rPr/>
        <w:t>Water</w:t>
      </w:r>
      <w:r>
        <w:rPr>
          <w:spacing w:val="44"/>
        </w:rPr>
        <w:t> </w:t>
      </w:r>
      <w:r>
        <w:rPr/>
        <w:t>scarcity</w:t>
      </w:r>
      <w:r>
        <w:rPr>
          <w:spacing w:val="40"/>
        </w:rPr>
        <w:t> </w:t>
      </w:r>
      <w:r>
        <w:rPr/>
        <w:t>indicators:</w:t>
      </w:r>
      <w:r>
        <w:rPr>
          <w:spacing w:val="45"/>
        </w:rPr>
        <w:t> </w:t>
      </w:r>
      <w:r>
        <w:rPr/>
        <w:t>The</w:t>
      </w:r>
      <w:r>
        <w:rPr>
          <w:spacing w:val="44"/>
        </w:rPr>
        <w:t> </w:t>
      </w:r>
      <w:r>
        <w:rPr/>
        <w:t>deception</w:t>
      </w:r>
      <w:r>
        <w:rPr>
          <w:spacing w:val="45"/>
        </w:rPr>
        <w:t> </w:t>
      </w:r>
      <w:r>
        <w:rPr/>
        <w:t>of</w:t>
      </w:r>
      <w:r>
        <w:rPr>
          <w:spacing w:val="46"/>
        </w:rPr>
        <w:t> </w:t>
      </w:r>
      <w:r>
        <w:rPr/>
        <w:t>numbers.</w:t>
      </w:r>
      <w:r>
        <w:rPr>
          <w:spacing w:val="45"/>
        </w:rPr>
        <w:t> </w:t>
      </w:r>
      <w:r>
        <w:rPr/>
        <w:t>Physics</w:t>
      </w:r>
      <w:r>
        <w:rPr>
          <w:spacing w:val="47"/>
        </w:rPr>
        <w:t> </w:t>
      </w:r>
      <w:r>
        <w:rPr>
          <w:spacing w:val="-5"/>
        </w:rPr>
        <w:t>and</w:t>
      </w:r>
    </w:p>
    <w:p>
      <w:pPr>
        <w:spacing w:before="0"/>
        <w:ind w:left="547" w:right="0" w:firstLine="0"/>
        <w:jc w:val="left"/>
        <w:rPr>
          <w:sz w:val="24"/>
        </w:rPr>
      </w:pPr>
      <w:r>
        <w:rPr>
          <w:i/>
          <w:sz w:val="24"/>
        </w:rPr>
        <w:t>Chemistry</w:t>
      </w:r>
      <w:r>
        <w:rPr>
          <w:i/>
          <w:spacing w:val="-4"/>
          <w:sz w:val="24"/>
        </w:rPr>
        <w:t> </w:t>
      </w:r>
      <w:r>
        <w:rPr>
          <w:i/>
          <w:sz w:val="24"/>
        </w:rPr>
        <w:t>of the</w:t>
      </w:r>
      <w:r>
        <w:rPr>
          <w:i/>
          <w:spacing w:val="-2"/>
          <w:sz w:val="24"/>
        </w:rPr>
        <w:t> </w:t>
      </w:r>
      <w:r>
        <w:rPr>
          <w:i/>
          <w:sz w:val="24"/>
        </w:rPr>
        <w:t>Earth</w:t>
      </w:r>
      <w:r>
        <w:rPr>
          <w:i/>
          <w:spacing w:val="1"/>
          <w:sz w:val="24"/>
        </w:rPr>
        <w:t> </w:t>
      </w:r>
      <w:r>
        <w:rPr>
          <w:sz w:val="24"/>
        </w:rPr>
        <w:t>25, 199-</w:t>
      </w:r>
      <w:r>
        <w:rPr>
          <w:spacing w:val="-4"/>
          <w:sz w:val="24"/>
        </w:rPr>
        <w:t>204.</w:t>
      </w:r>
    </w:p>
    <w:p>
      <w:pPr>
        <w:spacing w:after="0"/>
        <w:jc w:val="left"/>
        <w:rPr>
          <w:sz w:val="24"/>
        </w:rPr>
        <w:sectPr>
          <w:pgSz w:w="12240" w:h="15840"/>
          <w:pgMar w:header="0" w:footer="1068" w:top="1600" w:bottom="1260" w:left="1440" w:right="1300"/>
        </w:sectPr>
      </w:pPr>
    </w:p>
    <w:p>
      <w:pPr>
        <w:pStyle w:val="BodyText"/>
        <w:spacing w:before="63"/>
        <w:ind w:left="547" w:hanging="432"/>
      </w:pPr>
      <w:r>
        <w:rPr/>
        <w:t>Schulte,</w:t>
      </w:r>
      <w:r>
        <w:rPr>
          <w:spacing w:val="40"/>
        </w:rPr>
        <w:t> </w:t>
      </w:r>
      <w:r>
        <w:rPr/>
        <w:t>P.</w:t>
      </w:r>
      <w:r>
        <w:rPr>
          <w:spacing w:val="40"/>
        </w:rPr>
        <w:t> </w:t>
      </w:r>
      <w:r>
        <w:rPr/>
        <w:t>(2014).</w:t>
      </w:r>
      <w:r>
        <w:rPr>
          <w:spacing w:val="40"/>
        </w:rPr>
        <w:t> </w:t>
      </w:r>
      <w:r>
        <w:rPr/>
        <w:t>Defining</w:t>
      </w:r>
      <w:r>
        <w:rPr>
          <w:spacing w:val="40"/>
        </w:rPr>
        <w:t> </w:t>
      </w:r>
      <w:r>
        <w:rPr/>
        <w:t>Water</w:t>
      </w:r>
      <w:r>
        <w:rPr>
          <w:spacing w:val="40"/>
        </w:rPr>
        <w:t> </w:t>
      </w:r>
      <w:r>
        <w:rPr/>
        <w:t>Scarcity,</w:t>
      </w:r>
      <w:r>
        <w:rPr>
          <w:spacing w:val="40"/>
        </w:rPr>
        <w:t> </w:t>
      </w:r>
      <w:r>
        <w:rPr/>
        <w:t>Water</w:t>
      </w:r>
      <w:r>
        <w:rPr>
          <w:spacing w:val="40"/>
        </w:rPr>
        <w:t> </w:t>
      </w:r>
      <w:r>
        <w:rPr/>
        <w:t>Stress,</w:t>
      </w:r>
      <w:r>
        <w:rPr>
          <w:spacing w:val="40"/>
        </w:rPr>
        <w:t> </w:t>
      </w:r>
      <w:r>
        <w:rPr/>
        <w:t>and</w:t>
      </w:r>
      <w:r>
        <w:rPr>
          <w:spacing w:val="40"/>
        </w:rPr>
        <w:t> </w:t>
      </w:r>
      <w:r>
        <w:rPr/>
        <w:t>Water</w:t>
      </w:r>
      <w:r>
        <w:rPr>
          <w:spacing w:val="40"/>
        </w:rPr>
        <w:t> </w:t>
      </w:r>
      <w:r>
        <w:rPr/>
        <w:t>Risk:</w:t>
      </w:r>
      <w:r>
        <w:rPr>
          <w:spacing w:val="40"/>
        </w:rPr>
        <w:t> </w:t>
      </w:r>
      <w:r>
        <w:rPr/>
        <w:t>It’s</w:t>
      </w:r>
      <w:r>
        <w:rPr>
          <w:spacing w:val="40"/>
        </w:rPr>
        <w:t> </w:t>
      </w:r>
      <w:r>
        <w:rPr/>
        <w:t>Not</w:t>
      </w:r>
      <w:r>
        <w:rPr>
          <w:spacing w:val="40"/>
        </w:rPr>
        <w:t> </w:t>
      </w:r>
      <w:r>
        <w:rPr/>
        <w:t>Just</w:t>
      </w:r>
      <w:r>
        <w:rPr>
          <w:spacing w:val="80"/>
        </w:rPr>
        <w:t> </w:t>
      </w:r>
      <w:r>
        <w:rPr/>
        <w:t>Semantics [online]. Pacific Institute, Insights. </w:t>
      </w:r>
      <w:hyperlink r:id="rId76">
        <w:r>
          <w:rPr>
            <w:u w:val="single"/>
          </w:rPr>
          <w:t>http://pacinst.org/water-definitions/</w:t>
        </w:r>
      </w:hyperlink>
      <w:r>
        <w:rPr/>
        <w:t>.</w:t>
      </w:r>
    </w:p>
    <w:p>
      <w:pPr>
        <w:pStyle w:val="BodyText"/>
      </w:pPr>
    </w:p>
    <w:p>
      <w:pPr>
        <w:pStyle w:val="BodyText"/>
        <w:ind w:left="547" w:right="108" w:hanging="432"/>
        <w:jc w:val="both"/>
        <w:rPr>
          <w:i/>
        </w:rPr>
      </w:pPr>
      <w:r>
        <w:rPr/>
        <w:t>Seckler,</w:t>
      </w:r>
      <w:r>
        <w:rPr>
          <w:spacing w:val="-15"/>
        </w:rPr>
        <w:t> </w:t>
      </w:r>
      <w:r>
        <w:rPr/>
        <w:t>D.,</w:t>
      </w:r>
      <w:r>
        <w:rPr>
          <w:spacing w:val="-15"/>
        </w:rPr>
        <w:t> </w:t>
      </w:r>
      <w:r>
        <w:rPr/>
        <w:t>Amarasinghe,</w:t>
      </w:r>
      <w:r>
        <w:rPr>
          <w:spacing w:val="-15"/>
        </w:rPr>
        <w:t> </w:t>
      </w:r>
      <w:r>
        <w:rPr/>
        <w:t>U.,</w:t>
      </w:r>
      <w:r>
        <w:rPr>
          <w:spacing w:val="-15"/>
        </w:rPr>
        <w:t> </w:t>
      </w:r>
      <w:r>
        <w:rPr/>
        <w:t>David,</w:t>
      </w:r>
      <w:r>
        <w:rPr>
          <w:spacing w:val="-15"/>
        </w:rPr>
        <w:t> </w:t>
      </w:r>
      <w:r>
        <w:rPr/>
        <w:t>M.,</w:t>
      </w:r>
      <w:r>
        <w:rPr>
          <w:spacing w:val="-15"/>
        </w:rPr>
        <w:t> </w:t>
      </w:r>
      <w:r>
        <w:rPr/>
        <w:t>de</w:t>
      </w:r>
      <w:r>
        <w:rPr>
          <w:spacing w:val="-15"/>
        </w:rPr>
        <w:t> </w:t>
      </w:r>
      <w:r>
        <w:rPr/>
        <w:t>Silve,</w:t>
      </w:r>
      <w:r>
        <w:rPr>
          <w:spacing w:val="-15"/>
        </w:rPr>
        <w:t> </w:t>
      </w:r>
      <w:r>
        <w:rPr/>
        <w:t>R.</w:t>
      </w:r>
      <w:r>
        <w:rPr>
          <w:spacing w:val="28"/>
        </w:rPr>
        <w:t> </w:t>
      </w:r>
      <w:r>
        <w:rPr/>
        <w:t>&amp;</w:t>
      </w:r>
      <w:r>
        <w:rPr>
          <w:spacing w:val="-15"/>
        </w:rPr>
        <w:t> </w:t>
      </w:r>
      <w:r>
        <w:rPr/>
        <w:t>Barker,</w:t>
      </w:r>
      <w:r>
        <w:rPr>
          <w:spacing w:val="-15"/>
        </w:rPr>
        <w:t> </w:t>
      </w:r>
      <w:r>
        <w:rPr/>
        <w:t>R.</w:t>
      </w:r>
      <w:r>
        <w:rPr>
          <w:spacing w:val="-15"/>
        </w:rPr>
        <w:t> </w:t>
      </w:r>
      <w:r>
        <w:rPr/>
        <w:t>(1998a).</w:t>
      </w:r>
      <w:r>
        <w:rPr>
          <w:spacing w:val="-15"/>
        </w:rPr>
        <w:t> </w:t>
      </w:r>
      <w:r>
        <w:rPr/>
        <w:t>World</w:t>
      </w:r>
      <w:r>
        <w:rPr>
          <w:spacing w:val="-15"/>
        </w:rPr>
        <w:t> </w:t>
      </w:r>
      <w:r>
        <w:rPr/>
        <w:t>water</w:t>
      </w:r>
      <w:r>
        <w:rPr>
          <w:spacing w:val="-15"/>
        </w:rPr>
        <w:t> </w:t>
      </w:r>
      <w:r>
        <w:rPr/>
        <w:t>demand and supply, 1990–2025: Scenarios and issue research report 19. Colombo: </w:t>
      </w:r>
      <w:r>
        <w:rPr>
          <w:i/>
        </w:rPr>
        <w:t>International Water Management Institute.</w:t>
      </w:r>
    </w:p>
    <w:p>
      <w:pPr>
        <w:pStyle w:val="BodyText"/>
        <w:rPr>
          <w:i/>
        </w:rPr>
      </w:pPr>
    </w:p>
    <w:p>
      <w:pPr>
        <w:pStyle w:val="BodyText"/>
        <w:ind w:left="6" w:right="3"/>
        <w:jc w:val="center"/>
      </w:pPr>
      <w:r>
        <w:rPr/>
        <w:t>Seckler,</w:t>
      </w:r>
      <w:r>
        <w:rPr>
          <w:spacing w:val="50"/>
        </w:rPr>
        <w:t> </w:t>
      </w:r>
      <w:r>
        <w:rPr/>
        <w:t>D.,</w:t>
      </w:r>
      <w:r>
        <w:rPr>
          <w:spacing w:val="51"/>
        </w:rPr>
        <w:t> </w:t>
      </w:r>
      <w:r>
        <w:rPr/>
        <w:t>Molden,</w:t>
      </w:r>
      <w:r>
        <w:rPr>
          <w:spacing w:val="51"/>
        </w:rPr>
        <w:t> </w:t>
      </w:r>
      <w:r>
        <w:rPr/>
        <w:t>D.,</w:t>
      </w:r>
      <w:r>
        <w:rPr>
          <w:spacing w:val="51"/>
        </w:rPr>
        <w:t> </w:t>
      </w:r>
      <w:r>
        <w:rPr/>
        <w:t>&amp;</w:t>
      </w:r>
      <w:r>
        <w:rPr>
          <w:spacing w:val="48"/>
        </w:rPr>
        <w:t> </w:t>
      </w:r>
      <w:r>
        <w:rPr/>
        <w:t>Barker,</w:t>
      </w:r>
      <w:r>
        <w:rPr>
          <w:spacing w:val="50"/>
        </w:rPr>
        <w:t> </w:t>
      </w:r>
      <w:r>
        <w:rPr/>
        <w:t>R.</w:t>
      </w:r>
      <w:r>
        <w:rPr>
          <w:spacing w:val="51"/>
        </w:rPr>
        <w:t> </w:t>
      </w:r>
      <w:r>
        <w:rPr/>
        <w:t>(1998b).</w:t>
      </w:r>
      <w:r>
        <w:rPr>
          <w:spacing w:val="53"/>
        </w:rPr>
        <w:t> </w:t>
      </w:r>
      <w:r>
        <w:rPr/>
        <w:t>Water</w:t>
      </w:r>
      <w:r>
        <w:rPr>
          <w:spacing w:val="49"/>
        </w:rPr>
        <w:t> </w:t>
      </w:r>
      <w:r>
        <w:rPr/>
        <w:t>scarcity</w:t>
      </w:r>
      <w:r>
        <w:rPr>
          <w:spacing w:val="46"/>
        </w:rPr>
        <w:t> </w:t>
      </w:r>
      <w:r>
        <w:rPr/>
        <w:t>in</w:t>
      </w:r>
      <w:r>
        <w:rPr>
          <w:spacing w:val="52"/>
        </w:rPr>
        <w:t> </w:t>
      </w:r>
      <w:r>
        <w:rPr/>
        <w:t>the</w:t>
      </w:r>
      <w:r>
        <w:rPr>
          <w:spacing w:val="51"/>
        </w:rPr>
        <w:t> </w:t>
      </w:r>
      <w:r>
        <w:rPr/>
        <w:t>twenty-first</w:t>
      </w:r>
      <w:r>
        <w:rPr>
          <w:spacing w:val="51"/>
        </w:rPr>
        <w:t> </w:t>
      </w:r>
      <w:r>
        <w:rPr>
          <w:spacing w:val="-2"/>
        </w:rPr>
        <w:t>century.</w:t>
      </w:r>
    </w:p>
    <w:p>
      <w:pPr>
        <w:spacing w:before="0"/>
        <w:ind w:left="547" w:right="0" w:firstLine="0"/>
        <w:jc w:val="left"/>
        <w:rPr>
          <w:i/>
          <w:sz w:val="24"/>
        </w:rPr>
      </w:pPr>
      <w:r>
        <w:rPr>
          <w:sz w:val="24"/>
        </w:rPr>
        <w:t>Colombo:</w:t>
      </w:r>
      <w:r>
        <w:rPr>
          <w:spacing w:val="-2"/>
          <w:sz w:val="24"/>
        </w:rPr>
        <w:t> </w:t>
      </w:r>
      <w:r>
        <w:rPr>
          <w:sz w:val="24"/>
        </w:rPr>
        <w:t>IWMI</w:t>
      </w:r>
      <w:r>
        <w:rPr>
          <w:spacing w:val="-6"/>
          <w:sz w:val="24"/>
        </w:rPr>
        <w:t> </w:t>
      </w:r>
      <w:r>
        <w:rPr>
          <w:sz w:val="24"/>
        </w:rPr>
        <w:t>Water</w:t>
      </w:r>
      <w:r>
        <w:rPr>
          <w:spacing w:val="-2"/>
          <w:sz w:val="24"/>
        </w:rPr>
        <w:t> </w:t>
      </w:r>
      <w:r>
        <w:rPr>
          <w:sz w:val="24"/>
        </w:rPr>
        <w:t>Brief</w:t>
      </w:r>
      <w:r>
        <w:rPr>
          <w:spacing w:val="-2"/>
          <w:sz w:val="24"/>
        </w:rPr>
        <w:t> </w:t>
      </w:r>
      <w:r>
        <w:rPr>
          <w:sz w:val="24"/>
        </w:rPr>
        <w:t>2,</w:t>
      </w:r>
      <w:r>
        <w:rPr>
          <w:spacing w:val="1"/>
          <w:sz w:val="24"/>
        </w:rPr>
        <w:t> </w:t>
      </w:r>
      <w:r>
        <w:rPr>
          <w:i/>
          <w:sz w:val="24"/>
        </w:rPr>
        <w:t>International Water</w:t>
      </w:r>
      <w:r>
        <w:rPr>
          <w:i/>
          <w:spacing w:val="-2"/>
          <w:sz w:val="24"/>
        </w:rPr>
        <w:t> </w:t>
      </w:r>
      <w:r>
        <w:rPr>
          <w:i/>
          <w:sz w:val="24"/>
        </w:rPr>
        <w:t>Management</w:t>
      </w:r>
      <w:r>
        <w:rPr>
          <w:i/>
          <w:spacing w:val="1"/>
          <w:sz w:val="24"/>
        </w:rPr>
        <w:t> </w:t>
      </w:r>
      <w:r>
        <w:rPr>
          <w:i/>
          <w:spacing w:val="-2"/>
          <w:sz w:val="24"/>
        </w:rPr>
        <w:t>Institute</w:t>
      </w:r>
    </w:p>
    <w:p>
      <w:pPr>
        <w:pStyle w:val="BodyText"/>
        <w:rPr>
          <w:i/>
        </w:rPr>
      </w:pPr>
    </w:p>
    <w:p>
      <w:pPr>
        <w:spacing w:before="0"/>
        <w:ind w:left="547" w:right="106" w:hanging="432"/>
        <w:jc w:val="both"/>
        <w:rPr>
          <w:sz w:val="24"/>
        </w:rPr>
      </w:pPr>
      <w:r>
        <w:rPr>
          <w:sz w:val="24"/>
        </w:rPr>
        <w:t>Simon,</w:t>
      </w:r>
      <w:r>
        <w:rPr>
          <w:spacing w:val="-8"/>
          <w:sz w:val="24"/>
        </w:rPr>
        <w:t> </w:t>
      </w:r>
      <w:r>
        <w:rPr>
          <w:sz w:val="24"/>
        </w:rPr>
        <w:t>R.F.,</w:t>
      </w:r>
      <w:r>
        <w:rPr>
          <w:spacing w:val="-8"/>
          <w:sz w:val="24"/>
        </w:rPr>
        <w:t> </w:t>
      </w:r>
      <w:r>
        <w:rPr>
          <w:sz w:val="24"/>
        </w:rPr>
        <w:t>Duntoye,</w:t>
      </w:r>
      <w:r>
        <w:rPr>
          <w:spacing w:val="-8"/>
          <w:sz w:val="24"/>
        </w:rPr>
        <w:t> </w:t>
      </w:r>
      <w:r>
        <w:rPr>
          <w:sz w:val="24"/>
        </w:rPr>
        <w:t>D.B.</w:t>
      </w:r>
      <w:r>
        <w:rPr>
          <w:spacing w:val="-4"/>
          <w:sz w:val="24"/>
        </w:rPr>
        <w:t> </w:t>
      </w:r>
      <w:r>
        <w:rPr>
          <w:sz w:val="24"/>
        </w:rPr>
        <w:t>&amp;</w:t>
      </w:r>
      <w:r>
        <w:rPr>
          <w:spacing w:val="-10"/>
          <w:sz w:val="24"/>
        </w:rPr>
        <w:t> </w:t>
      </w:r>
      <w:r>
        <w:rPr>
          <w:sz w:val="24"/>
        </w:rPr>
        <w:t>Oyewole,</w:t>
      </w:r>
      <w:r>
        <w:rPr>
          <w:spacing w:val="-6"/>
          <w:sz w:val="24"/>
        </w:rPr>
        <w:t> </w:t>
      </w:r>
      <w:r>
        <w:rPr>
          <w:sz w:val="24"/>
        </w:rPr>
        <w:t>K.</w:t>
      </w:r>
      <w:r>
        <w:rPr>
          <w:spacing w:val="-6"/>
          <w:sz w:val="24"/>
        </w:rPr>
        <w:t> </w:t>
      </w:r>
      <w:r>
        <w:rPr>
          <w:sz w:val="24"/>
        </w:rPr>
        <w:t>(2018).</w:t>
      </w:r>
      <w:r>
        <w:rPr>
          <w:spacing w:val="-8"/>
          <w:sz w:val="24"/>
        </w:rPr>
        <w:t> </w:t>
      </w:r>
      <w:r>
        <w:rPr>
          <w:sz w:val="24"/>
        </w:rPr>
        <w:t>The</w:t>
      </w:r>
      <w:r>
        <w:rPr>
          <w:spacing w:val="-7"/>
          <w:sz w:val="24"/>
        </w:rPr>
        <w:t> </w:t>
      </w:r>
      <w:r>
        <w:rPr>
          <w:sz w:val="24"/>
        </w:rPr>
        <w:t>effects</w:t>
      </w:r>
      <w:r>
        <w:rPr>
          <w:spacing w:val="-8"/>
          <w:sz w:val="24"/>
        </w:rPr>
        <w:t> </w:t>
      </w:r>
      <w:r>
        <w:rPr>
          <w:sz w:val="24"/>
        </w:rPr>
        <w:t>of</w:t>
      </w:r>
      <w:r>
        <w:rPr>
          <w:spacing w:val="-7"/>
          <w:sz w:val="24"/>
        </w:rPr>
        <w:t> </w:t>
      </w:r>
      <w:r>
        <w:rPr>
          <w:sz w:val="24"/>
        </w:rPr>
        <w:t>urbanization</w:t>
      </w:r>
      <w:r>
        <w:rPr>
          <w:spacing w:val="-8"/>
          <w:sz w:val="24"/>
        </w:rPr>
        <w:t> </w:t>
      </w:r>
      <w:r>
        <w:rPr>
          <w:sz w:val="24"/>
        </w:rPr>
        <w:t>on</w:t>
      </w:r>
      <w:r>
        <w:rPr>
          <w:spacing w:val="-8"/>
          <w:sz w:val="24"/>
        </w:rPr>
        <w:t> </w:t>
      </w:r>
      <w:r>
        <w:rPr>
          <w:sz w:val="24"/>
        </w:rPr>
        <w:t>micro-climate of</w:t>
      </w:r>
      <w:r>
        <w:rPr>
          <w:spacing w:val="-9"/>
          <w:sz w:val="24"/>
        </w:rPr>
        <w:t> </w:t>
      </w:r>
      <w:r>
        <w:rPr>
          <w:sz w:val="24"/>
        </w:rPr>
        <w:t>Minna</w:t>
      </w:r>
      <w:r>
        <w:rPr>
          <w:spacing w:val="-9"/>
          <w:sz w:val="24"/>
        </w:rPr>
        <w:t> </w:t>
      </w:r>
      <w:r>
        <w:rPr>
          <w:sz w:val="24"/>
        </w:rPr>
        <w:t>Urban</w:t>
      </w:r>
      <w:r>
        <w:rPr>
          <w:spacing w:val="-8"/>
          <w:sz w:val="24"/>
        </w:rPr>
        <w:t> </w:t>
      </w:r>
      <w:r>
        <w:rPr>
          <w:sz w:val="24"/>
        </w:rPr>
        <w:t>Area.</w:t>
      </w:r>
      <w:r>
        <w:rPr>
          <w:spacing w:val="-5"/>
          <w:sz w:val="24"/>
        </w:rPr>
        <w:t> </w:t>
      </w:r>
      <w:r>
        <w:rPr>
          <w:i/>
          <w:sz w:val="24"/>
        </w:rPr>
        <w:t>Journal</w:t>
      </w:r>
      <w:r>
        <w:rPr>
          <w:i/>
          <w:spacing w:val="-8"/>
          <w:sz w:val="24"/>
        </w:rPr>
        <w:t> </w:t>
      </w:r>
      <w:r>
        <w:rPr>
          <w:i/>
          <w:sz w:val="24"/>
        </w:rPr>
        <w:t>of</w:t>
      </w:r>
      <w:r>
        <w:rPr>
          <w:i/>
          <w:spacing w:val="-8"/>
          <w:sz w:val="24"/>
        </w:rPr>
        <w:t> </w:t>
      </w:r>
      <w:r>
        <w:rPr>
          <w:i/>
          <w:sz w:val="24"/>
        </w:rPr>
        <w:t>Geography,</w:t>
      </w:r>
      <w:r>
        <w:rPr>
          <w:i/>
          <w:spacing w:val="-8"/>
          <w:sz w:val="24"/>
        </w:rPr>
        <w:t> </w:t>
      </w:r>
      <w:r>
        <w:rPr>
          <w:i/>
          <w:sz w:val="24"/>
        </w:rPr>
        <w:t>Environment</w:t>
      </w:r>
      <w:r>
        <w:rPr>
          <w:i/>
          <w:spacing w:val="-8"/>
          <w:sz w:val="24"/>
        </w:rPr>
        <w:t> </w:t>
      </w:r>
      <w:r>
        <w:rPr>
          <w:i/>
          <w:sz w:val="24"/>
        </w:rPr>
        <w:t>and</w:t>
      </w:r>
      <w:r>
        <w:rPr>
          <w:i/>
          <w:spacing w:val="-8"/>
          <w:sz w:val="24"/>
        </w:rPr>
        <w:t> </w:t>
      </w:r>
      <w:r>
        <w:rPr>
          <w:i/>
          <w:sz w:val="24"/>
        </w:rPr>
        <w:t>Earth</w:t>
      </w:r>
      <w:r>
        <w:rPr>
          <w:i/>
          <w:spacing w:val="-8"/>
          <w:sz w:val="24"/>
        </w:rPr>
        <w:t> </w:t>
      </w:r>
      <w:r>
        <w:rPr>
          <w:i/>
          <w:sz w:val="24"/>
        </w:rPr>
        <w:t>Science</w:t>
      </w:r>
      <w:r>
        <w:rPr>
          <w:i/>
          <w:spacing w:val="-9"/>
          <w:sz w:val="24"/>
        </w:rPr>
        <w:t> </w:t>
      </w:r>
      <w:r>
        <w:rPr>
          <w:i/>
          <w:sz w:val="24"/>
        </w:rPr>
        <w:t>International</w:t>
      </w:r>
      <w:r>
        <w:rPr>
          <w:sz w:val="24"/>
        </w:rPr>
        <w:t>, 15(1), 1-13.</w:t>
      </w:r>
    </w:p>
    <w:p>
      <w:pPr>
        <w:pStyle w:val="BodyText"/>
        <w:spacing w:before="1"/>
      </w:pPr>
    </w:p>
    <w:p>
      <w:pPr>
        <w:pStyle w:val="BodyText"/>
        <w:ind w:left="547" w:right="108" w:hanging="432"/>
        <w:jc w:val="both"/>
      </w:pPr>
      <w:r>
        <w:rPr/>
        <w:t>Singh, R.P., Nath, S., Prasad, S.C., &amp; Nema, A.K. (2008). Selection of suitable aggregation function for estimation of aggregate pollution index for river Ganges in India. </w:t>
      </w:r>
      <w:r>
        <w:rPr>
          <w:i/>
        </w:rPr>
        <w:t>Journal of Environmental Engineering, </w:t>
      </w:r>
      <w:r>
        <w:rPr/>
        <w:t>126(5), 451-455.</w:t>
      </w:r>
    </w:p>
    <w:p>
      <w:pPr>
        <w:pStyle w:val="BodyText"/>
      </w:pPr>
    </w:p>
    <w:p>
      <w:pPr>
        <w:pStyle w:val="BodyText"/>
        <w:ind w:left="7" w:right="3"/>
        <w:jc w:val="center"/>
      </w:pPr>
      <w:r>
        <w:rPr/>
        <w:t>Sorenson,</w:t>
      </w:r>
      <w:r>
        <w:rPr>
          <w:spacing w:val="-1"/>
        </w:rPr>
        <w:t> </w:t>
      </w:r>
      <w:r>
        <w:rPr/>
        <w:t>S.</w:t>
      </w:r>
      <w:r>
        <w:rPr>
          <w:spacing w:val="-1"/>
        </w:rPr>
        <w:t> </w:t>
      </w:r>
      <w:r>
        <w:rPr/>
        <w:t>B.,</w:t>
      </w:r>
      <w:r>
        <w:rPr>
          <w:spacing w:val="-1"/>
        </w:rPr>
        <w:t> </w:t>
      </w:r>
      <w:r>
        <w:rPr/>
        <w:t>Morssink,</w:t>
      </w:r>
      <w:r>
        <w:rPr>
          <w:spacing w:val="-1"/>
        </w:rPr>
        <w:t> </w:t>
      </w:r>
      <w:r>
        <w:rPr/>
        <w:t>C.,</w:t>
      </w:r>
      <w:r>
        <w:rPr>
          <w:spacing w:val="-1"/>
        </w:rPr>
        <w:t> </w:t>
      </w:r>
      <w:r>
        <w:rPr/>
        <w:t>&amp;</w:t>
      </w:r>
      <w:r>
        <w:rPr>
          <w:spacing w:val="-3"/>
        </w:rPr>
        <w:t> </w:t>
      </w:r>
      <w:r>
        <w:rPr/>
        <w:t>Campos,</w:t>
      </w:r>
      <w:r>
        <w:rPr>
          <w:spacing w:val="-4"/>
        </w:rPr>
        <w:t> </w:t>
      </w:r>
      <w:r>
        <w:rPr/>
        <w:t>P.</w:t>
      </w:r>
      <w:r>
        <w:rPr>
          <w:spacing w:val="-1"/>
        </w:rPr>
        <w:t> </w:t>
      </w:r>
      <w:r>
        <w:rPr/>
        <w:t>A.</w:t>
      </w:r>
      <w:r>
        <w:rPr>
          <w:spacing w:val="-4"/>
        </w:rPr>
        <w:t> </w:t>
      </w:r>
      <w:r>
        <w:rPr/>
        <w:t>(2011).</w:t>
      </w:r>
      <w:r>
        <w:rPr>
          <w:spacing w:val="-2"/>
        </w:rPr>
        <w:t> </w:t>
      </w:r>
      <w:r>
        <w:rPr/>
        <w:t>Safe</w:t>
      </w:r>
      <w:r>
        <w:rPr>
          <w:spacing w:val="-3"/>
        </w:rPr>
        <w:t> </w:t>
      </w:r>
      <w:r>
        <w:rPr/>
        <w:t>access</w:t>
      </w:r>
      <w:r>
        <w:rPr>
          <w:spacing w:val="-1"/>
        </w:rPr>
        <w:t> </w:t>
      </w:r>
      <w:r>
        <w:rPr/>
        <w:t>to</w:t>
      </w:r>
      <w:r>
        <w:rPr>
          <w:spacing w:val="-1"/>
        </w:rPr>
        <w:t> </w:t>
      </w:r>
      <w:r>
        <w:rPr/>
        <w:t>safe</w:t>
      </w:r>
      <w:r>
        <w:rPr>
          <w:spacing w:val="-3"/>
        </w:rPr>
        <w:t> </w:t>
      </w:r>
      <w:r>
        <w:rPr/>
        <w:t>water</w:t>
      </w:r>
      <w:r>
        <w:rPr>
          <w:spacing w:val="-3"/>
        </w:rPr>
        <w:t> </w:t>
      </w:r>
      <w:r>
        <w:rPr/>
        <w:t>in</w:t>
      </w:r>
      <w:r>
        <w:rPr>
          <w:spacing w:val="-1"/>
        </w:rPr>
        <w:t> </w:t>
      </w:r>
      <w:r>
        <w:rPr/>
        <w:t>low</w:t>
      </w:r>
      <w:r>
        <w:rPr>
          <w:spacing w:val="-1"/>
        </w:rPr>
        <w:t> </w:t>
      </w:r>
      <w:r>
        <w:rPr/>
        <w:t>income countries: water fetching in current times. </w:t>
      </w:r>
      <w:r>
        <w:rPr>
          <w:i/>
        </w:rPr>
        <w:t>Social science &amp; medicine</w:t>
      </w:r>
      <w:r>
        <w:rPr/>
        <w:t>, </w:t>
      </w:r>
      <w:r>
        <w:rPr>
          <w:i/>
        </w:rPr>
        <w:t>72</w:t>
      </w:r>
      <w:r>
        <w:rPr/>
        <w:t>(9), 1522-1526.</w:t>
      </w:r>
    </w:p>
    <w:p>
      <w:pPr>
        <w:pStyle w:val="BodyText"/>
      </w:pPr>
    </w:p>
    <w:p>
      <w:pPr>
        <w:pStyle w:val="BodyText"/>
        <w:ind w:left="115"/>
      </w:pPr>
      <w:r>
        <w:rPr/>
        <w:t>Subbaraman,</w:t>
      </w:r>
      <w:r>
        <w:rPr>
          <w:spacing w:val="-13"/>
        </w:rPr>
        <w:t> </w:t>
      </w:r>
      <w:r>
        <w:rPr/>
        <w:t>R.,</w:t>
      </w:r>
      <w:r>
        <w:rPr>
          <w:spacing w:val="-11"/>
        </w:rPr>
        <w:t> </w:t>
      </w:r>
      <w:r>
        <w:rPr/>
        <w:t>Shitole,</w:t>
      </w:r>
      <w:r>
        <w:rPr>
          <w:spacing w:val="-14"/>
        </w:rPr>
        <w:t> </w:t>
      </w:r>
      <w:r>
        <w:rPr/>
        <w:t>S.,</w:t>
      </w:r>
      <w:r>
        <w:rPr>
          <w:spacing w:val="-11"/>
        </w:rPr>
        <w:t> </w:t>
      </w:r>
      <w:r>
        <w:rPr/>
        <w:t>Shitole,</w:t>
      </w:r>
      <w:r>
        <w:rPr>
          <w:spacing w:val="-11"/>
        </w:rPr>
        <w:t> </w:t>
      </w:r>
      <w:r>
        <w:rPr/>
        <w:t>T.,</w:t>
      </w:r>
      <w:r>
        <w:rPr>
          <w:spacing w:val="-11"/>
        </w:rPr>
        <w:t> </w:t>
      </w:r>
      <w:r>
        <w:rPr/>
        <w:t>Sawant,</w:t>
      </w:r>
      <w:r>
        <w:rPr>
          <w:spacing w:val="-11"/>
        </w:rPr>
        <w:t> </w:t>
      </w:r>
      <w:r>
        <w:rPr/>
        <w:t>K.,</w:t>
      </w:r>
      <w:r>
        <w:rPr>
          <w:spacing w:val="-12"/>
        </w:rPr>
        <w:t> </w:t>
      </w:r>
      <w:r>
        <w:rPr/>
        <w:t>O’brien,</w:t>
      </w:r>
      <w:r>
        <w:rPr>
          <w:spacing w:val="-11"/>
        </w:rPr>
        <w:t> </w:t>
      </w:r>
      <w:r>
        <w:rPr/>
        <w:t>J.,</w:t>
      </w:r>
      <w:r>
        <w:rPr>
          <w:spacing w:val="-11"/>
        </w:rPr>
        <w:t> </w:t>
      </w:r>
      <w:r>
        <w:rPr/>
        <w:t>Bloom,</w:t>
      </w:r>
      <w:r>
        <w:rPr>
          <w:spacing w:val="-11"/>
        </w:rPr>
        <w:t> </w:t>
      </w:r>
      <w:r>
        <w:rPr/>
        <w:t>D.</w:t>
      </w:r>
      <w:r>
        <w:rPr>
          <w:spacing w:val="-14"/>
        </w:rPr>
        <w:t> </w:t>
      </w:r>
      <w:r>
        <w:rPr/>
        <w:t>E.</w:t>
      </w:r>
      <w:r>
        <w:rPr>
          <w:spacing w:val="-9"/>
        </w:rPr>
        <w:t> </w:t>
      </w:r>
      <w:r>
        <w:rPr/>
        <w:t>&amp;</w:t>
      </w:r>
      <w:r>
        <w:rPr>
          <w:spacing w:val="-12"/>
        </w:rPr>
        <w:t> </w:t>
      </w:r>
      <w:r>
        <w:rPr/>
        <w:t>Patil-</w:t>
      </w:r>
      <w:r>
        <w:rPr>
          <w:spacing w:val="-2"/>
        </w:rPr>
        <w:t>Deshmukh,</w:t>
      </w:r>
    </w:p>
    <w:p>
      <w:pPr>
        <w:pStyle w:val="BodyText"/>
        <w:ind w:left="547"/>
      </w:pPr>
      <w:r>
        <w:rPr/>
        <w:t>A.</w:t>
      </w:r>
      <w:r>
        <w:rPr>
          <w:spacing w:val="-8"/>
        </w:rPr>
        <w:t> </w:t>
      </w:r>
      <w:r>
        <w:rPr/>
        <w:t>(2013).</w:t>
      </w:r>
      <w:r>
        <w:rPr>
          <w:spacing w:val="-8"/>
        </w:rPr>
        <w:t> </w:t>
      </w:r>
      <w:r>
        <w:rPr/>
        <w:t>The</w:t>
      </w:r>
      <w:r>
        <w:rPr>
          <w:spacing w:val="-6"/>
        </w:rPr>
        <w:t> </w:t>
      </w:r>
      <w:r>
        <w:rPr/>
        <w:t>social</w:t>
      </w:r>
      <w:r>
        <w:rPr>
          <w:spacing w:val="-7"/>
        </w:rPr>
        <w:t> </w:t>
      </w:r>
      <w:r>
        <w:rPr/>
        <w:t>ecology</w:t>
      </w:r>
      <w:r>
        <w:rPr>
          <w:spacing w:val="-12"/>
        </w:rPr>
        <w:t> </w:t>
      </w:r>
      <w:r>
        <w:rPr/>
        <w:t>of</w:t>
      </w:r>
      <w:r>
        <w:rPr>
          <w:spacing w:val="-8"/>
        </w:rPr>
        <w:t> </w:t>
      </w:r>
      <w:r>
        <w:rPr/>
        <w:t>water</w:t>
      </w:r>
      <w:r>
        <w:rPr>
          <w:spacing w:val="-8"/>
        </w:rPr>
        <w:t> </w:t>
      </w:r>
      <w:r>
        <w:rPr/>
        <w:t>in</w:t>
      </w:r>
      <w:r>
        <w:rPr>
          <w:spacing w:val="-4"/>
        </w:rPr>
        <w:t> </w:t>
      </w:r>
      <w:r>
        <w:rPr/>
        <w:t>a</w:t>
      </w:r>
      <w:r>
        <w:rPr>
          <w:spacing w:val="-8"/>
        </w:rPr>
        <w:t> </w:t>
      </w:r>
      <w:r>
        <w:rPr/>
        <w:t>Mumbai</w:t>
      </w:r>
      <w:r>
        <w:rPr>
          <w:spacing w:val="-7"/>
        </w:rPr>
        <w:t> </w:t>
      </w:r>
      <w:r>
        <w:rPr/>
        <w:t>slum:</w:t>
      </w:r>
      <w:r>
        <w:rPr>
          <w:spacing w:val="-7"/>
        </w:rPr>
        <w:t> </w:t>
      </w:r>
      <w:r>
        <w:rPr/>
        <w:t>failures</w:t>
      </w:r>
      <w:r>
        <w:rPr>
          <w:spacing w:val="-7"/>
        </w:rPr>
        <w:t> </w:t>
      </w:r>
      <w:r>
        <w:rPr/>
        <w:t>in</w:t>
      </w:r>
      <w:r>
        <w:rPr>
          <w:spacing w:val="-7"/>
        </w:rPr>
        <w:t> </w:t>
      </w:r>
      <w:r>
        <w:rPr/>
        <w:t>water</w:t>
      </w:r>
      <w:r>
        <w:rPr>
          <w:spacing w:val="-6"/>
        </w:rPr>
        <w:t> </w:t>
      </w:r>
      <w:r>
        <w:rPr/>
        <w:t>quality,</w:t>
      </w:r>
      <w:r>
        <w:rPr>
          <w:spacing w:val="-7"/>
        </w:rPr>
        <w:t> </w:t>
      </w:r>
      <w:r>
        <w:rPr/>
        <w:t>quantity, and reliability. BMC Public Health, 13, 173.</w:t>
      </w:r>
    </w:p>
    <w:p>
      <w:pPr>
        <w:pStyle w:val="BodyText"/>
        <w:spacing w:before="1"/>
      </w:pPr>
    </w:p>
    <w:p>
      <w:pPr>
        <w:pStyle w:val="BodyText"/>
        <w:ind w:left="115"/>
      </w:pPr>
      <w:r>
        <w:rPr/>
        <w:t>Sullivan,</w:t>
      </w:r>
      <w:r>
        <w:rPr>
          <w:spacing w:val="-11"/>
        </w:rPr>
        <w:t> </w:t>
      </w:r>
      <w:r>
        <w:rPr/>
        <w:t>C.A.</w:t>
      </w:r>
      <w:r>
        <w:rPr>
          <w:spacing w:val="-9"/>
        </w:rPr>
        <w:t> </w:t>
      </w:r>
      <w:r>
        <w:rPr/>
        <w:t>(2002).</w:t>
      </w:r>
      <w:r>
        <w:rPr>
          <w:spacing w:val="-9"/>
        </w:rPr>
        <w:t> </w:t>
      </w:r>
      <w:r>
        <w:rPr/>
        <w:t>Calculating</w:t>
      </w:r>
      <w:r>
        <w:rPr>
          <w:spacing w:val="-9"/>
        </w:rPr>
        <w:t> </w:t>
      </w:r>
      <w:r>
        <w:rPr/>
        <w:t>a</w:t>
      </w:r>
      <w:r>
        <w:rPr>
          <w:spacing w:val="-7"/>
        </w:rPr>
        <w:t> </w:t>
      </w:r>
      <w:r>
        <w:rPr/>
        <w:t>water</w:t>
      </w:r>
      <w:r>
        <w:rPr>
          <w:spacing w:val="-8"/>
        </w:rPr>
        <w:t> </w:t>
      </w:r>
      <w:r>
        <w:rPr/>
        <w:t>poverty</w:t>
      </w:r>
      <w:r>
        <w:rPr>
          <w:spacing w:val="-11"/>
        </w:rPr>
        <w:t> </w:t>
      </w:r>
      <w:r>
        <w:rPr/>
        <w:t>index.</w:t>
      </w:r>
      <w:r>
        <w:rPr>
          <w:spacing w:val="-5"/>
        </w:rPr>
        <w:t> </w:t>
      </w:r>
      <w:r>
        <w:rPr>
          <w:i/>
        </w:rPr>
        <w:t>World</w:t>
      </w:r>
      <w:r>
        <w:rPr>
          <w:i/>
          <w:spacing w:val="-8"/>
        </w:rPr>
        <w:t> </w:t>
      </w:r>
      <w:r>
        <w:rPr>
          <w:i/>
        </w:rPr>
        <w:t>Development</w:t>
      </w:r>
      <w:r>
        <w:rPr/>
        <w:t>,</w:t>
      </w:r>
      <w:r>
        <w:rPr>
          <w:spacing w:val="-9"/>
        </w:rPr>
        <w:t> </w:t>
      </w:r>
      <w:r>
        <w:rPr/>
        <w:t>30(7),</w:t>
      </w:r>
      <w:r>
        <w:rPr>
          <w:spacing w:val="-8"/>
        </w:rPr>
        <w:t> </w:t>
      </w:r>
      <w:r>
        <w:rPr/>
        <w:t>1195-</w:t>
      </w:r>
      <w:r>
        <w:rPr>
          <w:spacing w:val="-2"/>
        </w:rPr>
        <w:t>1210.</w:t>
      </w:r>
    </w:p>
    <w:p>
      <w:pPr>
        <w:pStyle w:val="BodyText"/>
      </w:pPr>
    </w:p>
    <w:p>
      <w:pPr>
        <w:pStyle w:val="BodyText"/>
        <w:ind w:right="117"/>
        <w:jc w:val="right"/>
      </w:pPr>
      <w:r>
        <w:rPr/>
        <w:t>Sullivan,</w:t>
      </w:r>
      <w:r>
        <w:rPr>
          <w:spacing w:val="3"/>
        </w:rPr>
        <w:t> </w:t>
      </w:r>
      <w:r>
        <w:rPr/>
        <w:t>C.</w:t>
      </w:r>
      <w:r>
        <w:rPr>
          <w:spacing w:val="5"/>
        </w:rPr>
        <w:t> </w:t>
      </w:r>
      <w:r>
        <w:rPr/>
        <w:t>A.,</w:t>
      </w:r>
      <w:r>
        <w:rPr>
          <w:spacing w:val="5"/>
        </w:rPr>
        <w:t> </w:t>
      </w:r>
      <w:r>
        <w:rPr/>
        <w:t>Meigh,</w:t>
      </w:r>
      <w:r>
        <w:rPr>
          <w:spacing w:val="5"/>
        </w:rPr>
        <w:t> </w:t>
      </w:r>
      <w:r>
        <w:rPr/>
        <w:t>J.</w:t>
      </w:r>
      <w:r>
        <w:rPr>
          <w:spacing w:val="6"/>
        </w:rPr>
        <w:t> </w:t>
      </w:r>
      <w:r>
        <w:rPr/>
        <w:t>R.,</w:t>
      </w:r>
      <w:r>
        <w:rPr>
          <w:spacing w:val="5"/>
        </w:rPr>
        <w:t> </w:t>
      </w:r>
      <w:r>
        <w:rPr/>
        <w:t>Giacomello,</w:t>
      </w:r>
      <w:r>
        <w:rPr>
          <w:spacing w:val="6"/>
        </w:rPr>
        <w:t> </w:t>
      </w:r>
      <w:r>
        <w:rPr/>
        <w:t>A.</w:t>
      </w:r>
      <w:r>
        <w:rPr>
          <w:spacing w:val="5"/>
        </w:rPr>
        <w:t> </w:t>
      </w:r>
      <w:r>
        <w:rPr/>
        <w:t>M.,</w:t>
      </w:r>
      <w:r>
        <w:rPr>
          <w:spacing w:val="6"/>
        </w:rPr>
        <w:t> </w:t>
      </w:r>
      <w:r>
        <w:rPr/>
        <w:t>Fediw,</w:t>
      </w:r>
      <w:r>
        <w:rPr>
          <w:spacing w:val="5"/>
        </w:rPr>
        <w:t> </w:t>
      </w:r>
      <w:r>
        <w:rPr/>
        <w:t>T.,</w:t>
      </w:r>
      <w:r>
        <w:rPr>
          <w:spacing w:val="8"/>
        </w:rPr>
        <w:t> </w:t>
      </w:r>
      <w:r>
        <w:rPr/>
        <w:t>Lawrence,</w:t>
      </w:r>
      <w:r>
        <w:rPr>
          <w:spacing w:val="5"/>
        </w:rPr>
        <w:t> </w:t>
      </w:r>
      <w:r>
        <w:rPr/>
        <w:t>P.,</w:t>
      </w:r>
      <w:r>
        <w:rPr>
          <w:spacing w:val="8"/>
        </w:rPr>
        <w:t> </w:t>
      </w:r>
      <w:r>
        <w:rPr/>
        <w:t>Samad,</w:t>
      </w:r>
      <w:r>
        <w:rPr>
          <w:spacing w:val="5"/>
        </w:rPr>
        <w:t> </w:t>
      </w:r>
      <w:r>
        <w:rPr/>
        <w:t>M.,</w:t>
      </w:r>
      <w:r>
        <w:rPr>
          <w:spacing w:val="7"/>
        </w:rPr>
        <w:t> </w:t>
      </w:r>
      <w:r>
        <w:rPr>
          <w:spacing w:val="-2"/>
        </w:rPr>
        <w:t>…Steyl,</w:t>
      </w:r>
    </w:p>
    <w:p>
      <w:pPr>
        <w:pStyle w:val="BodyText"/>
        <w:ind w:right="118"/>
        <w:jc w:val="right"/>
      </w:pPr>
      <w:r>
        <w:rPr/>
        <w:t>I.</w:t>
      </w:r>
      <w:r>
        <w:rPr>
          <w:spacing w:val="6"/>
        </w:rPr>
        <w:t> </w:t>
      </w:r>
      <w:r>
        <w:rPr/>
        <w:t>(2003).</w:t>
      </w:r>
      <w:r>
        <w:rPr>
          <w:spacing w:val="5"/>
        </w:rPr>
        <w:t> </w:t>
      </w:r>
      <w:r>
        <w:rPr/>
        <w:t>The</w:t>
      </w:r>
      <w:r>
        <w:rPr>
          <w:spacing w:val="6"/>
        </w:rPr>
        <w:t> </w:t>
      </w:r>
      <w:r>
        <w:rPr/>
        <w:t>Water</w:t>
      </w:r>
      <w:r>
        <w:rPr>
          <w:spacing w:val="4"/>
        </w:rPr>
        <w:t> </w:t>
      </w:r>
      <w:r>
        <w:rPr/>
        <w:t>Poverty</w:t>
      </w:r>
      <w:r>
        <w:rPr>
          <w:spacing w:val="6"/>
        </w:rPr>
        <w:t> </w:t>
      </w:r>
      <w:r>
        <w:rPr/>
        <w:t>Index:</w:t>
      </w:r>
      <w:r>
        <w:rPr>
          <w:spacing w:val="6"/>
        </w:rPr>
        <w:t> </w:t>
      </w:r>
      <w:r>
        <w:rPr/>
        <w:t>Development</w:t>
      </w:r>
      <w:r>
        <w:rPr>
          <w:spacing w:val="8"/>
        </w:rPr>
        <w:t> </w:t>
      </w:r>
      <w:r>
        <w:rPr/>
        <w:t>and</w:t>
      </w:r>
      <w:r>
        <w:rPr>
          <w:spacing w:val="6"/>
        </w:rPr>
        <w:t> </w:t>
      </w:r>
      <w:r>
        <w:rPr/>
        <w:t>Application</w:t>
      </w:r>
      <w:r>
        <w:rPr>
          <w:spacing w:val="5"/>
        </w:rPr>
        <w:t> </w:t>
      </w:r>
      <w:r>
        <w:rPr/>
        <w:t>at</w:t>
      </w:r>
      <w:r>
        <w:rPr>
          <w:spacing w:val="7"/>
        </w:rPr>
        <w:t> </w:t>
      </w:r>
      <w:r>
        <w:rPr/>
        <w:t>the</w:t>
      </w:r>
      <w:r>
        <w:rPr>
          <w:spacing w:val="5"/>
        </w:rPr>
        <w:t> </w:t>
      </w:r>
      <w:r>
        <w:rPr/>
        <w:t>community</w:t>
      </w:r>
      <w:r>
        <w:rPr>
          <w:spacing w:val="-1"/>
        </w:rPr>
        <w:t> </w:t>
      </w:r>
      <w:r>
        <w:rPr>
          <w:spacing w:val="-2"/>
        </w:rPr>
        <w:t>scale.</w:t>
      </w:r>
    </w:p>
    <w:p>
      <w:pPr>
        <w:spacing w:before="0"/>
        <w:ind w:left="547" w:right="0" w:firstLine="0"/>
        <w:jc w:val="left"/>
        <w:rPr>
          <w:sz w:val="24"/>
        </w:rPr>
      </w:pPr>
      <w:r>
        <w:rPr>
          <w:i/>
          <w:sz w:val="24"/>
        </w:rPr>
        <w:t>Natural</w:t>
      </w:r>
      <w:r>
        <w:rPr>
          <w:i/>
          <w:spacing w:val="-2"/>
          <w:sz w:val="24"/>
        </w:rPr>
        <w:t> </w:t>
      </w:r>
      <w:r>
        <w:rPr>
          <w:i/>
          <w:sz w:val="24"/>
        </w:rPr>
        <w:t>Resources</w:t>
      </w:r>
      <w:r>
        <w:rPr>
          <w:i/>
          <w:spacing w:val="-1"/>
          <w:sz w:val="24"/>
        </w:rPr>
        <w:t> </w:t>
      </w:r>
      <w:r>
        <w:rPr>
          <w:i/>
          <w:sz w:val="24"/>
        </w:rPr>
        <w:t>Forum</w:t>
      </w:r>
      <w:r>
        <w:rPr>
          <w:i/>
          <w:spacing w:val="-2"/>
          <w:sz w:val="24"/>
        </w:rPr>
        <w:t> </w:t>
      </w:r>
      <w:r>
        <w:rPr>
          <w:sz w:val="24"/>
        </w:rPr>
        <w:t>27(3),</w:t>
      </w:r>
      <w:r>
        <w:rPr>
          <w:spacing w:val="-1"/>
          <w:sz w:val="24"/>
        </w:rPr>
        <w:t> </w:t>
      </w:r>
      <w:r>
        <w:rPr>
          <w:sz w:val="24"/>
        </w:rPr>
        <w:t>189-</w:t>
      </w:r>
      <w:r>
        <w:rPr>
          <w:spacing w:val="-4"/>
          <w:sz w:val="24"/>
        </w:rPr>
        <w:t>199.</w:t>
      </w:r>
    </w:p>
    <w:p>
      <w:pPr>
        <w:pStyle w:val="BodyText"/>
      </w:pPr>
    </w:p>
    <w:p>
      <w:pPr>
        <w:pStyle w:val="BodyText"/>
        <w:ind w:left="547" w:right="114" w:hanging="432"/>
        <w:jc w:val="both"/>
      </w:pPr>
      <w:r>
        <w:rPr/>
        <w:t>Sullivan,</w:t>
      </w:r>
      <w:r>
        <w:rPr>
          <w:spacing w:val="-15"/>
        </w:rPr>
        <w:t> </w:t>
      </w:r>
      <w:r>
        <w:rPr/>
        <w:t>C.,</w:t>
      </w:r>
      <w:r>
        <w:rPr>
          <w:spacing w:val="-15"/>
        </w:rPr>
        <w:t> </w:t>
      </w:r>
      <w:r>
        <w:rPr/>
        <w:t>Meigh,</w:t>
      </w:r>
      <w:r>
        <w:rPr>
          <w:spacing w:val="-15"/>
        </w:rPr>
        <w:t> </w:t>
      </w:r>
      <w:r>
        <w:rPr/>
        <w:t>J.,</w:t>
      </w:r>
      <w:r>
        <w:rPr>
          <w:spacing w:val="-15"/>
        </w:rPr>
        <w:t> </w:t>
      </w:r>
      <w:r>
        <w:rPr/>
        <w:t>&amp;</w:t>
      </w:r>
      <w:r>
        <w:rPr>
          <w:spacing w:val="-15"/>
        </w:rPr>
        <w:t> </w:t>
      </w:r>
      <w:r>
        <w:rPr/>
        <w:t>Lawrence,</w:t>
      </w:r>
      <w:r>
        <w:rPr>
          <w:spacing w:val="-15"/>
        </w:rPr>
        <w:t> </w:t>
      </w:r>
      <w:r>
        <w:rPr/>
        <w:t>P.</w:t>
      </w:r>
      <w:r>
        <w:rPr>
          <w:spacing w:val="-15"/>
        </w:rPr>
        <w:t> </w:t>
      </w:r>
      <w:r>
        <w:rPr/>
        <w:t>(2006).</w:t>
      </w:r>
      <w:r>
        <w:rPr>
          <w:spacing w:val="-15"/>
        </w:rPr>
        <w:t> </w:t>
      </w:r>
      <w:r>
        <w:rPr/>
        <w:t>Application</w:t>
      </w:r>
      <w:r>
        <w:rPr>
          <w:spacing w:val="-14"/>
        </w:rPr>
        <w:t> </w:t>
      </w:r>
      <w:r>
        <w:rPr/>
        <w:t>of</w:t>
      </w:r>
      <w:r>
        <w:rPr>
          <w:spacing w:val="-15"/>
        </w:rPr>
        <w:t> </w:t>
      </w:r>
      <w:r>
        <w:rPr/>
        <w:t>the</w:t>
      </w:r>
      <w:r>
        <w:rPr>
          <w:spacing w:val="-15"/>
        </w:rPr>
        <w:t> </w:t>
      </w:r>
      <w:r>
        <w:rPr/>
        <w:t>water</w:t>
      </w:r>
      <w:r>
        <w:rPr>
          <w:spacing w:val="-15"/>
        </w:rPr>
        <w:t> </w:t>
      </w:r>
      <w:r>
        <w:rPr/>
        <w:t>poverty</w:t>
      </w:r>
      <w:r>
        <w:rPr>
          <w:spacing w:val="-15"/>
        </w:rPr>
        <w:t> </w:t>
      </w:r>
      <w:r>
        <w:rPr/>
        <w:t>index</w:t>
      </w:r>
      <w:r>
        <w:rPr>
          <w:spacing w:val="-13"/>
        </w:rPr>
        <w:t> </w:t>
      </w:r>
      <w:r>
        <w:rPr/>
        <w:t>at</w:t>
      </w:r>
      <w:r>
        <w:rPr>
          <w:spacing w:val="-14"/>
        </w:rPr>
        <w:t> </w:t>
      </w:r>
      <w:r>
        <w:rPr/>
        <w:t>different scales: A cautionary tale. </w:t>
      </w:r>
      <w:r>
        <w:rPr>
          <w:i/>
        </w:rPr>
        <w:t>Water International, </w:t>
      </w:r>
      <w:r>
        <w:rPr/>
        <w:t>31(3), 412-426.</w:t>
      </w:r>
    </w:p>
    <w:p>
      <w:pPr>
        <w:pStyle w:val="BodyText"/>
      </w:pPr>
    </w:p>
    <w:p>
      <w:pPr>
        <w:pStyle w:val="BodyText"/>
        <w:ind w:left="547" w:right="108" w:hanging="432"/>
        <w:jc w:val="both"/>
      </w:pPr>
      <w:r>
        <w:rPr/>
        <w:t>Sullivan, C. A., &amp; Meigh, J. (2007). Integration of the biophysical and social sciences using an indicator approach: Addressing water problems at different scales. </w:t>
      </w:r>
      <w:r>
        <w:rPr>
          <w:i/>
        </w:rPr>
        <w:t>Water resources management</w:t>
      </w:r>
      <w:r>
        <w:rPr/>
        <w:t>, </w:t>
      </w:r>
      <w:r>
        <w:rPr>
          <w:i/>
        </w:rPr>
        <w:t>21</w:t>
      </w:r>
      <w:r>
        <w:rPr/>
        <w:t>(1), 111-128.</w:t>
      </w:r>
    </w:p>
    <w:p>
      <w:pPr>
        <w:pStyle w:val="BodyText"/>
        <w:spacing w:before="1"/>
      </w:pPr>
    </w:p>
    <w:p>
      <w:pPr>
        <w:spacing w:before="0"/>
        <w:ind w:left="547" w:right="109" w:hanging="432"/>
        <w:jc w:val="both"/>
        <w:rPr>
          <w:sz w:val="24"/>
        </w:rPr>
      </w:pPr>
      <w:r>
        <w:rPr>
          <w:sz w:val="24"/>
        </w:rPr>
        <w:t>Sullivan,</w:t>
      </w:r>
      <w:r>
        <w:rPr>
          <w:spacing w:val="-6"/>
          <w:sz w:val="24"/>
        </w:rPr>
        <w:t> </w:t>
      </w:r>
      <w:r>
        <w:rPr>
          <w:sz w:val="24"/>
        </w:rPr>
        <w:t>C.A.,</w:t>
      </w:r>
      <w:r>
        <w:rPr>
          <w:spacing w:val="-6"/>
          <w:sz w:val="24"/>
        </w:rPr>
        <w:t> </w:t>
      </w:r>
      <w:r>
        <w:rPr>
          <w:sz w:val="24"/>
        </w:rPr>
        <w:t>&amp;</w:t>
      </w:r>
      <w:r>
        <w:rPr>
          <w:spacing w:val="-8"/>
          <w:sz w:val="24"/>
        </w:rPr>
        <w:t> </w:t>
      </w:r>
      <w:r>
        <w:rPr>
          <w:sz w:val="24"/>
        </w:rPr>
        <w:t>Jemmali,</w:t>
      </w:r>
      <w:r>
        <w:rPr>
          <w:spacing w:val="-6"/>
          <w:sz w:val="24"/>
        </w:rPr>
        <w:t> </w:t>
      </w:r>
      <w:r>
        <w:rPr>
          <w:sz w:val="24"/>
        </w:rPr>
        <w:t>H.</w:t>
      </w:r>
      <w:r>
        <w:rPr>
          <w:spacing w:val="-6"/>
          <w:sz w:val="24"/>
        </w:rPr>
        <w:t> </w:t>
      </w:r>
      <w:r>
        <w:rPr>
          <w:sz w:val="24"/>
        </w:rPr>
        <w:t>(2014).</w:t>
      </w:r>
      <w:r>
        <w:rPr>
          <w:spacing w:val="-5"/>
          <w:sz w:val="24"/>
        </w:rPr>
        <w:t> </w:t>
      </w:r>
      <w:r>
        <w:rPr>
          <w:i/>
          <w:sz w:val="24"/>
        </w:rPr>
        <w:t>Toward</w:t>
      </w:r>
      <w:r>
        <w:rPr>
          <w:i/>
          <w:spacing w:val="-6"/>
          <w:sz w:val="24"/>
        </w:rPr>
        <w:t> </w:t>
      </w:r>
      <w:r>
        <w:rPr>
          <w:i/>
          <w:sz w:val="24"/>
        </w:rPr>
        <w:t>understanding</w:t>
      </w:r>
      <w:r>
        <w:rPr>
          <w:i/>
          <w:spacing w:val="-5"/>
          <w:sz w:val="24"/>
        </w:rPr>
        <w:t> </w:t>
      </w:r>
      <w:r>
        <w:rPr>
          <w:i/>
          <w:sz w:val="24"/>
        </w:rPr>
        <w:t>water</w:t>
      </w:r>
      <w:r>
        <w:rPr>
          <w:i/>
          <w:spacing w:val="-6"/>
          <w:sz w:val="24"/>
        </w:rPr>
        <w:t> </w:t>
      </w:r>
      <w:r>
        <w:rPr>
          <w:i/>
          <w:sz w:val="24"/>
        </w:rPr>
        <w:t>conflicts</w:t>
      </w:r>
      <w:r>
        <w:rPr>
          <w:i/>
          <w:spacing w:val="-5"/>
          <w:sz w:val="24"/>
        </w:rPr>
        <w:t> </w:t>
      </w:r>
      <w:r>
        <w:rPr>
          <w:i/>
          <w:sz w:val="24"/>
        </w:rPr>
        <w:t>in</w:t>
      </w:r>
      <w:r>
        <w:rPr>
          <w:i/>
          <w:spacing w:val="-5"/>
          <w:sz w:val="24"/>
        </w:rPr>
        <w:t> </w:t>
      </w:r>
      <w:r>
        <w:rPr>
          <w:i/>
          <w:sz w:val="24"/>
        </w:rPr>
        <w:t>Mena</w:t>
      </w:r>
      <w:r>
        <w:rPr>
          <w:i/>
          <w:spacing w:val="-6"/>
          <w:sz w:val="24"/>
        </w:rPr>
        <w:t> </w:t>
      </w:r>
      <w:r>
        <w:rPr>
          <w:i/>
          <w:sz w:val="24"/>
        </w:rPr>
        <w:t>Region:</w:t>
      </w:r>
      <w:r>
        <w:rPr>
          <w:i/>
          <w:spacing w:val="-4"/>
          <w:sz w:val="24"/>
        </w:rPr>
        <w:t> </w:t>
      </w:r>
      <w:r>
        <w:rPr>
          <w:sz w:val="24"/>
        </w:rPr>
        <w:t>A Comparative analysis using Water Poverty Index. Working Paper 859.</w:t>
      </w:r>
    </w:p>
    <w:p>
      <w:pPr>
        <w:pStyle w:val="BodyText"/>
      </w:pPr>
    </w:p>
    <w:p>
      <w:pPr>
        <w:spacing w:before="0"/>
        <w:ind w:left="547" w:right="110" w:hanging="432"/>
        <w:jc w:val="both"/>
        <w:rPr>
          <w:sz w:val="24"/>
        </w:rPr>
      </w:pPr>
      <w:r>
        <w:rPr>
          <w:sz w:val="24"/>
        </w:rPr>
        <w:t>Swamee, P.K., &amp; Tyagi, A. (2000). Describing water quality with aggregate index. </w:t>
      </w:r>
      <w:r>
        <w:rPr>
          <w:i/>
          <w:sz w:val="24"/>
        </w:rPr>
        <w:t>Journal of Environmental Engineering, </w:t>
      </w:r>
      <w:r>
        <w:rPr>
          <w:sz w:val="24"/>
        </w:rPr>
        <w:t>134(8), 689-701.</w:t>
      </w:r>
    </w:p>
    <w:p>
      <w:pPr>
        <w:pStyle w:val="BodyText"/>
        <w:spacing w:before="273"/>
        <w:ind w:left="115"/>
      </w:pPr>
      <w:r>
        <w:rPr/>
        <w:t>Swamee,</w:t>
      </w:r>
      <w:r>
        <w:rPr>
          <w:spacing w:val="-16"/>
        </w:rPr>
        <w:t> </w:t>
      </w:r>
      <w:r>
        <w:rPr/>
        <w:t>P.K.,</w:t>
      </w:r>
      <w:r>
        <w:rPr>
          <w:spacing w:val="-11"/>
        </w:rPr>
        <w:t> </w:t>
      </w:r>
      <w:r>
        <w:rPr/>
        <w:t>&amp;</w:t>
      </w:r>
      <w:r>
        <w:rPr>
          <w:spacing w:val="-13"/>
        </w:rPr>
        <w:t> </w:t>
      </w:r>
      <w:r>
        <w:rPr/>
        <w:t>Tyagi,</w:t>
      </w:r>
      <w:r>
        <w:rPr>
          <w:spacing w:val="-11"/>
        </w:rPr>
        <w:t> </w:t>
      </w:r>
      <w:r>
        <w:rPr/>
        <w:t>A.</w:t>
      </w:r>
      <w:r>
        <w:rPr>
          <w:spacing w:val="-13"/>
        </w:rPr>
        <w:t> </w:t>
      </w:r>
      <w:r>
        <w:rPr/>
        <w:t>(2007).</w:t>
      </w:r>
      <w:r>
        <w:rPr>
          <w:spacing w:val="-10"/>
        </w:rPr>
        <w:t> </w:t>
      </w:r>
      <w:r>
        <w:rPr/>
        <w:t>Improved</w:t>
      </w:r>
      <w:r>
        <w:rPr>
          <w:spacing w:val="-11"/>
        </w:rPr>
        <w:t> </w:t>
      </w:r>
      <w:r>
        <w:rPr/>
        <w:t>method</w:t>
      </w:r>
      <w:r>
        <w:rPr>
          <w:spacing w:val="-13"/>
        </w:rPr>
        <w:t> </w:t>
      </w:r>
      <w:r>
        <w:rPr/>
        <w:t>for</w:t>
      </w:r>
      <w:r>
        <w:rPr>
          <w:spacing w:val="-13"/>
        </w:rPr>
        <w:t> </w:t>
      </w:r>
      <w:r>
        <w:rPr/>
        <w:t>aggregation</w:t>
      </w:r>
      <w:r>
        <w:rPr>
          <w:spacing w:val="-13"/>
        </w:rPr>
        <w:t> </w:t>
      </w:r>
      <w:r>
        <w:rPr/>
        <w:t>of</w:t>
      </w:r>
      <w:r>
        <w:rPr>
          <w:spacing w:val="-8"/>
        </w:rPr>
        <w:t> </w:t>
      </w:r>
      <w:r>
        <w:rPr/>
        <w:t>water</w:t>
      </w:r>
      <w:r>
        <w:rPr>
          <w:spacing w:val="-14"/>
        </w:rPr>
        <w:t> </w:t>
      </w:r>
      <w:r>
        <w:rPr/>
        <w:t>quality</w:t>
      </w:r>
      <w:r>
        <w:rPr>
          <w:spacing w:val="-17"/>
        </w:rPr>
        <w:t> </w:t>
      </w:r>
      <w:r>
        <w:rPr>
          <w:spacing w:val="-2"/>
        </w:rPr>
        <w:t>subindices.</w:t>
      </w:r>
    </w:p>
    <w:p>
      <w:pPr>
        <w:spacing w:before="0"/>
        <w:ind w:left="547" w:right="0" w:firstLine="0"/>
        <w:jc w:val="left"/>
        <w:rPr>
          <w:sz w:val="24"/>
        </w:rPr>
      </w:pPr>
      <w:r>
        <w:rPr>
          <w:i/>
          <w:sz w:val="24"/>
        </w:rPr>
        <w:t>Journal</w:t>
      </w:r>
      <w:r>
        <w:rPr>
          <w:i/>
          <w:spacing w:val="-2"/>
          <w:sz w:val="24"/>
        </w:rPr>
        <w:t> </w:t>
      </w:r>
      <w:r>
        <w:rPr>
          <w:i/>
          <w:sz w:val="24"/>
        </w:rPr>
        <w:t>of</w:t>
      </w:r>
      <w:r>
        <w:rPr>
          <w:i/>
          <w:spacing w:val="-1"/>
          <w:sz w:val="24"/>
        </w:rPr>
        <w:t> </w:t>
      </w:r>
      <w:r>
        <w:rPr>
          <w:i/>
          <w:sz w:val="24"/>
        </w:rPr>
        <w:t>Environmental</w:t>
      </w:r>
      <w:r>
        <w:rPr>
          <w:i/>
          <w:spacing w:val="-1"/>
          <w:sz w:val="24"/>
        </w:rPr>
        <w:t> </w:t>
      </w:r>
      <w:r>
        <w:rPr>
          <w:i/>
          <w:sz w:val="24"/>
        </w:rPr>
        <w:t>Engineering,</w:t>
      </w:r>
      <w:r>
        <w:rPr>
          <w:i/>
          <w:spacing w:val="1"/>
          <w:sz w:val="24"/>
        </w:rPr>
        <w:t> </w:t>
      </w:r>
      <w:r>
        <w:rPr>
          <w:sz w:val="24"/>
        </w:rPr>
        <w:t>133(2),</w:t>
      </w:r>
      <w:r>
        <w:rPr>
          <w:spacing w:val="-1"/>
          <w:sz w:val="24"/>
        </w:rPr>
        <w:t> </w:t>
      </w:r>
      <w:r>
        <w:rPr>
          <w:sz w:val="24"/>
        </w:rPr>
        <w:t>220-</w:t>
      </w:r>
      <w:r>
        <w:rPr>
          <w:spacing w:val="-4"/>
          <w:sz w:val="24"/>
        </w:rPr>
        <w:t>225.</w:t>
      </w:r>
    </w:p>
    <w:p>
      <w:pPr>
        <w:spacing w:after="0"/>
        <w:jc w:val="left"/>
        <w:rPr>
          <w:sz w:val="24"/>
        </w:rPr>
        <w:sectPr>
          <w:pgSz w:w="12240" w:h="15840"/>
          <w:pgMar w:header="0" w:footer="1068" w:top="1340" w:bottom="1260" w:left="1440" w:right="1300"/>
        </w:sectPr>
      </w:pPr>
    </w:p>
    <w:p>
      <w:pPr>
        <w:pStyle w:val="BodyText"/>
        <w:spacing w:before="63"/>
        <w:ind w:left="547" w:right="112" w:hanging="432"/>
        <w:jc w:val="both"/>
      </w:pPr>
      <w:r>
        <w:rPr/>
        <w:t>Swatuk,</w:t>
      </w:r>
      <w:r>
        <w:rPr>
          <w:spacing w:val="-10"/>
        </w:rPr>
        <w:t> </w:t>
      </w:r>
      <w:r>
        <w:rPr/>
        <w:t>L.</w:t>
      </w:r>
      <w:r>
        <w:rPr>
          <w:spacing w:val="-13"/>
        </w:rPr>
        <w:t> </w:t>
      </w:r>
      <w:r>
        <w:rPr/>
        <w:t>A.</w:t>
      </w:r>
      <w:r>
        <w:rPr>
          <w:spacing w:val="-11"/>
        </w:rPr>
        <w:t> </w:t>
      </w:r>
      <w:r>
        <w:rPr/>
        <w:t>(2002).</w:t>
      </w:r>
      <w:r>
        <w:rPr>
          <w:spacing w:val="-14"/>
        </w:rPr>
        <w:t> </w:t>
      </w:r>
      <w:r>
        <w:rPr/>
        <w:t>The</w:t>
      </w:r>
      <w:r>
        <w:rPr>
          <w:spacing w:val="-14"/>
        </w:rPr>
        <w:t> </w:t>
      </w:r>
      <w:r>
        <w:rPr/>
        <w:t>new</w:t>
      </w:r>
      <w:r>
        <w:rPr>
          <w:spacing w:val="-14"/>
        </w:rPr>
        <w:t> </w:t>
      </w:r>
      <w:r>
        <w:rPr/>
        <w:t>water</w:t>
      </w:r>
      <w:r>
        <w:rPr>
          <w:spacing w:val="-14"/>
        </w:rPr>
        <w:t> </w:t>
      </w:r>
      <w:r>
        <w:rPr/>
        <w:t>architecture</w:t>
      </w:r>
      <w:r>
        <w:rPr>
          <w:spacing w:val="-14"/>
        </w:rPr>
        <w:t> </w:t>
      </w:r>
      <w:r>
        <w:rPr/>
        <w:t>in</w:t>
      </w:r>
      <w:r>
        <w:rPr>
          <w:spacing w:val="-13"/>
        </w:rPr>
        <w:t> </w:t>
      </w:r>
      <w:r>
        <w:rPr/>
        <w:t>southern</w:t>
      </w:r>
      <w:r>
        <w:rPr>
          <w:spacing w:val="-14"/>
        </w:rPr>
        <w:t> </w:t>
      </w:r>
      <w:r>
        <w:rPr/>
        <w:t>Africa:</w:t>
      </w:r>
      <w:r>
        <w:rPr>
          <w:spacing w:val="-13"/>
        </w:rPr>
        <w:t> </w:t>
      </w:r>
      <w:r>
        <w:rPr/>
        <w:t>reflections</w:t>
      </w:r>
      <w:r>
        <w:rPr>
          <w:spacing w:val="-12"/>
        </w:rPr>
        <w:t> </w:t>
      </w:r>
      <w:r>
        <w:rPr/>
        <w:t>on</w:t>
      </w:r>
      <w:r>
        <w:rPr>
          <w:spacing w:val="-13"/>
        </w:rPr>
        <w:t> </w:t>
      </w:r>
      <w:r>
        <w:rPr/>
        <w:t>current</w:t>
      </w:r>
      <w:r>
        <w:rPr>
          <w:spacing w:val="-13"/>
        </w:rPr>
        <w:t> </w:t>
      </w:r>
      <w:r>
        <w:rPr/>
        <w:t>trends in the light of ‘Rio+ 10’. </w:t>
      </w:r>
      <w:r>
        <w:rPr>
          <w:i/>
        </w:rPr>
        <w:t>International Affairs</w:t>
      </w:r>
      <w:r>
        <w:rPr/>
        <w:t>, </w:t>
      </w:r>
      <w:r>
        <w:rPr>
          <w:i/>
        </w:rPr>
        <w:t>78</w:t>
      </w:r>
      <w:r>
        <w:rPr/>
        <w:t>(3), 507-530.</w:t>
      </w:r>
    </w:p>
    <w:p>
      <w:pPr>
        <w:pStyle w:val="BodyText"/>
      </w:pPr>
    </w:p>
    <w:p>
      <w:pPr>
        <w:spacing w:before="0"/>
        <w:ind w:left="547" w:right="109" w:hanging="432"/>
        <w:jc w:val="both"/>
        <w:rPr>
          <w:sz w:val="24"/>
        </w:rPr>
      </w:pPr>
      <w:r>
        <w:rPr>
          <w:sz w:val="24"/>
        </w:rPr>
        <w:t>Swiss Agency for Development and Cooperation (SADC), (2008). </w:t>
      </w:r>
      <w:r>
        <w:rPr>
          <w:i/>
          <w:sz w:val="24"/>
        </w:rPr>
        <w:t>A human rights-based approach to water and sanitation</w:t>
      </w:r>
      <w:r>
        <w:rPr>
          <w:sz w:val="24"/>
        </w:rPr>
        <w:t>. Sweden: SADC.</w:t>
      </w:r>
    </w:p>
    <w:p>
      <w:pPr>
        <w:pStyle w:val="BodyText"/>
      </w:pPr>
    </w:p>
    <w:p>
      <w:pPr>
        <w:spacing w:before="0"/>
        <w:ind w:left="547" w:right="108" w:hanging="432"/>
        <w:jc w:val="both"/>
        <w:rPr>
          <w:sz w:val="24"/>
        </w:rPr>
      </w:pPr>
      <w:r>
        <w:rPr>
          <w:sz w:val="24"/>
        </w:rPr>
        <w:t>Taylor, R. (2009). Rethinking water scarcity: The role of storage. Eos. </w:t>
      </w:r>
      <w:r>
        <w:rPr>
          <w:i/>
          <w:sz w:val="24"/>
        </w:rPr>
        <w:t>Transactions American Geophysical Union, </w:t>
      </w:r>
      <w:r>
        <w:rPr>
          <w:sz w:val="24"/>
        </w:rPr>
        <w:t>90:</w:t>
      </w:r>
      <w:r>
        <w:rPr>
          <w:spacing w:val="40"/>
          <w:sz w:val="24"/>
        </w:rPr>
        <w:t> </w:t>
      </w:r>
      <w:r>
        <w:rPr>
          <w:sz w:val="24"/>
        </w:rPr>
        <w:t>237–238.</w:t>
      </w:r>
    </w:p>
    <w:p>
      <w:pPr>
        <w:pStyle w:val="BodyText"/>
      </w:pPr>
    </w:p>
    <w:p>
      <w:pPr>
        <w:pStyle w:val="BodyText"/>
        <w:ind w:left="547" w:right="115" w:hanging="432"/>
        <w:jc w:val="both"/>
      </w:pPr>
      <w:r>
        <w:rPr/>
        <w:t>Turton, A. R., &amp; Ohlsson, L. (1999). Water scarcity and social stability: towards a deeper understanding</w:t>
      </w:r>
      <w:r>
        <w:rPr>
          <w:spacing w:val="-6"/>
        </w:rPr>
        <w:t> </w:t>
      </w:r>
      <w:r>
        <w:rPr/>
        <w:t>of</w:t>
      </w:r>
      <w:r>
        <w:rPr>
          <w:spacing w:val="-3"/>
        </w:rPr>
        <w:t> </w:t>
      </w:r>
      <w:r>
        <w:rPr/>
        <w:t>the</w:t>
      </w:r>
      <w:r>
        <w:rPr>
          <w:spacing w:val="-5"/>
        </w:rPr>
        <w:t> </w:t>
      </w:r>
      <w:r>
        <w:rPr/>
        <w:t>key</w:t>
      </w:r>
      <w:r>
        <w:rPr>
          <w:spacing w:val="-6"/>
        </w:rPr>
        <w:t> </w:t>
      </w:r>
      <w:r>
        <w:rPr/>
        <w:t>concepts</w:t>
      </w:r>
      <w:r>
        <w:rPr>
          <w:spacing w:val="-3"/>
        </w:rPr>
        <w:t> </w:t>
      </w:r>
      <w:r>
        <w:rPr/>
        <w:t>needed</w:t>
      </w:r>
      <w:r>
        <w:rPr>
          <w:spacing w:val="-3"/>
        </w:rPr>
        <w:t> </w:t>
      </w:r>
      <w:r>
        <w:rPr/>
        <w:t>to</w:t>
      </w:r>
      <w:r>
        <w:rPr>
          <w:spacing w:val="-3"/>
        </w:rPr>
        <w:t> </w:t>
      </w:r>
      <w:r>
        <w:rPr/>
        <w:t>manage</w:t>
      </w:r>
      <w:r>
        <w:rPr>
          <w:spacing w:val="-2"/>
        </w:rPr>
        <w:t> </w:t>
      </w:r>
      <w:r>
        <w:rPr/>
        <w:t>water</w:t>
      </w:r>
      <w:r>
        <w:rPr>
          <w:spacing w:val="-5"/>
        </w:rPr>
        <w:t> </w:t>
      </w:r>
      <w:r>
        <w:rPr/>
        <w:t>scarcity</w:t>
      </w:r>
      <w:r>
        <w:rPr>
          <w:spacing w:val="-8"/>
        </w:rPr>
        <w:t> </w:t>
      </w:r>
      <w:r>
        <w:rPr/>
        <w:t>in</w:t>
      </w:r>
      <w:r>
        <w:rPr>
          <w:spacing w:val="-3"/>
        </w:rPr>
        <w:t> </w:t>
      </w:r>
      <w:r>
        <w:rPr/>
        <w:t>developing</w:t>
      </w:r>
      <w:r>
        <w:rPr>
          <w:spacing w:val="-5"/>
        </w:rPr>
        <w:t> </w:t>
      </w:r>
      <w:r>
        <w:rPr/>
        <w:t>countries. SOAS Working Paper. (University of London, London).</w:t>
      </w:r>
    </w:p>
    <w:p>
      <w:pPr>
        <w:pStyle w:val="BodyText"/>
        <w:spacing w:before="1"/>
      </w:pPr>
    </w:p>
    <w:p>
      <w:pPr>
        <w:pStyle w:val="BodyText"/>
        <w:ind w:left="547" w:right="109" w:hanging="432"/>
        <w:jc w:val="both"/>
      </w:pPr>
      <w:r>
        <w:rPr/>
        <w:t>Um,</w:t>
      </w:r>
      <w:r>
        <w:rPr>
          <w:spacing w:val="-7"/>
        </w:rPr>
        <w:t> </w:t>
      </w:r>
      <w:r>
        <w:rPr/>
        <w:t>M.,</w:t>
      </w:r>
      <w:r>
        <w:rPr>
          <w:spacing w:val="-7"/>
        </w:rPr>
        <w:t> </w:t>
      </w:r>
      <w:r>
        <w:rPr/>
        <w:t>Kwak,</w:t>
      </w:r>
      <w:r>
        <w:rPr>
          <w:spacing w:val="-7"/>
        </w:rPr>
        <w:t> </w:t>
      </w:r>
      <w:r>
        <w:rPr/>
        <w:t>S.,</w:t>
      </w:r>
      <w:r>
        <w:rPr>
          <w:spacing w:val="-5"/>
        </w:rPr>
        <w:t> </w:t>
      </w:r>
      <w:r>
        <w:rPr/>
        <w:t>&amp;</w:t>
      </w:r>
      <w:r>
        <w:rPr>
          <w:spacing w:val="-9"/>
        </w:rPr>
        <w:t> </w:t>
      </w:r>
      <w:r>
        <w:rPr/>
        <w:t>Kim,</w:t>
      </w:r>
      <w:r>
        <w:rPr>
          <w:spacing w:val="-6"/>
        </w:rPr>
        <w:t> </w:t>
      </w:r>
      <w:r>
        <w:rPr/>
        <w:t>T.</w:t>
      </w:r>
      <w:r>
        <w:rPr>
          <w:spacing w:val="-8"/>
        </w:rPr>
        <w:t> </w:t>
      </w:r>
      <w:r>
        <w:rPr/>
        <w:t>(2002).</w:t>
      </w:r>
      <w:r>
        <w:rPr>
          <w:spacing w:val="-6"/>
        </w:rPr>
        <w:t> </w:t>
      </w:r>
      <w:r>
        <w:rPr/>
        <w:t>Estimating</w:t>
      </w:r>
      <w:r>
        <w:rPr>
          <w:spacing w:val="-7"/>
        </w:rPr>
        <w:t> </w:t>
      </w:r>
      <w:r>
        <w:rPr/>
        <w:t>willingness</w:t>
      </w:r>
      <w:r>
        <w:rPr>
          <w:spacing w:val="-7"/>
        </w:rPr>
        <w:t> </w:t>
      </w:r>
      <w:r>
        <w:rPr/>
        <w:t>to</w:t>
      </w:r>
      <w:r>
        <w:rPr>
          <w:spacing w:val="-7"/>
        </w:rPr>
        <w:t> </w:t>
      </w:r>
      <w:r>
        <w:rPr/>
        <w:t>pay</w:t>
      </w:r>
      <w:r>
        <w:rPr>
          <w:spacing w:val="-11"/>
        </w:rPr>
        <w:t> </w:t>
      </w:r>
      <w:r>
        <w:rPr/>
        <w:t>for</w:t>
      </w:r>
      <w:r>
        <w:rPr>
          <w:spacing w:val="-8"/>
        </w:rPr>
        <w:t> </w:t>
      </w:r>
      <w:r>
        <w:rPr/>
        <w:t>improved</w:t>
      </w:r>
      <w:r>
        <w:rPr>
          <w:spacing w:val="-7"/>
        </w:rPr>
        <w:t> </w:t>
      </w:r>
      <w:r>
        <w:rPr/>
        <w:t>drinking</w:t>
      </w:r>
      <w:r>
        <w:rPr>
          <w:spacing w:val="-7"/>
        </w:rPr>
        <w:t> </w:t>
      </w:r>
      <w:r>
        <w:rPr/>
        <w:t>water quality using averting behavior method with perception measure. </w:t>
      </w:r>
      <w:r>
        <w:rPr>
          <w:i/>
        </w:rPr>
        <w:t>Environment Resource Economy </w:t>
      </w:r>
      <w:r>
        <w:rPr/>
        <w:t>21(3), 287–302.</w:t>
      </w:r>
    </w:p>
    <w:p>
      <w:pPr>
        <w:pStyle w:val="BodyText"/>
      </w:pPr>
    </w:p>
    <w:p>
      <w:pPr>
        <w:spacing w:before="0"/>
        <w:ind w:left="115" w:right="0" w:firstLine="0"/>
        <w:jc w:val="left"/>
        <w:rPr>
          <w:sz w:val="24"/>
        </w:rPr>
      </w:pPr>
      <w:r>
        <w:rPr>
          <w:sz w:val="24"/>
        </w:rPr>
        <w:t>UN</w:t>
      </w:r>
      <w:r>
        <w:rPr>
          <w:spacing w:val="75"/>
          <w:sz w:val="24"/>
        </w:rPr>
        <w:t> </w:t>
      </w:r>
      <w:r>
        <w:rPr>
          <w:sz w:val="24"/>
        </w:rPr>
        <w:t>(2015).</w:t>
      </w:r>
      <w:r>
        <w:rPr>
          <w:spacing w:val="77"/>
          <w:sz w:val="24"/>
        </w:rPr>
        <w:t> </w:t>
      </w:r>
      <w:r>
        <w:rPr>
          <w:sz w:val="24"/>
        </w:rPr>
        <w:t>Sustainable</w:t>
      </w:r>
      <w:r>
        <w:rPr>
          <w:spacing w:val="79"/>
          <w:sz w:val="24"/>
        </w:rPr>
        <w:t> </w:t>
      </w:r>
      <w:r>
        <w:rPr>
          <w:sz w:val="24"/>
        </w:rPr>
        <w:t>Development</w:t>
      </w:r>
      <w:r>
        <w:rPr>
          <w:spacing w:val="50"/>
          <w:w w:val="150"/>
          <w:sz w:val="24"/>
        </w:rPr>
        <w:t> </w:t>
      </w:r>
      <w:r>
        <w:rPr>
          <w:sz w:val="24"/>
        </w:rPr>
        <w:t>Goals:</w:t>
      </w:r>
      <w:r>
        <w:rPr>
          <w:spacing w:val="51"/>
          <w:w w:val="150"/>
          <w:sz w:val="24"/>
        </w:rPr>
        <w:t> </w:t>
      </w:r>
      <w:r>
        <w:rPr>
          <w:sz w:val="24"/>
        </w:rPr>
        <w:t>2030</w:t>
      </w:r>
      <w:r>
        <w:rPr>
          <w:spacing w:val="52"/>
          <w:w w:val="150"/>
          <w:sz w:val="24"/>
        </w:rPr>
        <w:t> </w:t>
      </w:r>
      <w:r>
        <w:rPr>
          <w:i/>
          <w:sz w:val="24"/>
        </w:rPr>
        <w:t>Agenda</w:t>
      </w:r>
      <w:r>
        <w:rPr>
          <w:i/>
          <w:spacing w:val="77"/>
          <w:sz w:val="24"/>
        </w:rPr>
        <w:t> </w:t>
      </w:r>
      <w:r>
        <w:rPr>
          <w:i/>
          <w:sz w:val="24"/>
        </w:rPr>
        <w:t>for</w:t>
      </w:r>
      <w:r>
        <w:rPr>
          <w:i/>
          <w:spacing w:val="50"/>
          <w:w w:val="150"/>
          <w:sz w:val="24"/>
        </w:rPr>
        <w:t> </w:t>
      </w:r>
      <w:r>
        <w:rPr>
          <w:i/>
          <w:sz w:val="24"/>
        </w:rPr>
        <w:t>Sustainable</w:t>
      </w:r>
      <w:r>
        <w:rPr>
          <w:i/>
          <w:spacing w:val="78"/>
          <w:sz w:val="24"/>
        </w:rPr>
        <w:t> </w:t>
      </w:r>
      <w:r>
        <w:rPr>
          <w:i/>
          <w:spacing w:val="-2"/>
          <w:sz w:val="24"/>
        </w:rPr>
        <w:t>Development</w:t>
      </w:r>
      <w:r>
        <w:rPr>
          <w:spacing w:val="-2"/>
          <w:sz w:val="24"/>
        </w:rPr>
        <w:t>.</w:t>
      </w:r>
    </w:p>
    <w:p>
      <w:pPr>
        <w:pStyle w:val="BodyText"/>
        <w:ind w:left="547"/>
      </w:pPr>
      <w:r>
        <w:rPr/>
        <w:t>Available</w:t>
      </w:r>
      <w:r>
        <w:rPr>
          <w:spacing w:val="-5"/>
        </w:rPr>
        <w:t> </w:t>
      </w:r>
      <w:r>
        <w:rPr/>
        <w:t>at:</w:t>
      </w:r>
      <w:r>
        <w:rPr>
          <w:spacing w:val="-1"/>
        </w:rPr>
        <w:t> </w:t>
      </w:r>
      <w:hyperlink r:id="rId77">
        <w:r>
          <w:rPr>
            <w:spacing w:val="-2"/>
            <w:u w:val="single"/>
          </w:rPr>
          <w:t>https://sustainabledevelopment.un.org/?menu=1300</w:t>
        </w:r>
      </w:hyperlink>
      <w:r>
        <w:rPr>
          <w:spacing w:val="-2"/>
        </w:rPr>
        <w:t>.</w:t>
      </w:r>
    </w:p>
    <w:p>
      <w:pPr>
        <w:pStyle w:val="BodyText"/>
      </w:pPr>
    </w:p>
    <w:p>
      <w:pPr>
        <w:pStyle w:val="BodyText"/>
        <w:ind w:left="115"/>
      </w:pPr>
      <w:r>
        <w:rPr/>
        <w:t>UNCED</w:t>
      </w:r>
      <w:r>
        <w:rPr>
          <w:spacing w:val="17"/>
        </w:rPr>
        <w:t> </w:t>
      </w:r>
      <w:r>
        <w:rPr/>
        <w:t>(1992).</w:t>
      </w:r>
      <w:r>
        <w:rPr>
          <w:spacing w:val="20"/>
        </w:rPr>
        <w:t> </w:t>
      </w:r>
      <w:r>
        <w:rPr/>
        <w:t>Report</w:t>
      </w:r>
      <w:r>
        <w:rPr>
          <w:spacing w:val="22"/>
        </w:rPr>
        <w:t> </w:t>
      </w:r>
      <w:r>
        <w:rPr/>
        <w:t>of</w:t>
      </w:r>
      <w:r>
        <w:rPr>
          <w:spacing w:val="20"/>
        </w:rPr>
        <w:t> </w:t>
      </w:r>
      <w:r>
        <w:rPr/>
        <w:t>the</w:t>
      </w:r>
      <w:r>
        <w:rPr>
          <w:spacing w:val="20"/>
        </w:rPr>
        <w:t> </w:t>
      </w:r>
      <w:r>
        <w:rPr/>
        <w:t>United</w:t>
      </w:r>
      <w:r>
        <w:rPr>
          <w:spacing w:val="19"/>
        </w:rPr>
        <w:t> </w:t>
      </w:r>
      <w:r>
        <w:rPr/>
        <w:t>Nations</w:t>
      </w:r>
      <w:r>
        <w:rPr>
          <w:spacing w:val="21"/>
        </w:rPr>
        <w:t> </w:t>
      </w:r>
      <w:r>
        <w:rPr/>
        <w:t>Conference</w:t>
      </w:r>
      <w:r>
        <w:rPr>
          <w:spacing w:val="20"/>
        </w:rPr>
        <w:t> </w:t>
      </w:r>
      <w:r>
        <w:rPr/>
        <w:t>on</w:t>
      </w:r>
      <w:r>
        <w:rPr>
          <w:spacing w:val="22"/>
        </w:rPr>
        <w:t> </w:t>
      </w:r>
      <w:r>
        <w:rPr/>
        <w:t>Environment</w:t>
      </w:r>
      <w:r>
        <w:rPr>
          <w:spacing w:val="21"/>
        </w:rPr>
        <w:t> </w:t>
      </w:r>
      <w:r>
        <w:rPr/>
        <w:t>and</w:t>
      </w:r>
      <w:r>
        <w:rPr>
          <w:spacing w:val="21"/>
        </w:rPr>
        <w:t> </w:t>
      </w:r>
      <w:r>
        <w:rPr>
          <w:spacing w:val="-2"/>
        </w:rPr>
        <w:t>Development.</w:t>
      </w:r>
    </w:p>
    <w:p>
      <w:pPr>
        <w:pStyle w:val="BodyText"/>
        <w:ind w:left="547"/>
      </w:pPr>
      <w:r>
        <w:rPr/>
        <w:t>New</w:t>
      </w:r>
      <w:r>
        <w:rPr>
          <w:spacing w:val="-2"/>
        </w:rPr>
        <w:t> </w:t>
      </w:r>
      <w:r>
        <w:rPr/>
        <w:t>York:</w:t>
      </w:r>
      <w:r>
        <w:rPr>
          <w:spacing w:val="-2"/>
        </w:rPr>
        <w:t> </w:t>
      </w:r>
      <w:r>
        <w:rPr/>
        <w:t>United</w:t>
      </w:r>
      <w:r>
        <w:rPr>
          <w:spacing w:val="1"/>
        </w:rPr>
        <w:t> </w:t>
      </w:r>
      <w:r>
        <w:rPr>
          <w:spacing w:val="-2"/>
        </w:rPr>
        <w:t>Nations.</w:t>
      </w:r>
    </w:p>
    <w:p>
      <w:pPr>
        <w:pStyle w:val="BodyText"/>
      </w:pPr>
    </w:p>
    <w:p>
      <w:pPr>
        <w:spacing w:before="0"/>
        <w:ind w:left="115" w:right="0" w:firstLine="0"/>
        <w:jc w:val="left"/>
        <w:rPr>
          <w:i/>
          <w:sz w:val="24"/>
        </w:rPr>
      </w:pPr>
      <w:r>
        <w:rPr>
          <w:sz w:val="24"/>
        </w:rPr>
        <w:t>UN-Water,</w:t>
      </w:r>
      <w:r>
        <w:rPr>
          <w:spacing w:val="4"/>
          <w:sz w:val="24"/>
        </w:rPr>
        <w:t> </w:t>
      </w:r>
      <w:r>
        <w:rPr>
          <w:sz w:val="24"/>
        </w:rPr>
        <w:t>&amp;</w:t>
      </w:r>
      <w:r>
        <w:rPr>
          <w:spacing w:val="4"/>
          <w:sz w:val="24"/>
        </w:rPr>
        <w:t> </w:t>
      </w:r>
      <w:r>
        <w:rPr>
          <w:sz w:val="24"/>
        </w:rPr>
        <w:t>FAO</w:t>
      </w:r>
      <w:r>
        <w:rPr>
          <w:spacing w:val="5"/>
          <w:sz w:val="24"/>
        </w:rPr>
        <w:t> </w:t>
      </w:r>
      <w:r>
        <w:rPr>
          <w:sz w:val="24"/>
        </w:rPr>
        <w:t>(2007).</w:t>
      </w:r>
      <w:r>
        <w:rPr>
          <w:spacing w:val="2"/>
          <w:sz w:val="24"/>
        </w:rPr>
        <w:t> </w:t>
      </w:r>
      <w:r>
        <w:rPr>
          <w:sz w:val="24"/>
        </w:rPr>
        <w:t>Coping</w:t>
      </w:r>
      <w:r>
        <w:rPr>
          <w:spacing w:val="1"/>
          <w:sz w:val="24"/>
        </w:rPr>
        <w:t> </w:t>
      </w:r>
      <w:r>
        <w:rPr>
          <w:sz w:val="24"/>
        </w:rPr>
        <w:t>with</w:t>
      </w:r>
      <w:r>
        <w:rPr>
          <w:spacing w:val="4"/>
          <w:sz w:val="24"/>
        </w:rPr>
        <w:t> </w:t>
      </w:r>
      <w:r>
        <w:rPr>
          <w:sz w:val="24"/>
        </w:rPr>
        <w:t>Water</w:t>
      </w:r>
      <w:r>
        <w:rPr>
          <w:spacing w:val="4"/>
          <w:sz w:val="24"/>
        </w:rPr>
        <w:t> </w:t>
      </w:r>
      <w:r>
        <w:rPr>
          <w:sz w:val="24"/>
        </w:rPr>
        <w:t>Scarcity:</w:t>
      </w:r>
      <w:r>
        <w:rPr>
          <w:spacing w:val="8"/>
          <w:sz w:val="24"/>
        </w:rPr>
        <w:t> </w:t>
      </w:r>
      <w:r>
        <w:rPr>
          <w:i/>
          <w:sz w:val="24"/>
        </w:rPr>
        <w:t>Challenge</w:t>
      </w:r>
      <w:r>
        <w:rPr>
          <w:i/>
          <w:spacing w:val="2"/>
          <w:sz w:val="24"/>
        </w:rPr>
        <w:t> </w:t>
      </w:r>
      <w:r>
        <w:rPr>
          <w:i/>
          <w:sz w:val="24"/>
        </w:rPr>
        <w:t>of</w:t>
      </w:r>
      <w:r>
        <w:rPr>
          <w:i/>
          <w:spacing w:val="4"/>
          <w:sz w:val="24"/>
        </w:rPr>
        <w:t> </w:t>
      </w:r>
      <w:r>
        <w:rPr>
          <w:i/>
          <w:sz w:val="24"/>
        </w:rPr>
        <w:t>the</w:t>
      </w:r>
      <w:r>
        <w:rPr>
          <w:i/>
          <w:spacing w:val="7"/>
          <w:sz w:val="24"/>
        </w:rPr>
        <w:t> </w:t>
      </w:r>
      <w:r>
        <w:rPr>
          <w:i/>
          <w:sz w:val="24"/>
        </w:rPr>
        <w:t>Twenty-First</w:t>
      </w:r>
      <w:r>
        <w:rPr>
          <w:i/>
          <w:spacing w:val="5"/>
          <w:sz w:val="24"/>
        </w:rPr>
        <w:t> </w:t>
      </w:r>
      <w:r>
        <w:rPr>
          <w:i/>
          <w:spacing w:val="-2"/>
          <w:sz w:val="24"/>
        </w:rPr>
        <w:t>Century</w:t>
      </w:r>
    </w:p>
    <w:p>
      <w:pPr>
        <w:pStyle w:val="BodyText"/>
        <w:ind w:left="547"/>
      </w:pPr>
      <w:hyperlink r:id="rId78">
        <w:r>
          <w:rPr>
            <w:spacing w:val="-2"/>
            <w:u w:val="single"/>
          </w:rPr>
          <w:t>www.fao.org/nr/water/docs/escarcity.pdf</w:t>
        </w:r>
      </w:hyperlink>
    </w:p>
    <w:p>
      <w:pPr>
        <w:pStyle w:val="BodyText"/>
        <w:spacing w:before="1"/>
      </w:pPr>
    </w:p>
    <w:p>
      <w:pPr>
        <w:pStyle w:val="BodyText"/>
        <w:ind w:left="547" w:right="106" w:hanging="432"/>
        <w:jc w:val="both"/>
      </w:pPr>
      <w:r>
        <w:rPr/>
        <w:t>Vasquez, W.F. (2012). Reliability perceptions and water storage expenditures: Evidence from Nicaragua. </w:t>
      </w:r>
      <w:r>
        <w:rPr>
          <w:i/>
        </w:rPr>
        <w:t>Water Resource Research</w:t>
      </w:r>
      <w:r>
        <w:rPr/>
        <w:t>, 48, (10), 547-555. doi:10.1029/2011WR011024.</w:t>
      </w:r>
    </w:p>
    <w:p>
      <w:pPr>
        <w:pStyle w:val="BodyText"/>
      </w:pPr>
    </w:p>
    <w:p>
      <w:pPr>
        <w:pStyle w:val="BodyText"/>
        <w:ind w:left="547" w:right="107" w:hanging="432"/>
        <w:jc w:val="both"/>
      </w:pPr>
      <w:r>
        <w:rPr/>
        <w:t>Venkataramanan,</w:t>
      </w:r>
      <w:r>
        <w:rPr>
          <w:spacing w:val="-6"/>
        </w:rPr>
        <w:t> </w:t>
      </w:r>
      <w:r>
        <w:rPr/>
        <w:t>V.,</w:t>
      </w:r>
      <w:r>
        <w:rPr>
          <w:spacing w:val="-6"/>
        </w:rPr>
        <w:t> </w:t>
      </w:r>
      <w:r>
        <w:rPr/>
        <w:t>Lopez,</w:t>
      </w:r>
      <w:r>
        <w:rPr>
          <w:spacing w:val="-8"/>
        </w:rPr>
        <w:t> </w:t>
      </w:r>
      <w:r>
        <w:rPr/>
        <w:t>D.,</w:t>
      </w:r>
      <w:r>
        <w:rPr>
          <w:spacing w:val="-9"/>
        </w:rPr>
        <w:t> </w:t>
      </w:r>
      <w:r>
        <w:rPr/>
        <w:t>McCuskey,</w:t>
      </w:r>
      <w:r>
        <w:rPr>
          <w:spacing w:val="-8"/>
        </w:rPr>
        <w:t> </w:t>
      </w:r>
      <w:r>
        <w:rPr/>
        <w:t>D.</w:t>
      </w:r>
      <w:r>
        <w:rPr>
          <w:spacing w:val="-9"/>
        </w:rPr>
        <w:t> </w:t>
      </w:r>
      <w:r>
        <w:rPr/>
        <w:t>J.,</w:t>
      </w:r>
      <w:r>
        <w:rPr>
          <w:spacing w:val="-8"/>
        </w:rPr>
        <w:t> </w:t>
      </w:r>
      <w:r>
        <w:rPr/>
        <w:t>Kiefus,</w:t>
      </w:r>
      <w:r>
        <w:rPr>
          <w:spacing w:val="-9"/>
        </w:rPr>
        <w:t> </w:t>
      </w:r>
      <w:r>
        <w:rPr/>
        <w:t>D.,</w:t>
      </w:r>
      <w:r>
        <w:rPr>
          <w:spacing w:val="-7"/>
        </w:rPr>
        <w:t> </w:t>
      </w:r>
      <w:r>
        <w:rPr/>
        <w:t>McDonald,</w:t>
      </w:r>
      <w:r>
        <w:rPr>
          <w:spacing w:val="-5"/>
        </w:rPr>
        <w:t> </w:t>
      </w:r>
      <w:r>
        <w:rPr/>
        <w:t>R.</w:t>
      </w:r>
      <w:r>
        <w:rPr>
          <w:spacing w:val="-6"/>
        </w:rPr>
        <w:t> </w:t>
      </w:r>
      <w:r>
        <w:rPr/>
        <w:t>I.,</w:t>
      </w:r>
      <w:r>
        <w:rPr>
          <w:spacing w:val="-8"/>
        </w:rPr>
        <w:t> </w:t>
      </w:r>
      <w:r>
        <w:rPr/>
        <w:t>Miller,</w:t>
      </w:r>
      <w:r>
        <w:rPr>
          <w:spacing w:val="-6"/>
        </w:rPr>
        <w:t> </w:t>
      </w:r>
      <w:r>
        <w:rPr/>
        <w:t>W.</w:t>
      </w:r>
      <w:r>
        <w:rPr>
          <w:spacing w:val="-8"/>
        </w:rPr>
        <w:t> </w:t>
      </w:r>
      <w:r>
        <w:rPr/>
        <w:t>M.,</w:t>
      </w:r>
      <w:r>
        <w:rPr>
          <w:spacing w:val="-8"/>
        </w:rPr>
        <w:t> </w:t>
      </w:r>
      <w:r>
        <w:rPr/>
        <w:t>... &amp; Young, S. L. (2020). Knowledge, attitudes, intentions, and behavior related to green infrastructure for flood management: A systematic literature review. </w:t>
      </w:r>
      <w:r>
        <w:rPr>
          <w:i/>
        </w:rPr>
        <w:t>Science of The Total Environment</w:t>
      </w:r>
      <w:r>
        <w:rPr/>
        <w:t>, </w:t>
      </w:r>
      <w:r>
        <w:rPr>
          <w:i/>
        </w:rPr>
        <w:t>720</w:t>
      </w:r>
      <w:r>
        <w:rPr/>
        <w:t>, 137606.</w:t>
      </w:r>
    </w:p>
    <w:p>
      <w:pPr>
        <w:pStyle w:val="BodyText"/>
      </w:pPr>
    </w:p>
    <w:p>
      <w:pPr>
        <w:pStyle w:val="BodyText"/>
        <w:ind w:left="547" w:right="111" w:hanging="432"/>
        <w:jc w:val="both"/>
      </w:pPr>
      <w:r>
        <w:rPr/>
        <w:t>Virjee, K. &amp; Gaskin, S. (2010). Coping with poor water services and the demand for change in Trinidad and Tobago. </w:t>
      </w:r>
      <w:r>
        <w:rPr>
          <w:i/>
        </w:rPr>
        <w:t>Water International, </w:t>
      </w:r>
      <w:r>
        <w:rPr/>
        <w:t>35, 285-297.</w:t>
      </w:r>
    </w:p>
    <w:p>
      <w:pPr>
        <w:pStyle w:val="BodyText"/>
        <w:spacing w:before="1"/>
      </w:pPr>
    </w:p>
    <w:p>
      <w:pPr>
        <w:pStyle w:val="BodyText"/>
        <w:ind w:left="547" w:right="118" w:hanging="432"/>
        <w:jc w:val="both"/>
      </w:pPr>
      <w:r>
        <w:rPr/>
        <w:t>Vorosmarty, C. J., Green, P., Salisbury, J., and Lammers, R. B. (2000). Global water resources: Vulnerability from climate change and population growth. </w:t>
      </w:r>
      <w:r>
        <w:rPr>
          <w:i/>
        </w:rPr>
        <w:t>Science</w:t>
      </w:r>
      <w:r>
        <w:rPr/>
        <w:t>, 289(5477), 284-288.</w:t>
      </w:r>
    </w:p>
    <w:p>
      <w:pPr>
        <w:pStyle w:val="BodyText"/>
      </w:pPr>
    </w:p>
    <w:p>
      <w:pPr>
        <w:pStyle w:val="BodyText"/>
        <w:ind w:left="547" w:right="113" w:hanging="432"/>
        <w:jc w:val="both"/>
      </w:pPr>
      <w:r>
        <w:rPr/>
        <w:t>Wada, Y., van Beek, L.P.H. &amp; Bierkens. M.F.P. (2011). Modelling global water stress of the recent past: On the relative importance of trends in water demand and climate variability. </w:t>
      </w:r>
      <w:r>
        <w:rPr>
          <w:i/>
        </w:rPr>
        <w:t>Hydrology and Earth System Sciences </w:t>
      </w:r>
      <w:r>
        <w:rPr/>
        <w:t>15, 3785–3808.</w:t>
      </w:r>
    </w:p>
    <w:p>
      <w:pPr>
        <w:spacing w:before="273"/>
        <w:ind w:left="547" w:right="107" w:hanging="432"/>
        <w:jc w:val="both"/>
        <w:rPr>
          <w:sz w:val="24"/>
        </w:rPr>
      </w:pPr>
      <w:r>
        <w:rPr>
          <w:sz w:val="24"/>
        </w:rPr>
        <w:t>WASH Poverty Diagnostics (2016). </w:t>
      </w:r>
      <w:r>
        <w:rPr>
          <w:i/>
          <w:sz w:val="24"/>
        </w:rPr>
        <w:t>A wake-up call. Nigeria water supply, sanitation, and hygiene poverty diagnostic. </w:t>
      </w:r>
      <w:r>
        <w:rPr>
          <w:sz w:val="24"/>
        </w:rPr>
        <w:t>World bank group: Washington DC.</w:t>
      </w:r>
    </w:p>
    <w:p>
      <w:pPr>
        <w:spacing w:after="0"/>
        <w:jc w:val="both"/>
        <w:rPr>
          <w:sz w:val="24"/>
        </w:rPr>
        <w:sectPr>
          <w:pgSz w:w="12240" w:h="15840"/>
          <w:pgMar w:header="0" w:footer="1068" w:top="1340" w:bottom="1260" w:left="1440" w:right="1300"/>
        </w:sectPr>
      </w:pPr>
    </w:p>
    <w:p>
      <w:pPr>
        <w:spacing w:before="63"/>
        <w:ind w:left="547" w:right="108" w:hanging="432"/>
        <w:jc w:val="both"/>
        <w:rPr>
          <w:sz w:val="24"/>
        </w:rPr>
      </w:pPr>
      <w:r>
        <w:rPr>
          <w:sz w:val="24"/>
        </w:rPr>
        <w:t>WASH-NORM</w:t>
      </w:r>
      <w:r>
        <w:rPr>
          <w:spacing w:val="-9"/>
          <w:sz w:val="24"/>
        </w:rPr>
        <w:t> </w:t>
      </w:r>
      <w:r>
        <w:rPr>
          <w:sz w:val="24"/>
        </w:rPr>
        <w:t>(2018).</w:t>
      </w:r>
      <w:r>
        <w:rPr>
          <w:spacing w:val="-10"/>
          <w:sz w:val="24"/>
        </w:rPr>
        <w:t> </w:t>
      </w:r>
      <w:r>
        <w:rPr>
          <w:i/>
          <w:sz w:val="24"/>
        </w:rPr>
        <w:t>Nigeria</w:t>
      </w:r>
      <w:r>
        <w:rPr>
          <w:i/>
          <w:spacing w:val="-9"/>
          <w:sz w:val="24"/>
        </w:rPr>
        <w:t> </w:t>
      </w:r>
      <w:r>
        <w:rPr>
          <w:i/>
          <w:sz w:val="24"/>
        </w:rPr>
        <w:t>water</w:t>
      </w:r>
      <w:r>
        <w:rPr>
          <w:i/>
          <w:spacing w:val="-10"/>
          <w:sz w:val="24"/>
        </w:rPr>
        <w:t> </w:t>
      </w:r>
      <w:r>
        <w:rPr>
          <w:i/>
          <w:sz w:val="24"/>
        </w:rPr>
        <w:t>sanitation</w:t>
      </w:r>
      <w:r>
        <w:rPr>
          <w:i/>
          <w:spacing w:val="-12"/>
          <w:sz w:val="24"/>
        </w:rPr>
        <w:t> </w:t>
      </w:r>
      <w:r>
        <w:rPr>
          <w:i/>
          <w:sz w:val="24"/>
        </w:rPr>
        <w:t>and</w:t>
      </w:r>
      <w:r>
        <w:rPr>
          <w:i/>
          <w:spacing w:val="-9"/>
          <w:sz w:val="24"/>
        </w:rPr>
        <w:t> </w:t>
      </w:r>
      <w:r>
        <w:rPr>
          <w:i/>
          <w:sz w:val="24"/>
        </w:rPr>
        <w:t>hygiene-national</w:t>
      </w:r>
      <w:r>
        <w:rPr>
          <w:i/>
          <w:spacing w:val="-9"/>
          <w:sz w:val="24"/>
        </w:rPr>
        <w:t> </w:t>
      </w:r>
      <w:r>
        <w:rPr>
          <w:i/>
          <w:sz w:val="24"/>
        </w:rPr>
        <w:t>outcome</w:t>
      </w:r>
      <w:r>
        <w:rPr>
          <w:i/>
          <w:spacing w:val="-10"/>
          <w:sz w:val="24"/>
        </w:rPr>
        <w:t> </w:t>
      </w:r>
      <w:r>
        <w:rPr>
          <w:i/>
          <w:sz w:val="24"/>
        </w:rPr>
        <w:t>routine</w:t>
      </w:r>
      <w:r>
        <w:rPr>
          <w:i/>
          <w:spacing w:val="-10"/>
          <w:sz w:val="24"/>
        </w:rPr>
        <w:t> </w:t>
      </w:r>
      <w:r>
        <w:rPr>
          <w:i/>
          <w:sz w:val="24"/>
        </w:rPr>
        <w:t>mapping survey.</w:t>
      </w:r>
      <w:r>
        <w:rPr>
          <w:i/>
          <w:spacing w:val="-5"/>
          <w:sz w:val="24"/>
        </w:rPr>
        <w:t> </w:t>
      </w:r>
      <w:r>
        <w:rPr>
          <w:sz w:val="24"/>
        </w:rPr>
        <w:t>Nigeria:</w:t>
      </w:r>
      <w:r>
        <w:rPr>
          <w:spacing w:val="-4"/>
          <w:sz w:val="24"/>
        </w:rPr>
        <w:t> </w:t>
      </w:r>
      <w:r>
        <w:rPr>
          <w:sz w:val="24"/>
        </w:rPr>
        <w:t>Federal</w:t>
      </w:r>
      <w:r>
        <w:rPr>
          <w:spacing w:val="-2"/>
          <w:sz w:val="24"/>
        </w:rPr>
        <w:t> </w:t>
      </w:r>
      <w:r>
        <w:rPr>
          <w:sz w:val="24"/>
        </w:rPr>
        <w:t>Ministry</w:t>
      </w:r>
      <w:r>
        <w:rPr>
          <w:spacing w:val="-12"/>
          <w:sz w:val="24"/>
        </w:rPr>
        <w:t> </w:t>
      </w:r>
      <w:r>
        <w:rPr>
          <w:sz w:val="24"/>
        </w:rPr>
        <w:t>of</w:t>
      </w:r>
      <w:r>
        <w:rPr>
          <w:spacing w:val="-4"/>
          <w:sz w:val="24"/>
        </w:rPr>
        <w:t> </w:t>
      </w:r>
      <w:r>
        <w:rPr>
          <w:sz w:val="24"/>
        </w:rPr>
        <w:t>Water</w:t>
      </w:r>
      <w:r>
        <w:rPr>
          <w:spacing w:val="-6"/>
          <w:sz w:val="24"/>
        </w:rPr>
        <w:t> </w:t>
      </w:r>
      <w:r>
        <w:rPr>
          <w:sz w:val="24"/>
        </w:rPr>
        <w:t>Resources</w:t>
      </w:r>
      <w:r>
        <w:rPr>
          <w:spacing w:val="-4"/>
          <w:sz w:val="24"/>
        </w:rPr>
        <w:t> </w:t>
      </w:r>
      <w:r>
        <w:rPr>
          <w:sz w:val="24"/>
        </w:rPr>
        <w:t>in</w:t>
      </w:r>
      <w:r>
        <w:rPr>
          <w:spacing w:val="-4"/>
          <w:sz w:val="24"/>
        </w:rPr>
        <w:t> </w:t>
      </w:r>
      <w:r>
        <w:rPr>
          <w:sz w:val="24"/>
        </w:rPr>
        <w:t>collaboration with</w:t>
      </w:r>
      <w:r>
        <w:rPr>
          <w:spacing w:val="-4"/>
          <w:sz w:val="24"/>
        </w:rPr>
        <w:t> </w:t>
      </w:r>
      <w:r>
        <w:rPr>
          <w:sz w:val="24"/>
        </w:rPr>
        <w:t>National</w:t>
      </w:r>
      <w:r>
        <w:rPr>
          <w:spacing w:val="-4"/>
          <w:sz w:val="24"/>
        </w:rPr>
        <w:t> </w:t>
      </w:r>
      <w:r>
        <w:rPr>
          <w:sz w:val="24"/>
        </w:rPr>
        <w:t>Bureau of Statistics.</w:t>
      </w:r>
    </w:p>
    <w:p>
      <w:pPr>
        <w:pStyle w:val="BodyText"/>
      </w:pPr>
    </w:p>
    <w:p>
      <w:pPr>
        <w:pStyle w:val="BodyText"/>
        <w:ind w:left="547" w:right="108" w:hanging="432"/>
        <w:jc w:val="both"/>
      </w:pPr>
      <w:r>
        <w:rPr/>
        <w:t>Watkins, K. (2006). Beyond scarcity: power, poverty and the global water crisis. In B. Ross- Larson, M. Coquereaumont &amp; C. Trott. </w:t>
      </w:r>
      <w:r>
        <w:rPr>
          <w:i/>
        </w:rPr>
        <w:t>Human development report summary</w:t>
      </w:r>
      <w:r>
        <w:rPr/>
        <w:t>. Newyork: Printing Company America.</w:t>
      </w:r>
    </w:p>
    <w:p>
      <w:pPr>
        <w:pStyle w:val="BodyText"/>
      </w:pPr>
    </w:p>
    <w:p>
      <w:pPr>
        <w:pStyle w:val="BodyText"/>
        <w:ind w:left="547" w:right="114" w:hanging="432"/>
        <w:jc w:val="both"/>
      </w:pPr>
      <w:r>
        <w:rPr/>
        <w:t>White, C. (2012). Understanding water scarcity: Definitions and measurements, Global Water Forum. </w:t>
      </w:r>
      <w:hyperlink r:id="rId79">
        <w:r>
          <w:rPr>
            <w:u w:val="single"/>
          </w:rPr>
          <w:t>http://www.iwmi.cgiar.org/News_Room/pdf/Understanding_water_scarcity.pdf</w:t>
        </w:r>
      </w:hyperlink>
      <w:r>
        <w:rPr/>
        <w:t>?</w:t>
      </w:r>
    </w:p>
    <w:p>
      <w:pPr>
        <w:pStyle w:val="BodyText"/>
      </w:pPr>
    </w:p>
    <w:p>
      <w:pPr>
        <w:spacing w:before="0"/>
        <w:ind w:left="547" w:right="105" w:hanging="432"/>
        <w:jc w:val="both"/>
        <w:rPr>
          <w:sz w:val="24"/>
        </w:rPr>
      </w:pPr>
      <w:r>
        <w:rPr>
          <w:sz w:val="24"/>
        </w:rPr>
        <w:t>WHO/UNICEF/JMP (2017). </w:t>
      </w:r>
      <w:r>
        <w:rPr>
          <w:i/>
          <w:sz w:val="24"/>
        </w:rPr>
        <w:t>Progress on drinking water, sanitation and hygiene</w:t>
      </w:r>
      <w:r>
        <w:rPr>
          <w:sz w:val="24"/>
        </w:rPr>
        <w:t>. world health organization and united nations children’s fund, Geneva: WHO/UNICEF/JMP</w:t>
      </w:r>
    </w:p>
    <w:p>
      <w:pPr>
        <w:pStyle w:val="BodyText"/>
        <w:spacing w:before="1"/>
      </w:pPr>
    </w:p>
    <w:p>
      <w:pPr>
        <w:spacing w:before="0"/>
        <w:ind w:left="547" w:right="107" w:hanging="432"/>
        <w:jc w:val="both"/>
        <w:rPr>
          <w:sz w:val="24"/>
        </w:rPr>
      </w:pPr>
      <w:r>
        <w:rPr>
          <w:sz w:val="24"/>
        </w:rPr>
        <w:t>WHO/UNICEF/ Joint Monitoring Programme for water supply and sanitation (2010). </w:t>
      </w:r>
      <w:r>
        <w:rPr>
          <w:i/>
          <w:sz w:val="24"/>
        </w:rPr>
        <w:t>Data resource and estimates</w:t>
      </w:r>
      <w:r>
        <w:rPr>
          <w:sz w:val="24"/>
        </w:rPr>
        <w:t>. Geneva: WHO/UNICEF</w:t>
      </w:r>
    </w:p>
    <w:p>
      <w:pPr>
        <w:pStyle w:val="BodyText"/>
      </w:pPr>
    </w:p>
    <w:p>
      <w:pPr>
        <w:spacing w:line="480" w:lineRule="auto" w:before="0"/>
        <w:ind w:left="115" w:right="1964" w:firstLine="0"/>
        <w:jc w:val="left"/>
        <w:rPr>
          <w:sz w:val="24"/>
        </w:rPr>
      </w:pPr>
      <w:r>
        <w:rPr>
          <w:sz w:val="24"/>
        </w:rPr>
        <w:t>World</w:t>
      </w:r>
      <w:r>
        <w:rPr>
          <w:spacing w:val="-5"/>
          <w:sz w:val="24"/>
        </w:rPr>
        <w:t> </w:t>
      </w:r>
      <w:r>
        <w:rPr>
          <w:sz w:val="24"/>
        </w:rPr>
        <w:t>Bank</w:t>
      </w:r>
      <w:r>
        <w:rPr>
          <w:spacing w:val="-5"/>
          <w:sz w:val="24"/>
        </w:rPr>
        <w:t> </w:t>
      </w:r>
      <w:r>
        <w:rPr>
          <w:sz w:val="24"/>
        </w:rPr>
        <w:t>(2014a).</w:t>
      </w:r>
      <w:r>
        <w:rPr>
          <w:spacing w:val="-5"/>
          <w:sz w:val="24"/>
        </w:rPr>
        <w:t> </w:t>
      </w:r>
      <w:r>
        <w:rPr>
          <w:sz w:val="24"/>
        </w:rPr>
        <w:t>Fact</w:t>
      </w:r>
      <w:r>
        <w:rPr>
          <w:spacing w:val="-5"/>
          <w:sz w:val="24"/>
        </w:rPr>
        <w:t> </w:t>
      </w:r>
      <w:r>
        <w:rPr>
          <w:sz w:val="24"/>
        </w:rPr>
        <w:t>Sheet:</w:t>
      </w:r>
      <w:r>
        <w:rPr>
          <w:spacing w:val="-3"/>
          <w:sz w:val="24"/>
        </w:rPr>
        <w:t> </w:t>
      </w:r>
      <w:r>
        <w:rPr>
          <w:i/>
          <w:sz w:val="24"/>
        </w:rPr>
        <w:t>Infrastructure</w:t>
      </w:r>
      <w:r>
        <w:rPr>
          <w:i/>
          <w:spacing w:val="-5"/>
          <w:sz w:val="24"/>
        </w:rPr>
        <w:t> </w:t>
      </w:r>
      <w:r>
        <w:rPr>
          <w:i/>
          <w:sz w:val="24"/>
        </w:rPr>
        <w:t>in</w:t>
      </w:r>
      <w:r>
        <w:rPr>
          <w:i/>
          <w:spacing w:val="-5"/>
          <w:sz w:val="24"/>
        </w:rPr>
        <w:t> </w:t>
      </w:r>
      <w:r>
        <w:rPr>
          <w:i/>
          <w:sz w:val="24"/>
        </w:rPr>
        <w:t>Sub-Saharan</w:t>
      </w:r>
      <w:r>
        <w:rPr>
          <w:i/>
          <w:spacing w:val="-5"/>
          <w:sz w:val="24"/>
        </w:rPr>
        <w:t> </w:t>
      </w:r>
      <w:r>
        <w:rPr>
          <w:i/>
          <w:sz w:val="24"/>
        </w:rPr>
        <w:t>Africa</w:t>
      </w:r>
      <w:r>
        <w:rPr>
          <w:sz w:val="24"/>
        </w:rPr>
        <w:t>. World Bank (2014b). Water public private partnerships in Africa”,</w:t>
      </w:r>
    </w:p>
    <w:p>
      <w:pPr>
        <w:spacing w:before="0"/>
        <w:ind w:left="115" w:right="0" w:firstLine="0"/>
        <w:jc w:val="left"/>
        <w:rPr>
          <w:sz w:val="24"/>
        </w:rPr>
      </w:pPr>
      <w:r>
        <w:rPr>
          <w:sz w:val="24"/>
        </w:rPr>
        <w:t>World</w:t>
      </w:r>
      <w:r>
        <w:rPr>
          <w:spacing w:val="-7"/>
          <w:sz w:val="24"/>
        </w:rPr>
        <w:t> </w:t>
      </w:r>
      <w:r>
        <w:rPr>
          <w:sz w:val="24"/>
        </w:rPr>
        <w:t>Bank.</w:t>
      </w:r>
      <w:r>
        <w:rPr>
          <w:spacing w:val="-4"/>
          <w:sz w:val="24"/>
        </w:rPr>
        <w:t> </w:t>
      </w:r>
      <w:r>
        <w:rPr>
          <w:sz w:val="24"/>
        </w:rPr>
        <w:t>(2001).</w:t>
      </w:r>
      <w:r>
        <w:rPr>
          <w:spacing w:val="-2"/>
          <w:sz w:val="24"/>
        </w:rPr>
        <w:t> </w:t>
      </w:r>
      <w:r>
        <w:rPr>
          <w:i/>
          <w:sz w:val="24"/>
        </w:rPr>
        <w:t>World</w:t>
      </w:r>
      <w:r>
        <w:rPr>
          <w:i/>
          <w:spacing w:val="-4"/>
          <w:sz w:val="24"/>
        </w:rPr>
        <w:t> </w:t>
      </w:r>
      <w:r>
        <w:rPr>
          <w:i/>
          <w:sz w:val="24"/>
        </w:rPr>
        <w:t>development</w:t>
      </w:r>
      <w:r>
        <w:rPr>
          <w:i/>
          <w:spacing w:val="-3"/>
          <w:sz w:val="24"/>
        </w:rPr>
        <w:t> </w:t>
      </w:r>
      <w:r>
        <w:rPr>
          <w:i/>
          <w:sz w:val="24"/>
        </w:rPr>
        <w:t>report</w:t>
      </w:r>
      <w:r>
        <w:rPr>
          <w:i/>
          <w:spacing w:val="-3"/>
          <w:sz w:val="24"/>
        </w:rPr>
        <w:t> </w:t>
      </w:r>
      <w:r>
        <w:rPr>
          <w:i/>
          <w:sz w:val="24"/>
        </w:rPr>
        <w:t>2000/2001:</w:t>
      </w:r>
      <w:r>
        <w:rPr>
          <w:i/>
          <w:spacing w:val="-4"/>
          <w:sz w:val="24"/>
        </w:rPr>
        <w:t> </w:t>
      </w:r>
      <w:r>
        <w:rPr>
          <w:i/>
          <w:sz w:val="24"/>
        </w:rPr>
        <w:t>Attacking</w:t>
      </w:r>
      <w:r>
        <w:rPr>
          <w:i/>
          <w:spacing w:val="-4"/>
          <w:sz w:val="24"/>
        </w:rPr>
        <w:t> </w:t>
      </w:r>
      <w:r>
        <w:rPr>
          <w:i/>
          <w:sz w:val="24"/>
        </w:rPr>
        <w:t>poverty</w:t>
      </w:r>
      <w:r>
        <w:rPr>
          <w:sz w:val="24"/>
        </w:rPr>
        <w:t>.</w:t>
      </w:r>
      <w:r>
        <w:rPr>
          <w:spacing w:val="-4"/>
          <w:sz w:val="24"/>
        </w:rPr>
        <w:t> </w:t>
      </w:r>
      <w:r>
        <w:rPr>
          <w:sz w:val="24"/>
        </w:rPr>
        <w:t>The</w:t>
      </w:r>
      <w:r>
        <w:rPr>
          <w:spacing w:val="-5"/>
          <w:sz w:val="24"/>
        </w:rPr>
        <w:t> </w:t>
      </w:r>
      <w:r>
        <w:rPr>
          <w:sz w:val="24"/>
        </w:rPr>
        <w:t>World</w:t>
      </w:r>
      <w:r>
        <w:rPr>
          <w:spacing w:val="-4"/>
          <w:sz w:val="24"/>
        </w:rPr>
        <w:t> </w:t>
      </w:r>
      <w:r>
        <w:rPr>
          <w:spacing w:val="-2"/>
          <w:sz w:val="24"/>
        </w:rPr>
        <w:t>Bank.</w:t>
      </w:r>
    </w:p>
    <w:p>
      <w:pPr>
        <w:pStyle w:val="BodyText"/>
      </w:pPr>
    </w:p>
    <w:p>
      <w:pPr>
        <w:spacing w:before="0"/>
        <w:ind w:left="547" w:right="108" w:hanging="432"/>
        <w:jc w:val="both"/>
        <w:rPr>
          <w:sz w:val="24"/>
        </w:rPr>
      </w:pPr>
      <w:r>
        <w:rPr>
          <w:sz w:val="24"/>
        </w:rPr>
        <w:t>World Bank. (1999). </w:t>
      </w:r>
      <w:r>
        <w:rPr>
          <w:i/>
          <w:sz w:val="24"/>
        </w:rPr>
        <w:t>Decentralization: Critical implementation Issues for Rural water Supply and</w:t>
      </w:r>
      <w:r>
        <w:rPr>
          <w:i/>
          <w:spacing w:val="-1"/>
          <w:sz w:val="24"/>
        </w:rPr>
        <w:t> </w:t>
      </w:r>
      <w:r>
        <w:rPr>
          <w:i/>
          <w:sz w:val="24"/>
        </w:rPr>
        <w:t>Sanitation</w:t>
      </w:r>
      <w:r>
        <w:rPr>
          <w:i/>
          <w:spacing w:val="-1"/>
          <w:sz w:val="24"/>
        </w:rPr>
        <w:t> </w:t>
      </w:r>
      <w:r>
        <w:rPr>
          <w:i/>
          <w:sz w:val="24"/>
        </w:rPr>
        <w:t>Sub-sector</w:t>
      </w:r>
      <w:r>
        <w:rPr>
          <w:i/>
          <w:spacing w:val="-1"/>
          <w:sz w:val="24"/>
        </w:rPr>
        <w:t> </w:t>
      </w:r>
      <w:r>
        <w:rPr>
          <w:i/>
          <w:sz w:val="24"/>
        </w:rPr>
        <w:t>in</w:t>
      </w:r>
      <w:r>
        <w:rPr>
          <w:i/>
          <w:spacing w:val="-1"/>
          <w:sz w:val="24"/>
        </w:rPr>
        <w:t> </w:t>
      </w:r>
      <w:r>
        <w:rPr>
          <w:i/>
          <w:sz w:val="24"/>
        </w:rPr>
        <w:t>Uganda.</w:t>
      </w:r>
      <w:r>
        <w:rPr>
          <w:i/>
          <w:spacing w:val="-2"/>
          <w:sz w:val="24"/>
        </w:rPr>
        <w:t> </w:t>
      </w:r>
      <w:r>
        <w:rPr>
          <w:i/>
          <w:sz w:val="24"/>
        </w:rPr>
        <w:t>A</w:t>
      </w:r>
      <w:r>
        <w:rPr>
          <w:i/>
          <w:spacing w:val="-2"/>
          <w:sz w:val="24"/>
        </w:rPr>
        <w:t> </w:t>
      </w:r>
      <w:r>
        <w:rPr>
          <w:i/>
          <w:sz w:val="24"/>
        </w:rPr>
        <w:t>consultancy</w:t>
      </w:r>
      <w:r>
        <w:rPr>
          <w:i/>
          <w:spacing w:val="-3"/>
          <w:sz w:val="24"/>
        </w:rPr>
        <w:t> </w:t>
      </w:r>
      <w:r>
        <w:rPr>
          <w:i/>
          <w:sz w:val="24"/>
        </w:rPr>
        <w:t>reports. </w:t>
      </w:r>
      <w:r>
        <w:rPr>
          <w:sz w:val="24"/>
        </w:rPr>
        <w:t>Washington DC,</w:t>
      </w:r>
      <w:r>
        <w:rPr>
          <w:spacing w:val="-1"/>
          <w:sz w:val="24"/>
        </w:rPr>
        <w:t> </w:t>
      </w:r>
      <w:r>
        <w:rPr>
          <w:sz w:val="24"/>
        </w:rPr>
        <w:t>USA:</w:t>
      </w:r>
      <w:r>
        <w:rPr>
          <w:spacing w:val="-1"/>
          <w:sz w:val="24"/>
        </w:rPr>
        <w:t> </w:t>
      </w:r>
      <w:r>
        <w:rPr>
          <w:sz w:val="24"/>
        </w:rPr>
        <w:t>World </w:t>
      </w:r>
      <w:r>
        <w:rPr>
          <w:spacing w:val="-2"/>
          <w:sz w:val="24"/>
        </w:rPr>
        <w:t>Bank.</w:t>
      </w:r>
    </w:p>
    <w:p>
      <w:pPr>
        <w:pStyle w:val="BodyText"/>
        <w:spacing w:before="1"/>
      </w:pPr>
    </w:p>
    <w:p>
      <w:pPr>
        <w:pStyle w:val="BodyText"/>
        <w:ind w:left="115"/>
      </w:pPr>
      <w:r>
        <w:rPr/>
        <w:t>World</w:t>
      </w:r>
      <w:r>
        <w:rPr>
          <w:spacing w:val="-1"/>
        </w:rPr>
        <w:t> </w:t>
      </w:r>
      <w:r>
        <w:rPr/>
        <w:t>Economic</w:t>
      </w:r>
      <w:r>
        <w:rPr>
          <w:spacing w:val="-2"/>
        </w:rPr>
        <w:t> </w:t>
      </w:r>
      <w:r>
        <w:rPr/>
        <w:t>Forum (2017).</w:t>
      </w:r>
      <w:r>
        <w:rPr>
          <w:spacing w:val="-1"/>
        </w:rPr>
        <w:t> </w:t>
      </w:r>
      <w:r>
        <w:rPr/>
        <w:t>Global</w:t>
      </w:r>
      <w:r>
        <w:rPr>
          <w:spacing w:val="-1"/>
        </w:rPr>
        <w:t> </w:t>
      </w:r>
      <w:r>
        <w:rPr/>
        <w:t>risks</w:t>
      </w:r>
      <w:r>
        <w:rPr>
          <w:spacing w:val="-1"/>
        </w:rPr>
        <w:t> </w:t>
      </w:r>
      <w:r>
        <w:rPr/>
        <w:t>report</w:t>
      </w:r>
      <w:r>
        <w:rPr>
          <w:spacing w:val="-1"/>
        </w:rPr>
        <w:t> </w:t>
      </w:r>
      <w:r>
        <w:rPr>
          <w:spacing w:val="-2"/>
        </w:rPr>
        <w:t>2017.</w:t>
      </w:r>
    </w:p>
    <w:p>
      <w:pPr>
        <w:pStyle w:val="BodyText"/>
      </w:pPr>
    </w:p>
    <w:p>
      <w:pPr>
        <w:pStyle w:val="BodyText"/>
        <w:ind w:left="547" w:right="111" w:hanging="432"/>
        <w:jc w:val="both"/>
      </w:pPr>
      <w:r>
        <w:rPr/>
        <w:t>World Water Assessment Program (WWAP, 2001), World Water Assessment Programme (WWAP) Mid-Term Report.</w:t>
      </w:r>
    </w:p>
    <w:p>
      <w:pPr>
        <w:pStyle w:val="BodyText"/>
      </w:pPr>
    </w:p>
    <w:p>
      <w:pPr>
        <w:pStyle w:val="BodyText"/>
        <w:ind w:left="547" w:right="108" w:hanging="432"/>
        <w:jc w:val="both"/>
      </w:pPr>
      <w:r>
        <w:rPr/>
        <w:t>Xin</w:t>
      </w:r>
      <w:r>
        <w:rPr>
          <w:spacing w:val="-2"/>
        </w:rPr>
        <w:t> </w:t>
      </w:r>
      <w:r>
        <w:rPr/>
        <w:t>L,</w:t>
      </w:r>
      <w:r>
        <w:rPr>
          <w:spacing w:val="-5"/>
        </w:rPr>
        <w:t> </w:t>
      </w:r>
      <w:r>
        <w:rPr/>
        <w:t>Wan</w:t>
      </w:r>
      <w:r>
        <w:rPr>
          <w:spacing w:val="-5"/>
        </w:rPr>
        <w:t> </w:t>
      </w:r>
      <w:r>
        <w:rPr/>
        <w:t>Jun,</w:t>
      </w:r>
      <w:r>
        <w:rPr>
          <w:spacing w:val="-5"/>
        </w:rPr>
        <w:t> </w:t>
      </w:r>
      <w:r>
        <w:rPr/>
        <w:t>W.,</w:t>
      </w:r>
      <w:r>
        <w:rPr>
          <w:spacing w:val="-4"/>
        </w:rPr>
        <w:t> </w:t>
      </w:r>
      <w:r>
        <w:rPr/>
        <w:t>&amp;</w:t>
      </w:r>
      <w:r>
        <w:rPr>
          <w:spacing w:val="-7"/>
        </w:rPr>
        <w:t> </w:t>
      </w:r>
      <w:r>
        <w:rPr/>
        <w:t>Jielin,</w:t>
      </w:r>
      <w:r>
        <w:rPr>
          <w:spacing w:val="-4"/>
        </w:rPr>
        <w:t> </w:t>
      </w:r>
      <w:r>
        <w:rPr/>
        <w:t>J.</w:t>
      </w:r>
      <w:r>
        <w:rPr>
          <w:spacing w:val="-5"/>
        </w:rPr>
        <w:t> </w:t>
      </w:r>
      <w:r>
        <w:rPr/>
        <w:t>(2011).</w:t>
      </w:r>
      <w:r>
        <w:rPr>
          <w:spacing w:val="-6"/>
        </w:rPr>
        <w:t> </w:t>
      </w:r>
      <w:r>
        <w:rPr/>
        <w:t>Application</w:t>
      </w:r>
      <w:r>
        <w:rPr>
          <w:spacing w:val="-5"/>
        </w:rPr>
        <w:t> </w:t>
      </w:r>
      <w:r>
        <w:rPr/>
        <w:t>of</w:t>
      </w:r>
      <w:r>
        <w:rPr>
          <w:spacing w:val="-6"/>
        </w:rPr>
        <w:t> </w:t>
      </w:r>
      <w:r>
        <w:rPr/>
        <w:t>the</w:t>
      </w:r>
      <w:r>
        <w:rPr>
          <w:spacing w:val="-5"/>
        </w:rPr>
        <w:t> </w:t>
      </w:r>
      <w:r>
        <w:rPr/>
        <w:t>water</w:t>
      </w:r>
      <w:r>
        <w:rPr>
          <w:spacing w:val="-6"/>
        </w:rPr>
        <w:t> </w:t>
      </w:r>
      <w:r>
        <w:rPr/>
        <w:t>poverty</w:t>
      </w:r>
      <w:r>
        <w:rPr>
          <w:spacing w:val="-9"/>
        </w:rPr>
        <w:t> </w:t>
      </w:r>
      <w:r>
        <w:rPr/>
        <w:t>index</w:t>
      </w:r>
      <w:r>
        <w:rPr>
          <w:spacing w:val="-3"/>
        </w:rPr>
        <w:t> </w:t>
      </w:r>
      <w:r>
        <w:rPr/>
        <w:t>at</w:t>
      </w:r>
      <w:r>
        <w:rPr>
          <w:spacing w:val="-4"/>
        </w:rPr>
        <w:t> </w:t>
      </w:r>
      <w:r>
        <w:rPr/>
        <w:t>the</w:t>
      </w:r>
      <w:r>
        <w:rPr>
          <w:spacing w:val="-5"/>
        </w:rPr>
        <w:t> </w:t>
      </w:r>
      <w:r>
        <w:rPr/>
        <w:t>districts</w:t>
      </w:r>
      <w:r>
        <w:rPr>
          <w:spacing w:val="-4"/>
        </w:rPr>
        <w:t> </w:t>
      </w:r>
      <w:r>
        <w:rPr/>
        <w:t>of yellow river basin. </w:t>
      </w:r>
      <w:r>
        <w:rPr>
          <w:i/>
        </w:rPr>
        <w:t>Advance Master Research,</w:t>
      </w:r>
      <w:r>
        <w:rPr>
          <w:i/>
          <w:spacing w:val="40"/>
        </w:rPr>
        <w:t> </w:t>
      </w:r>
      <w:r>
        <w:rPr/>
        <w:t>250-253: 3469-3474.</w:t>
      </w:r>
    </w:p>
    <w:p>
      <w:pPr>
        <w:pStyle w:val="BodyText"/>
      </w:pPr>
    </w:p>
    <w:p>
      <w:pPr>
        <w:spacing w:before="0"/>
        <w:ind w:left="547" w:right="106" w:hanging="432"/>
        <w:jc w:val="both"/>
        <w:rPr>
          <w:sz w:val="24"/>
        </w:rPr>
      </w:pPr>
      <w:r>
        <w:rPr>
          <w:sz w:val="24"/>
        </w:rPr>
        <w:t>Yahaya,</w:t>
      </w:r>
      <w:r>
        <w:rPr>
          <w:spacing w:val="40"/>
          <w:sz w:val="24"/>
        </w:rPr>
        <w:t> </w:t>
      </w:r>
      <w:r>
        <w:rPr>
          <w:sz w:val="24"/>
        </w:rPr>
        <w:t>O.,</w:t>
      </w:r>
      <w:r>
        <w:rPr>
          <w:spacing w:val="-2"/>
          <w:sz w:val="24"/>
        </w:rPr>
        <w:t> </w:t>
      </w:r>
      <w:r>
        <w:rPr>
          <w:sz w:val="24"/>
        </w:rPr>
        <w:t>Akinro,</w:t>
      </w:r>
      <w:r>
        <w:rPr>
          <w:spacing w:val="40"/>
          <w:sz w:val="24"/>
        </w:rPr>
        <w:t> </w:t>
      </w:r>
      <w:r>
        <w:rPr>
          <w:sz w:val="24"/>
        </w:rPr>
        <w:t>A.,</w:t>
      </w:r>
      <w:r>
        <w:rPr>
          <w:spacing w:val="40"/>
          <w:sz w:val="24"/>
        </w:rPr>
        <w:t> </w:t>
      </w:r>
      <w:r>
        <w:rPr>
          <w:sz w:val="24"/>
        </w:rPr>
        <w:t>Kehinde,</w:t>
      </w:r>
      <w:r>
        <w:rPr>
          <w:spacing w:val="40"/>
          <w:sz w:val="24"/>
        </w:rPr>
        <w:t> </w:t>
      </w:r>
      <w:r>
        <w:rPr>
          <w:sz w:val="24"/>
        </w:rPr>
        <w:t>M.,</w:t>
      </w:r>
      <w:r>
        <w:rPr>
          <w:spacing w:val="-1"/>
          <w:sz w:val="24"/>
        </w:rPr>
        <w:t> </w:t>
      </w:r>
      <w:r>
        <w:rPr>
          <w:sz w:val="24"/>
        </w:rPr>
        <w:t>&amp;</w:t>
      </w:r>
      <w:r>
        <w:rPr>
          <w:spacing w:val="-3"/>
          <w:sz w:val="24"/>
        </w:rPr>
        <w:t> </w:t>
      </w:r>
      <w:r>
        <w:rPr>
          <w:sz w:val="24"/>
        </w:rPr>
        <w:t>Ologunagba,</w:t>
      </w:r>
      <w:r>
        <w:rPr>
          <w:spacing w:val="40"/>
          <w:sz w:val="24"/>
        </w:rPr>
        <w:t> </w:t>
      </w:r>
      <w:r>
        <w:rPr>
          <w:sz w:val="24"/>
        </w:rPr>
        <w:t>B.</w:t>
      </w:r>
      <w:r>
        <w:rPr>
          <w:spacing w:val="-1"/>
          <w:sz w:val="24"/>
        </w:rPr>
        <w:t> </w:t>
      </w:r>
      <w:r>
        <w:rPr>
          <w:sz w:val="24"/>
        </w:rPr>
        <w:t>(2009).</w:t>
      </w:r>
      <w:r>
        <w:rPr>
          <w:spacing w:val="-2"/>
          <w:sz w:val="24"/>
        </w:rPr>
        <w:t> </w:t>
      </w:r>
      <w:r>
        <w:rPr>
          <w:sz w:val="24"/>
        </w:rPr>
        <w:t>Evaluation</w:t>
      </w:r>
      <w:r>
        <w:rPr>
          <w:spacing w:val="-1"/>
          <w:sz w:val="24"/>
        </w:rPr>
        <w:t> </w:t>
      </w:r>
      <w:r>
        <w:rPr>
          <w:sz w:val="24"/>
        </w:rPr>
        <w:t>of</w:t>
      </w:r>
      <w:r>
        <w:rPr>
          <w:spacing w:val="-2"/>
          <w:sz w:val="24"/>
        </w:rPr>
        <w:t> </w:t>
      </w:r>
      <w:r>
        <w:rPr>
          <w:sz w:val="24"/>
        </w:rPr>
        <w:t>water</w:t>
      </w:r>
      <w:r>
        <w:rPr>
          <w:spacing w:val="-3"/>
          <w:sz w:val="24"/>
        </w:rPr>
        <w:t> </w:t>
      </w:r>
      <w:r>
        <w:rPr>
          <w:sz w:val="24"/>
        </w:rPr>
        <w:t>poverty index in Ondo state, Nigeria. </w:t>
      </w:r>
      <w:r>
        <w:rPr>
          <w:i/>
          <w:sz w:val="24"/>
        </w:rPr>
        <w:t>ARPN Journal of Applied Irrigation Science</w:t>
      </w:r>
      <w:r>
        <w:rPr>
          <w:sz w:val="24"/>
        </w:rPr>
        <w:t>, 44(2), 249-265.</w:t>
      </w:r>
    </w:p>
    <w:p>
      <w:pPr>
        <w:pStyle w:val="BodyText"/>
        <w:spacing w:before="1"/>
      </w:pPr>
    </w:p>
    <w:p>
      <w:pPr>
        <w:pStyle w:val="BodyText"/>
        <w:ind w:left="547" w:right="103" w:hanging="432"/>
        <w:jc w:val="both"/>
      </w:pPr>
      <w:r>
        <w:rPr/>
        <w:t>Yang, H. (2008). “Globalization of water resources through virtual water trade.” Rosemberg International Forum on Water Policy.</w:t>
      </w:r>
    </w:p>
    <w:p>
      <w:pPr>
        <w:pStyle w:val="BodyText"/>
      </w:pPr>
    </w:p>
    <w:p>
      <w:pPr>
        <w:pStyle w:val="BodyText"/>
        <w:ind w:left="547" w:right="108" w:hanging="432"/>
        <w:jc w:val="both"/>
      </w:pPr>
      <w:r>
        <w:rPr/>
        <w:t>Yoo,</w:t>
      </w:r>
      <w:r>
        <w:rPr>
          <w:spacing w:val="-15"/>
        </w:rPr>
        <w:t> </w:t>
      </w:r>
      <w:r>
        <w:rPr/>
        <w:t>S.</w:t>
      </w:r>
      <w:r>
        <w:rPr>
          <w:spacing w:val="-15"/>
        </w:rPr>
        <w:t> </w:t>
      </w:r>
      <w:r>
        <w:rPr/>
        <w:t>(2005).</w:t>
      </w:r>
      <w:r>
        <w:rPr>
          <w:spacing w:val="-15"/>
        </w:rPr>
        <w:t> </w:t>
      </w:r>
      <w:r>
        <w:rPr/>
        <w:t>Analysing</w:t>
      </w:r>
      <w:r>
        <w:rPr>
          <w:spacing w:val="-15"/>
        </w:rPr>
        <w:t> </w:t>
      </w:r>
      <w:r>
        <w:rPr/>
        <w:t>household</w:t>
      </w:r>
      <w:r>
        <w:rPr>
          <w:spacing w:val="-15"/>
        </w:rPr>
        <w:t> </w:t>
      </w:r>
      <w:r>
        <w:rPr/>
        <w:t>bottled</w:t>
      </w:r>
      <w:r>
        <w:rPr>
          <w:spacing w:val="-15"/>
        </w:rPr>
        <w:t> </w:t>
      </w:r>
      <w:r>
        <w:rPr/>
        <w:t>water</w:t>
      </w:r>
      <w:r>
        <w:rPr>
          <w:spacing w:val="-14"/>
        </w:rPr>
        <w:t> </w:t>
      </w:r>
      <w:r>
        <w:rPr/>
        <w:t>and</w:t>
      </w:r>
      <w:r>
        <w:rPr>
          <w:spacing w:val="-14"/>
        </w:rPr>
        <w:t> </w:t>
      </w:r>
      <w:r>
        <w:rPr/>
        <w:t>water</w:t>
      </w:r>
      <w:r>
        <w:rPr>
          <w:spacing w:val="-15"/>
        </w:rPr>
        <w:t> </w:t>
      </w:r>
      <w:r>
        <w:rPr/>
        <w:t>purifier</w:t>
      </w:r>
      <w:r>
        <w:rPr>
          <w:spacing w:val="-15"/>
        </w:rPr>
        <w:t> </w:t>
      </w:r>
      <w:r>
        <w:rPr/>
        <w:t>expenditures:</w:t>
      </w:r>
      <w:r>
        <w:rPr>
          <w:spacing w:val="-14"/>
        </w:rPr>
        <w:t> </w:t>
      </w:r>
      <w:r>
        <w:rPr/>
        <w:t>Simultaneous equation bivariate tobit model.</w:t>
      </w:r>
      <w:r>
        <w:rPr>
          <w:spacing w:val="40"/>
        </w:rPr>
        <w:t> </w:t>
      </w:r>
      <w:r>
        <w:rPr>
          <w:i/>
        </w:rPr>
        <w:t>Applied Economic Letter</w:t>
      </w:r>
      <w:r>
        <w:rPr/>
        <w:t>, 12(5), 297–301.</w:t>
      </w:r>
    </w:p>
    <w:p>
      <w:pPr>
        <w:spacing w:before="273"/>
        <w:ind w:left="547" w:right="105" w:hanging="432"/>
        <w:jc w:val="both"/>
        <w:rPr>
          <w:sz w:val="24"/>
        </w:rPr>
      </w:pPr>
      <w:r>
        <w:rPr>
          <w:sz w:val="24"/>
        </w:rPr>
        <w:t>Zahra, K., Haider, S.H., Mahmood, A. &amp; Ullah, S. (2012). Measuring water poverty index in urban areas of Punjab. </w:t>
      </w:r>
      <w:r>
        <w:rPr>
          <w:i/>
          <w:sz w:val="24"/>
        </w:rPr>
        <w:t>Journal for the Advancement of Development Economics. </w:t>
      </w:r>
      <w:r>
        <w:rPr>
          <w:sz w:val="24"/>
        </w:rPr>
        <w:t>1(1), 40- </w:t>
      </w:r>
      <w:r>
        <w:rPr>
          <w:spacing w:val="-4"/>
          <w:sz w:val="24"/>
        </w:rPr>
        <w:t>52.</w:t>
      </w:r>
    </w:p>
    <w:p>
      <w:pPr>
        <w:spacing w:after="0"/>
        <w:jc w:val="both"/>
        <w:rPr>
          <w:sz w:val="24"/>
        </w:rPr>
        <w:sectPr>
          <w:pgSz w:w="12240" w:h="15840"/>
          <w:pgMar w:header="0" w:footer="1068" w:top="1340" w:bottom="1260" w:left="1440" w:right="1300"/>
        </w:sectPr>
      </w:pPr>
    </w:p>
    <w:p>
      <w:pPr>
        <w:pStyle w:val="BodyText"/>
        <w:spacing w:before="79"/>
        <w:ind w:left="547" w:right="111" w:hanging="432"/>
        <w:jc w:val="both"/>
      </w:pPr>
      <w:r>
        <w:rPr/>
        <w:t>Zerah,</w:t>
      </w:r>
      <w:r>
        <w:rPr>
          <w:spacing w:val="-6"/>
        </w:rPr>
        <w:t> </w:t>
      </w:r>
      <w:r>
        <w:rPr/>
        <w:t>M.</w:t>
      </w:r>
      <w:r>
        <w:rPr>
          <w:spacing w:val="-3"/>
        </w:rPr>
        <w:t> </w:t>
      </w:r>
      <w:r>
        <w:rPr/>
        <w:t>H.</w:t>
      </w:r>
      <w:r>
        <w:rPr>
          <w:spacing w:val="-6"/>
        </w:rPr>
        <w:t> </w:t>
      </w:r>
      <w:r>
        <w:rPr/>
        <w:t>(2000).</w:t>
      </w:r>
      <w:r>
        <w:rPr>
          <w:spacing w:val="-3"/>
        </w:rPr>
        <w:t> </w:t>
      </w:r>
      <w:r>
        <w:rPr/>
        <w:t>Household</w:t>
      </w:r>
      <w:r>
        <w:rPr>
          <w:spacing w:val="-5"/>
        </w:rPr>
        <w:t> </w:t>
      </w:r>
      <w:r>
        <w:rPr/>
        <w:t>strategies</w:t>
      </w:r>
      <w:r>
        <w:rPr>
          <w:spacing w:val="-6"/>
        </w:rPr>
        <w:t> </w:t>
      </w:r>
      <w:r>
        <w:rPr/>
        <w:t>for</w:t>
      </w:r>
      <w:r>
        <w:rPr>
          <w:spacing w:val="-7"/>
        </w:rPr>
        <w:t> </w:t>
      </w:r>
      <w:r>
        <w:rPr/>
        <w:t>coping</w:t>
      </w:r>
      <w:r>
        <w:rPr>
          <w:spacing w:val="-8"/>
        </w:rPr>
        <w:t> </w:t>
      </w:r>
      <w:r>
        <w:rPr/>
        <w:t>with</w:t>
      </w:r>
      <w:r>
        <w:rPr>
          <w:spacing w:val="-5"/>
        </w:rPr>
        <w:t> </w:t>
      </w:r>
      <w:r>
        <w:rPr/>
        <w:t>unreliable</w:t>
      </w:r>
      <w:r>
        <w:rPr>
          <w:spacing w:val="-6"/>
        </w:rPr>
        <w:t> </w:t>
      </w:r>
      <w:r>
        <w:rPr/>
        <w:t>water</w:t>
      </w:r>
      <w:r>
        <w:rPr>
          <w:spacing w:val="-4"/>
        </w:rPr>
        <w:t> </w:t>
      </w:r>
      <w:r>
        <w:rPr/>
        <w:t>supplies:</w:t>
      </w:r>
      <w:r>
        <w:rPr>
          <w:spacing w:val="-6"/>
        </w:rPr>
        <w:t> </w:t>
      </w:r>
      <w:r>
        <w:rPr/>
        <w:t>The</w:t>
      </w:r>
      <w:r>
        <w:rPr>
          <w:spacing w:val="-7"/>
        </w:rPr>
        <w:t> </w:t>
      </w:r>
      <w:r>
        <w:rPr/>
        <w:t>case</w:t>
      </w:r>
      <w:r>
        <w:rPr>
          <w:spacing w:val="-4"/>
        </w:rPr>
        <w:t> </w:t>
      </w:r>
      <w:r>
        <w:rPr/>
        <w:t>of Delhi. </w:t>
      </w:r>
      <w:r>
        <w:rPr>
          <w:i/>
        </w:rPr>
        <w:t>Habitat International, </w:t>
      </w:r>
      <w:r>
        <w:rPr/>
        <w:t>24, 295–307</w:t>
      </w:r>
    </w:p>
    <w:p>
      <w:pPr>
        <w:pStyle w:val="BodyText"/>
      </w:pPr>
    </w:p>
    <w:p>
      <w:pPr>
        <w:pStyle w:val="BodyText"/>
        <w:ind w:left="547" w:right="113" w:hanging="432"/>
        <w:jc w:val="both"/>
      </w:pPr>
      <w:r>
        <w:rPr/>
        <w:t>Zlotnik, H. (2016). World Population Will Increase By 2.5 Billion By</w:t>
      </w:r>
      <w:r>
        <w:rPr>
          <w:spacing w:val="-3"/>
        </w:rPr>
        <w:t> </w:t>
      </w:r>
      <w:r>
        <w:rPr/>
        <w:t>2050; People Over 60 To Increase by More Than 1 Billion, United Nations. Available From: </w:t>
      </w:r>
      <w:hyperlink r:id="rId80">
        <w:r>
          <w:rPr>
            <w:spacing w:val="-2"/>
            <w:u w:val="single"/>
          </w:rPr>
          <w:t>Http://Www.Un.Org/Press/En/2007/Pop952.Doc.Htm</w:t>
        </w:r>
      </w:hyperlink>
      <w:r>
        <w:rPr>
          <w:spacing w:val="-2"/>
        </w:rPr>
        <w:t>.</w:t>
      </w:r>
    </w:p>
    <w:sectPr>
      <w:pgSz w:w="12240" w:h="15840"/>
      <w:pgMar w:header="0" w:footer="1068" w:top="1600" w:bottom="1260" w:left="14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Math">
    <w:altName w:val="Cambria Math"/>
    <w:charset w:val="1"/>
    <w:family w:val="roman"/>
    <w:pitch w:val="variable"/>
  </w:font>
  <w:font w:name="Symbol">
    <w:altName w:val="Symbol"/>
    <w:charset w:val="2"/>
    <w:family w:val="decorative"/>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79616">
              <wp:simplePos x="0" y="0"/>
              <wp:positionH relativeFrom="page">
                <wp:posOffset>3955415</wp:posOffset>
              </wp:positionH>
              <wp:positionV relativeFrom="page">
                <wp:posOffset>9240553</wp:posOffset>
              </wp:positionV>
              <wp:extent cx="2413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450012pt;margin-top:727.602661pt;width:19pt;height:15.3pt;mso-position-horizontal-relative:page;mso-position-vertical-relative:page;z-index:-20836864" type="#_x0000_t202" id="docshape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4224">
              <wp:simplePos x="0" y="0"/>
              <wp:positionH relativeFrom="page">
                <wp:posOffset>5085715</wp:posOffset>
              </wp:positionH>
              <wp:positionV relativeFrom="page">
                <wp:posOffset>6954553</wp:posOffset>
              </wp:positionV>
              <wp:extent cx="254000" cy="19431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54000" cy="194310"/>
                      </a:xfrm>
                      <a:prstGeom prst="rect">
                        <a:avLst/>
                      </a:prstGeom>
                    </wps:spPr>
                    <wps:txbx>
                      <w:txbxContent>
                        <w:p>
                          <w:pPr>
                            <w:pStyle w:val="BodyText"/>
                            <w:spacing w:before="10"/>
                            <w:ind w:left="20"/>
                          </w:pPr>
                          <w:r>
                            <w:rPr>
                              <w:spacing w:val="-5"/>
                            </w:rPr>
                            <w:t>156</w:t>
                          </w:r>
                        </w:p>
                      </w:txbxContent>
                    </wps:txbx>
                    <wps:bodyPr wrap="square" lIns="0" tIns="0" rIns="0" bIns="0" rtlCol="0">
                      <a:noAutofit/>
                    </wps:bodyPr>
                  </wps:wsp>
                </a:graphicData>
              </a:graphic>
            </wp:anchor>
          </w:drawing>
        </mc:Choice>
        <mc:Fallback>
          <w:pict>
            <v:shape style="position:absolute;margin-left:400.450012pt;margin-top:547.602661pt;width:20pt;height:15.3pt;mso-position-horizontal-relative:page;mso-position-vertical-relative:page;z-index:-20832256" type="#_x0000_t202" id="docshape117" filled="false" stroked="false">
              <v:textbox inset="0,0,0,0">
                <w:txbxContent>
                  <w:p>
                    <w:pPr>
                      <w:pStyle w:val="BodyText"/>
                      <w:spacing w:before="10"/>
                      <w:ind w:left="20"/>
                    </w:pPr>
                    <w:r>
                      <w:rPr>
                        <w:spacing w:val="-5"/>
                      </w:rPr>
                      <w:t>156</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4736">
              <wp:simplePos x="0" y="0"/>
              <wp:positionH relativeFrom="page">
                <wp:posOffset>3917315</wp:posOffset>
              </wp:positionH>
              <wp:positionV relativeFrom="page">
                <wp:posOffset>9240553</wp:posOffset>
              </wp:positionV>
              <wp:extent cx="3175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157</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31744" type="#_x0000_t202" id="docshape1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157</w:t>
                    </w:r>
                    <w:r>
                      <w:rPr>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5248">
              <wp:simplePos x="0" y="0"/>
              <wp:positionH relativeFrom="page">
                <wp:posOffset>5085715</wp:posOffset>
              </wp:positionH>
              <wp:positionV relativeFrom="page">
                <wp:posOffset>6954553</wp:posOffset>
              </wp:positionV>
              <wp:extent cx="2540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54000" cy="194310"/>
                      </a:xfrm>
                      <a:prstGeom prst="rect">
                        <a:avLst/>
                      </a:prstGeom>
                    </wps:spPr>
                    <wps:txbx>
                      <w:txbxContent>
                        <w:p>
                          <w:pPr>
                            <w:pStyle w:val="BodyText"/>
                            <w:spacing w:before="10"/>
                            <w:ind w:left="20"/>
                          </w:pPr>
                          <w:r>
                            <w:rPr>
                              <w:spacing w:val="-5"/>
                            </w:rPr>
                            <w:t>159</w:t>
                          </w:r>
                        </w:p>
                      </w:txbxContent>
                    </wps:txbx>
                    <wps:bodyPr wrap="square" lIns="0" tIns="0" rIns="0" bIns="0" rtlCol="0">
                      <a:noAutofit/>
                    </wps:bodyPr>
                  </wps:wsp>
                </a:graphicData>
              </a:graphic>
            </wp:anchor>
          </w:drawing>
        </mc:Choice>
        <mc:Fallback>
          <w:pict>
            <v:shape style="position:absolute;margin-left:400.450012pt;margin-top:547.602661pt;width:20pt;height:15.3pt;mso-position-horizontal-relative:page;mso-position-vertical-relative:page;z-index:-20831232" type="#_x0000_t202" id="docshape120" filled="false" stroked="false">
              <v:textbox inset="0,0,0,0">
                <w:txbxContent>
                  <w:p>
                    <w:pPr>
                      <w:pStyle w:val="BodyText"/>
                      <w:spacing w:before="10"/>
                      <w:ind w:left="20"/>
                    </w:pPr>
                    <w:r>
                      <w:rPr>
                        <w:spacing w:val="-5"/>
                      </w:rPr>
                      <w:t>159</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5760">
              <wp:simplePos x="0" y="0"/>
              <wp:positionH relativeFrom="page">
                <wp:posOffset>3917315</wp:posOffset>
              </wp:positionH>
              <wp:positionV relativeFrom="page">
                <wp:posOffset>9240553</wp:posOffset>
              </wp:positionV>
              <wp:extent cx="3175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160</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30720" type="#_x0000_t202" id="docshape1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160</w:t>
                    </w:r>
                    <w:r>
                      <w:rPr>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6272">
              <wp:simplePos x="0" y="0"/>
              <wp:positionH relativeFrom="page">
                <wp:posOffset>5085715</wp:posOffset>
              </wp:positionH>
              <wp:positionV relativeFrom="page">
                <wp:posOffset>6954553</wp:posOffset>
              </wp:positionV>
              <wp:extent cx="25400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54000" cy="194310"/>
                      </a:xfrm>
                      <a:prstGeom prst="rect">
                        <a:avLst/>
                      </a:prstGeom>
                    </wps:spPr>
                    <wps:txbx>
                      <w:txbxContent>
                        <w:p>
                          <w:pPr>
                            <w:pStyle w:val="BodyText"/>
                            <w:spacing w:before="10"/>
                            <w:ind w:left="20"/>
                          </w:pPr>
                          <w:r>
                            <w:rPr>
                              <w:spacing w:val="-5"/>
                            </w:rPr>
                            <w:t>167</w:t>
                          </w:r>
                        </w:p>
                      </w:txbxContent>
                    </wps:txbx>
                    <wps:bodyPr wrap="square" lIns="0" tIns="0" rIns="0" bIns="0" rtlCol="0">
                      <a:noAutofit/>
                    </wps:bodyPr>
                  </wps:wsp>
                </a:graphicData>
              </a:graphic>
            </wp:anchor>
          </w:drawing>
        </mc:Choice>
        <mc:Fallback>
          <w:pict>
            <v:shape style="position:absolute;margin-left:400.450012pt;margin-top:547.602661pt;width:20pt;height:15.3pt;mso-position-horizontal-relative:page;mso-position-vertical-relative:page;z-index:-20830208" type="#_x0000_t202" id="docshape197" filled="false" stroked="false">
              <v:textbox inset="0,0,0,0">
                <w:txbxContent>
                  <w:p>
                    <w:pPr>
                      <w:pStyle w:val="BodyText"/>
                      <w:spacing w:before="10"/>
                      <w:ind w:left="20"/>
                    </w:pPr>
                    <w:r>
                      <w:rPr>
                        <w:spacing w:val="-5"/>
                      </w:rPr>
                      <w:t>167</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6784">
              <wp:simplePos x="0" y="0"/>
              <wp:positionH relativeFrom="page">
                <wp:posOffset>3917315</wp:posOffset>
              </wp:positionH>
              <wp:positionV relativeFrom="page">
                <wp:posOffset>9240553</wp:posOffset>
              </wp:positionV>
              <wp:extent cx="317500"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168</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29696" type="#_x0000_t202" id="docshape1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168</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0128">
              <wp:simplePos x="0" y="0"/>
              <wp:positionH relativeFrom="page">
                <wp:posOffset>4940934</wp:posOffset>
              </wp:positionH>
              <wp:positionV relativeFrom="page">
                <wp:posOffset>6954553</wp:posOffset>
              </wp:positionV>
              <wp:extent cx="1778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7800" cy="194310"/>
                      </a:xfrm>
                      <a:prstGeom prst="rect">
                        <a:avLst/>
                      </a:prstGeom>
                    </wps:spPr>
                    <wps:txbx>
                      <w:txbxContent>
                        <w:p>
                          <w:pPr>
                            <w:pStyle w:val="BodyText"/>
                            <w:spacing w:before="10"/>
                            <w:ind w:left="20"/>
                          </w:pPr>
                          <w:r>
                            <w:rPr>
                              <w:spacing w:val="-5"/>
                            </w:rPr>
                            <w:t>13</w:t>
                          </w:r>
                        </w:p>
                      </w:txbxContent>
                    </wps:txbx>
                    <wps:bodyPr wrap="square" lIns="0" tIns="0" rIns="0" bIns="0" rtlCol="0">
                      <a:noAutofit/>
                    </wps:bodyPr>
                  </wps:wsp>
                </a:graphicData>
              </a:graphic>
            </wp:anchor>
          </w:drawing>
        </mc:Choice>
        <mc:Fallback>
          <w:pict>
            <v:shape style="position:absolute;margin-left:389.049988pt;margin-top:547.602661pt;width:14pt;height:15.3pt;mso-position-horizontal-relative:page;mso-position-vertical-relative:page;z-index:-20836352" type="#_x0000_t202" id="docshape2" filled="false" stroked="false">
              <v:textbox inset="0,0,0,0">
                <w:txbxContent>
                  <w:p>
                    <w:pPr>
                      <w:pStyle w:val="BodyText"/>
                      <w:spacing w:before="10"/>
                      <w:ind w:left="20"/>
                    </w:pPr>
                    <w:r>
                      <w:rPr>
                        <w:spacing w:val="-5"/>
                      </w:rPr>
                      <w:t>13</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0640">
              <wp:simplePos x="0" y="0"/>
              <wp:positionH relativeFrom="page">
                <wp:posOffset>3917315</wp:posOffset>
              </wp:positionH>
              <wp:positionV relativeFrom="page">
                <wp:posOffset>9240553</wp:posOffset>
              </wp:positionV>
              <wp:extent cx="31750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35840" type="#_x0000_t202" id="docshape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1152">
              <wp:simplePos x="0" y="0"/>
              <wp:positionH relativeFrom="page">
                <wp:posOffset>5060315</wp:posOffset>
              </wp:positionH>
              <wp:positionV relativeFrom="page">
                <wp:posOffset>6954553</wp:posOffset>
              </wp:positionV>
              <wp:extent cx="317500" cy="1943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 style="position:absolute;margin-left:398.450012pt;margin-top:547.602661pt;width:25pt;height:15.3pt;mso-position-horizontal-relative:page;mso-position-vertical-relative:page;z-index:-20835328" type="#_x0000_t202" id="docshape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127</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1664">
              <wp:simplePos x="0" y="0"/>
              <wp:positionH relativeFrom="page">
                <wp:posOffset>3917315</wp:posOffset>
              </wp:positionH>
              <wp:positionV relativeFrom="page">
                <wp:posOffset>9240553</wp:posOffset>
              </wp:positionV>
              <wp:extent cx="3175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34816" type="#_x0000_t202" id="docshape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129</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2176">
              <wp:simplePos x="0" y="0"/>
              <wp:positionH relativeFrom="page">
                <wp:posOffset>5085715</wp:posOffset>
              </wp:positionH>
              <wp:positionV relativeFrom="page">
                <wp:posOffset>6954553</wp:posOffset>
              </wp:positionV>
              <wp:extent cx="2540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54000" cy="194310"/>
                      </a:xfrm>
                      <a:prstGeom prst="rect">
                        <a:avLst/>
                      </a:prstGeom>
                    </wps:spPr>
                    <wps:txbx>
                      <w:txbxContent>
                        <w:p>
                          <w:pPr>
                            <w:pStyle w:val="BodyText"/>
                            <w:spacing w:before="10"/>
                            <w:ind w:left="20"/>
                          </w:pPr>
                          <w:r>
                            <w:rPr>
                              <w:spacing w:val="-5"/>
                            </w:rPr>
                            <w:t>142</w:t>
                          </w:r>
                        </w:p>
                      </w:txbxContent>
                    </wps:txbx>
                    <wps:bodyPr wrap="square" lIns="0" tIns="0" rIns="0" bIns="0" rtlCol="0">
                      <a:noAutofit/>
                    </wps:bodyPr>
                  </wps:wsp>
                </a:graphicData>
              </a:graphic>
            </wp:anchor>
          </w:drawing>
        </mc:Choice>
        <mc:Fallback>
          <w:pict>
            <v:shape style="position:absolute;margin-left:400.450012pt;margin-top:547.602661pt;width:20pt;height:15.3pt;mso-position-horizontal-relative:page;mso-position-vertical-relative:page;z-index:-20834304" type="#_x0000_t202" id="docshape98" filled="false" stroked="false">
              <v:textbox inset="0,0,0,0">
                <w:txbxContent>
                  <w:p>
                    <w:pPr>
                      <w:pStyle w:val="BodyText"/>
                      <w:spacing w:before="10"/>
                      <w:ind w:left="20"/>
                    </w:pPr>
                    <w:r>
                      <w:rPr>
                        <w:spacing w:val="-5"/>
                      </w:rPr>
                      <w:t>142</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2688">
              <wp:simplePos x="0" y="0"/>
              <wp:positionH relativeFrom="page">
                <wp:posOffset>3917315</wp:posOffset>
              </wp:positionH>
              <wp:positionV relativeFrom="page">
                <wp:posOffset>9240553</wp:posOffset>
              </wp:positionV>
              <wp:extent cx="317500" cy="1943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143</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33792" type="#_x0000_t202" id="docshape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143</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3200">
              <wp:simplePos x="0" y="0"/>
              <wp:positionH relativeFrom="page">
                <wp:posOffset>5085715</wp:posOffset>
              </wp:positionH>
              <wp:positionV relativeFrom="page">
                <wp:posOffset>6954553</wp:posOffset>
              </wp:positionV>
              <wp:extent cx="254000"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54000" cy="194310"/>
                      </a:xfrm>
                      <a:prstGeom prst="rect">
                        <a:avLst/>
                      </a:prstGeom>
                    </wps:spPr>
                    <wps:txbx>
                      <w:txbxContent>
                        <w:p>
                          <w:pPr>
                            <w:pStyle w:val="BodyText"/>
                            <w:spacing w:before="10"/>
                            <w:ind w:left="20"/>
                          </w:pPr>
                          <w:r>
                            <w:rPr>
                              <w:spacing w:val="-5"/>
                            </w:rPr>
                            <w:t>153</w:t>
                          </w:r>
                        </w:p>
                      </w:txbxContent>
                    </wps:txbx>
                    <wps:bodyPr wrap="square" lIns="0" tIns="0" rIns="0" bIns="0" rtlCol="0">
                      <a:noAutofit/>
                    </wps:bodyPr>
                  </wps:wsp>
                </a:graphicData>
              </a:graphic>
            </wp:anchor>
          </w:drawing>
        </mc:Choice>
        <mc:Fallback>
          <w:pict>
            <v:shape style="position:absolute;margin-left:400.450012pt;margin-top:547.602661pt;width:20pt;height:15.3pt;mso-position-horizontal-relative:page;mso-position-vertical-relative:page;z-index:-20833280" type="#_x0000_t202" id="docshape115" filled="false" stroked="false">
              <v:textbox inset="0,0,0,0">
                <w:txbxContent>
                  <w:p>
                    <w:pPr>
                      <w:pStyle w:val="BodyText"/>
                      <w:spacing w:before="10"/>
                      <w:ind w:left="20"/>
                    </w:pPr>
                    <w:r>
                      <w:rPr>
                        <w:spacing w:val="-5"/>
                      </w:rPr>
                      <w:t>153</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483712">
              <wp:simplePos x="0" y="0"/>
              <wp:positionH relativeFrom="page">
                <wp:posOffset>3917315</wp:posOffset>
              </wp:positionH>
              <wp:positionV relativeFrom="page">
                <wp:posOffset>9240553</wp:posOffset>
              </wp:positionV>
              <wp:extent cx="3175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154</w:t>
                          </w:r>
                          <w:r>
                            <w:rPr>
                              <w:spacing w:val="-5"/>
                            </w:rPr>
                            <w:fldChar w:fldCharType="end"/>
                          </w:r>
                        </w:p>
                      </w:txbxContent>
                    </wps:txbx>
                    <wps:bodyPr wrap="square" lIns="0" tIns="0" rIns="0" bIns="0" rtlCol="0">
                      <a:noAutofit/>
                    </wps:bodyPr>
                  </wps:wsp>
                </a:graphicData>
              </a:graphic>
            </wp:anchor>
          </w:drawing>
        </mc:Choice>
        <mc:Fallback>
          <w:pict>
            <v:shape style="position:absolute;margin-left:308.450012pt;margin-top:727.602661pt;width:25pt;height:15.3pt;mso-position-horizontal-relative:page;mso-position-vertical-relative:page;z-index:-20832768" type="#_x0000_t202" id="docshape1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154</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97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32" w:hanging="360"/>
      </w:pPr>
      <w:rPr>
        <w:rFonts w:hint="default"/>
        <w:lang w:val="en-US" w:eastAsia="en-US" w:bidi="ar-SA"/>
      </w:rPr>
    </w:lvl>
    <w:lvl w:ilvl="2">
      <w:start w:val="0"/>
      <w:numFmt w:val="bullet"/>
      <w:lvlText w:val="•"/>
      <w:lvlJc w:val="left"/>
      <w:pPr>
        <w:ind w:left="2684" w:hanging="360"/>
      </w:pPr>
      <w:rPr>
        <w:rFonts w:hint="default"/>
        <w:lang w:val="en-US" w:eastAsia="en-US" w:bidi="ar-SA"/>
      </w:rPr>
    </w:lvl>
    <w:lvl w:ilvl="3">
      <w:start w:val="0"/>
      <w:numFmt w:val="bullet"/>
      <w:lvlText w:val="•"/>
      <w:lvlJc w:val="left"/>
      <w:pPr>
        <w:ind w:left="3536" w:hanging="360"/>
      </w:pPr>
      <w:rPr>
        <w:rFonts w:hint="default"/>
        <w:lang w:val="en-US" w:eastAsia="en-US" w:bidi="ar-SA"/>
      </w:rPr>
    </w:lvl>
    <w:lvl w:ilvl="4">
      <w:start w:val="0"/>
      <w:numFmt w:val="bullet"/>
      <w:lvlText w:val="•"/>
      <w:lvlJc w:val="left"/>
      <w:pPr>
        <w:ind w:left="4388" w:hanging="360"/>
      </w:pPr>
      <w:rPr>
        <w:rFonts w:hint="default"/>
        <w:lang w:val="en-US" w:eastAsia="en-US" w:bidi="ar-SA"/>
      </w:rPr>
    </w:lvl>
    <w:lvl w:ilvl="5">
      <w:start w:val="0"/>
      <w:numFmt w:val="bullet"/>
      <w:lvlText w:val="•"/>
      <w:lvlJc w:val="left"/>
      <w:pPr>
        <w:ind w:left="524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944" w:hanging="360"/>
      </w:pPr>
      <w:rPr>
        <w:rFonts w:hint="default"/>
        <w:lang w:val="en-US" w:eastAsia="en-US" w:bidi="ar-SA"/>
      </w:rPr>
    </w:lvl>
    <w:lvl w:ilvl="8">
      <w:start w:val="0"/>
      <w:numFmt w:val="bullet"/>
      <w:lvlText w:val="•"/>
      <w:lvlJc w:val="left"/>
      <w:pPr>
        <w:ind w:left="7796" w:hanging="360"/>
      </w:pPr>
      <w:rPr>
        <w:rFonts w:hint="default"/>
        <w:lang w:val="en-US" w:eastAsia="en-US" w:bidi="ar-SA"/>
      </w:rPr>
    </w:lvl>
  </w:abstractNum>
  <w:abstractNum w:abstractNumId="12">
    <w:multiLevelType w:val="hybridMultilevel"/>
    <w:lvl w:ilvl="0">
      <w:start w:val="5"/>
      <w:numFmt w:val="decimal"/>
      <w:lvlText w:val="%1"/>
      <w:lvlJc w:val="left"/>
      <w:pPr>
        <w:ind w:left="2549" w:hanging="2003"/>
        <w:jc w:val="left"/>
      </w:pPr>
      <w:rPr>
        <w:rFonts w:hint="default"/>
        <w:lang w:val="en-US" w:eastAsia="en-US" w:bidi="ar-SA"/>
      </w:rPr>
    </w:lvl>
    <w:lvl w:ilvl="1">
      <w:start w:val="0"/>
      <w:numFmt w:val="decimal"/>
      <w:lvlText w:val="%1.%2"/>
      <w:lvlJc w:val="left"/>
      <w:pPr>
        <w:ind w:left="2549" w:hanging="200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932" w:hanging="2003"/>
      </w:pPr>
      <w:rPr>
        <w:rFonts w:hint="default"/>
        <w:lang w:val="en-US" w:eastAsia="en-US" w:bidi="ar-SA"/>
      </w:rPr>
    </w:lvl>
    <w:lvl w:ilvl="3">
      <w:start w:val="0"/>
      <w:numFmt w:val="bullet"/>
      <w:lvlText w:val="•"/>
      <w:lvlJc w:val="left"/>
      <w:pPr>
        <w:ind w:left="4628" w:hanging="2003"/>
      </w:pPr>
      <w:rPr>
        <w:rFonts w:hint="default"/>
        <w:lang w:val="en-US" w:eastAsia="en-US" w:bidi="ar-SA"/>
      </w:rPr>
    </w:lvl>
    <w:lvl w:ilvl="4">
      <w:start w:val="0"/>
      <w:numFmt w:val="bullet"/>
      <w:lvlText w:val="•"/>
      <w:lvlJc w:val="left"/>
      <w:pPr>
        <w:ind w:left="5324" w:hanging="2003"/>
      </w:pPr>
      <w:rPr>
        <w:rFonts w:hint="default"/>
        <w:lang w:val="en-US" w:eastAsia="en-US" w:bidi="ar-SA"/>
      </w:rPr>
    </w:lvl>
    <w:lvl w:ilvl="5">
      <w:start w:val="0"/>
      <w:numFmt w:val="bullet"/>
      <w:lvlText w:val="•"/>
      <w:lvlJc w:val="left"/>
      <w:pPr>
        <w:ind w:left="6020" w:hanging="2003"/>
      </w:pPr>
      <w:rPr>
        <w:rFonts w:hint="default"/>
        <w:lang w:val="en-US" w:eastAsia="en-US" w:bidi="ar-SA"/>
      </w:rPr>
    </w:lvl>
    <w:lvl w:ilvl="6">
      <w:start w:val="0"/>
      <w:numFmt w:val="bullet"/>
      <w:lvlText w:val="•"/>
      <w:lvlJc w:val="left"/>
      <w:pPr>
        <w:ind w:left="6716" w:hanging="2003"/>
      </w:pPr>
      <w:rPr>
        <w:rFonts w:hint="default"/>
        <w:lang w:val="en-US" w:eastAsia="en-US" w:bidi="ar-SA"/>
      </w:rPr>
    </w:lvl>
    <w:lvl w:ilvl="7">
      <w:start w:val="0"/>
      <w:numFmt w:val="bullet"/>
      <w:lvlText w:val="•"/>
      <w:lvlJc w:val="left"/>
      <w:pPr>
        <w:ind w:left="7412" w:hanging="2003"/>
      </w:pPr>
      <w:rPr>
        <w:rFonts w:hint="default"/>
        <w:lang w:val="en-US" w:eastAsia="en-US" w:bidi="ar-SA"/>
      </w:rPr>
    </w:lvl>
    <w:lvl w:ilvl="8">
      <w:start w:val="0"/>
      <w:numFmt w:val="bullet"/>
      <w:lvlText w:val="•"/>
      <w:lvlJc w:val="left"/>
      <w:pPr>
        <w:ind w:left="8108" w:hanging="2003"/>
      </w:pPr>
      <w:rPr>
        <w:rFonts w:hint="default"/>
        <w:lang w:val="en-US" w:eastAsia="en-US" w:bidi="ar-SA"/>
      </w:rPr>
    </w:lvl>
  </w:abstractNum>
  <w:abstractNum w:abstractNumId="11">
    <w:multiLevelType w:val="hybridMultilevel"/>
    <w:lvl w:ilvl="0">
      <w:start w:val="0"/>
      <w:numFmt w:val="bullet"/>
      <w:lvlText w:val=""/>
      <w:lvlJc w:val="left"/>
      <w:pPr>
        <w:ind w:left="98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66" w:hanging="360"/>
      </w:pPr>
      <w:rPr>
        <w:rFonts w:hint="default"/>
        <w:lang w:val="en-US" w:eastAsia="en-US" w:bidi="ar-SA"/>
      </w:rPr>
    </w:lvl>
    <w:lvl w:ilvl="2">
      <w:start w:val="0"/>
      <w:numFmt w:val="bullet"/>
      <w:lvlText w:val="•"/>
      <w:lvlJc w:val="left"/>
      <w:pPr>
        <w:ind w:left="2752" w:hanging="360"/>
      </w:pPr>
      <w:rPr>
        <w:rFonts w:hint="default"/>
        <w:lang w:val="en-US" w:eastAsia="en-US" w:bidi="ar-SA"/>
      </w:rPr>
    </w:lvl>
    <w:lvl w:ilvl="3">
      <w:start w:val="0"/>
      <w:numFmt w:val="bullet"/>
      <w:lvlText w:val="•"/>
      <w:lvlJc w:val="left"/>
      <w:pPr>
        <w:ind w:left="3638" w:hanging="360"/>
      </w:pPr>
      <w:rPr>
        <w:rFonts w:hint="default"/>
        <w:lang w:val="en-US" w:eastAsia="en-US" w:bidi="ar-SA"/>
      </w:rPr>
    </w:lvl>
    <w:lvl w:ilvl="4">
      <w:start w:val="0"/>
      <w:numFmt w:val="bullet"/>
      <w:lvlText w:val="•"/>
      <w:lvlJc w:val="left"/>
      <w:pPr>
        <w:ind w:left="4524" w:hanging="360"/>
      </w:pPr>
      <w:rPr>
        <w:rFonts w:hint="default"/>
        <w:lang w:val="en-US" w:eastAsia="en-US" w:bidi="ar-SA"/>
      </w:rPr>
    </w:lvl>
    <w:lvl w:ilvl="5">
      <w:start w:val="0"/>
      <w:numFmt w:val="bullet"/>
      <w:lvlText w:val="•"/>
      <w:lvlJc w:val="left"/>
      <w:pPr>
        <w:ind w:left="5410" w:hanging="360"/>
      </w:pPr>
      <w:rPr>
        <w:rFonts w:hint="default"/>
        <w:lang w:val="en-US" w:eastAsia="en-US" w:bidi="ar-SA"/>
      </w:rPr>
    </w:lvl>
    <w:lvl w:ilvl="6">
      <w:start w:val="0"/>
      <w:numFmt w:val="bullet"/>
      <w:lvlText w:val="•"/>
      <w:lvlJc w:val="left"/>
      <w:pPr>
        <w:ind w:left="6296" w:hanging="360"/>
      </w:pPr>
      <w:rPr>
        <w:rFonts w:hint="default"/>
        <w:lang w:val="en-US" w:eastAsia="en-US" w:bidi="ar-SA"/>
      </w:rPr>
    </w:lvl>
    <w:lvl w:ilvl="7">
      <w:start w:val="0"/>
      <w:numFmt w:val="bullet"/>
      <w:lvlText w:val="•"/>
      <w:lvlJc w:val="left"/>
      <w:pPr>
        <w:ind w:left="7182" w:hanging="360"/>
      </w:pPr>
      <w:rPr>
        <w:rFonts w:hint="default"/>
        <w:lang w:val="en-US" w:eastAsia="en-US" w:bidi="ar-SA"/>
      </w:rPr>
    </w:lvl>
    <w:lvl w:ilvl="8">
      <w:start w:val="0"/>
      <w:numFmt w:val="bullet"/>
      <w:lvlText w:val="•"/>
      <w:lvlJc w:val="left"/>
      <w:pPr>
        <w:ind w:left="8068" w:hanging="360"/>
      </w:pPr>
      <w:rPr>
        <w:rFonts w:hint="default"/>
        <w:lang w:val="en-US" w:eastAsia="en-US" w:bidi="ar-SA"/>
      </w:rPr>
    </w:lvl>
  </w:abstractNum>
  <w:abstractNum w:abstractNumId="10">
    <w:multiLevelType w:val="hybridMultilevel"/>
    <w:lvl w:ilvl="0">
      <w:start w:val="4"/>
      <w:numFmt w:val="decimal"/>
      <w:lvlText w:val="%1"/>
      <w:lvlJc w:val="left"/>
      <w:pPr>
        <w:ind w:left="1047" w:hanging="780"/>
        <w:jc w:val="left"/>
      </w:pPr>
      <w:rPr>
        <w:rFonts w:hint="default"/>
        <w:lang w:val="en-US" w:eastAsia="en-US" w:bidi="ar-SA"/>
      </w:rPr>
    </w:lvl>
    <w:lvl w:ilvl="1">
      <w:start w:val="3"/>
      <w:numFmt w:val="decimal"/>
      <w:lvlText w:val="%1.%2"/>
      <w:lvlJc w:val="left"/>
      <w:pPr>
        <w:ind w:left="1047" w:hanging="780"/>
        <w:jc w:val="left"/>
      </w:pPr>
      <w:rPr>
        <w:rFonts w:hint="default"/>
        <w:lang w:val="en-US" w:eastAsia="en-US" w:bidi="ar-SA"/>
      </w:rPr>
    </w:lvl>
    <w:lvl w:ilvl="2">
      <w:start w:val="1"/>
      <w:numFmt w:val="decimal"/>
      <w:lvlText w:val="%1.%2.%3"/>
      <w:lvlJc w:val="left"/>
      <w:pPr>
        <w:ind w:left="1047" w:hanging="780"/>
        <w:jc w:val="left"/>
      </w:pPr>
      <w:rPr>
        <w:rFonts w:hint="default"/>
        <w:lang w:val="en-US" w:eastAsia="en-US" w:bidi="ar-SA"/>
      </w:rPr>
    </w:lvl>
    <w:lvl w:ilvl="3">
      <w:start w:val="9"/>
      <w:numFmt w:val="decimal"/>
      <w:lvlText w:val="%1.%2.%3.%4"/>
      <w:lvlJc w:val="left"/>
      <w:pPr>
        <w:ind w:left="1047" w:hanging="78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1"/>
      <w:numFmt w:val="decimal"/>
      <w:lvlText w:val="%1.%2.%3.%4.%5"/>
      <w:lvlJc w:val="left"/>
      <w:pPr>
        <w:ind w:left="1167" w:hanging="900"/>
        <w:jc w:val="left"/>
      </w:pPr>
      <w:rPr>
        <w:rFonts w:hint="default" w:ascii="Times New Roman" w:hAnsi="Times New Roman" w:eastAsia="Times New Roman" w:cs="Times New Roman"/>
        <w:b/>
        <w:bCs/>
        <w:i w:val="0"/>
        <w:iCs w:val="0"/>
        <w:spacing w:val="-1"/>
        <w:w w:val="100"/>
        <w:sz w:val="24"/>
        <w:szCs w:val="24"/>
        <w:lang w:val="en-US" w:eastAsia="en-US" w:bidi="ar-SA"/>
      </w:rPr>
    </w:lvl>
    <w:lvl w:ilvl="5">
      <w:start w:val="1"/>
      <w:numFmt w:val="decimal"/>
      <w:lvlText w:val="%1.%2.%3.%4.%5.%6"/>
      <w:lvlJc w:val="left"/>
      <w:pPr>
        <w:ind w:left="1707" w:hanging="1440"/>
        <w:jc w:val="left"/>
      </w:pPr>
      <w:rPr>
        <w:rFonts w:hint="default" w:ascii="Times New Roman" w:hAnsi="Times New Roman" w:eastAsia="Times New Roman" w:cs="Times New Roman"/>
        <w:b/>
        <w:bCs/>
        <w:i w:val="0"/>
        <w:iCs w:val="0"/>
        <w:spacing w:val="-1"/>
        <w:w w:val="100"/>
        <w:sz w:val="24"/>
        <w:szCs w:val="24"/>
        <w:lang w:val="en-US" w:eastAsia="en-US" w:bidi="ar-SA"/>
      </w:rPr>
    </w:lvl>
    <w:lvl w:ilvl="6">
      <w:start w:val="0"/>
      <w:numFmt w:val="bullet"/>
      <w:lvlText w:val="•"/>
      <w:lvlJc w:val="left"/>
      <w:pPr>
        <w:ind w:left="5222" w:hanging="1440"/>
      </w:pPr>
      <w:rPr>
        <w:rFonts w:hint="default"/>
        <w:lang w:val="en-US" w:eastAsia="en-US" w:bidi="ar-SA"/>
      </w:rPr>
    </w:lvl>
    <w:lvl w:ilvl="7">
      <w:start w:val="0"/>
      <w:numFmt w:val="bullet"/>
      <w:lvlText w:val="•"/>
      <w:lvlJc w:val="left"/>
      <w:pPr>
        <w:ind w:left="6377" w:hanging="1440"/>
      </w:pPr>
      <w:rPr>
        <w:rFonts w:hint="default"/>
        <w:lang w:val="en-US" w:eastAsia="en-US" w:bidi="ar-SA"/>
      </w:rPr>
    </w:lvl>
    <w:lvl w:ilvl="8">
      <w:start w:val="0"/>
      <w:numFmt w:val="bullet"/>
      <w:lvlText w:val="•"/>
      <w:lvlJc w:val="left"/>
      <w:pPr>
        <w:ind w:left="7531" w:hanging="1440"/>
      </w:pPr>
      <w:rPr>
        <w:rFonts w:hint="default"/>
        <w:lang w:val="en-US" w:eastAsia="en-US" w:bidi="ar-SA"/>
      </w:rPr>
    </w:lvl>
  </w:abstractNum>
  <w:abstractNum w:abstractNumId="9">
    <w:multiLevelType w:val="hybridMultilevel"/>
    <w:lvl w:ilvl="0">
      <w:start w:val="4"/>
      <w:numFmt w:val="decimal"/>
      <w:lvlText w:val="%1"/>
      <w:lvlJc w:val="left"/>
      <w:pPr>
        <w:ind w:left="3088" w:hanging="2821"/>
        <w:jc w:val="left"/>
      </w:pPr>
      <w:rPr>
        <w:rFonts w:hint="default"/>
        <w:lang w:val="en-US" w:eastAsia="en-US" w:bidi="ar-SA"/>
      </w:rPr>
    </w:lvl>
    <w:lvl w:ilvl="1">
      <w:start w:val="0"/>
      <w:numFmt w:val="decimal"/>
      <w:lvlText w:val="%1.%2"/>
      <w:lvlJc w:val="left"/>
      <w:pPr>
        <w:ind w:left="3088" w:hanging="28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987" w:hanging="74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1"/>
      <w:numFmt w:val="decimal"/>
      <w:lvlText w:val="%1.%2.%3.%4.%5"/>
      <w:lvlJc w:val="left"/>
      <w:pPr>
        <w:ind w:left="1227" w:hanging="960"/>
        <w:jc w:val="left"/>
      </w:pPr>
      <w:rPr>
        <w:rFonts w:hint="default" w:ascii="Times New Roman" w:hAnsi="Times New Roman" w:eastAsia="Times New Roman" w:cs="Times New Roman"/>
        <w:b/>
        <w:bCs/>
        <w:i w:val="0"/>
        <w:iCs w:val="0"/>
        <w:spacing w:val="-1"/>
        <w:w w:val="100"/>
        <w:sz w:val="24"/>
        <w:szCs w:val="24"/>
        <w:lang w:val="en-US" w:eastAsia="en-US" w:bidi="ar-SA"/>
      </w:rPr>
    </w:lvl>
    <w:lvl w:ilvl="5">
      <w:start w:val="0"/>
      <w:numFmt w:val="bullet"/>
      <w:lvlText w:val="•"/>
      <w:lvlJc w:val="left"/>
      <w:pPr>
        <w:ind w:left="3080" w:hanging="960"/>
      </w:pPr>
      <w:rPr>
        <w:rFonts w:hint="default"/>
        <w:lang w:val="en-US" w:eastAsia="en-US" w:bidi="ar-SA"/>
      </w:rPr>
    </w:lvl>
    <w:lvl w:ilvl="6">
      <w:start w:val="0"/>
      <w:numFmt w:val="bullet"/>
      <w:lvlText w:val="•"/>
      <w:lvlJc w:val="left"/>
      <w:pPr>
        <w:ind w:left="4308" w:hanging="960"/>
      </w:pPr>
      <w:rPr>
        <w:rFonts w:hint="default"/>
        <w:lang w:val="en-US" w:eastAsia="en-US" w:bidi="ar-SA"/>
      </w:rPr>
    </w:lvl>
    <w:lvl w:ilvl="7">
      <w:start w:val="0"/>
      <w:numFmt w:val="bullet"/>
      <w:lvlText w:val="•"/>
      <w:lvlJc w:val="left"/>
      <w:pPr>
        <w:ind w:left="5536" w:hanging="960"/>
      </w:pPr>
      <w:rPr>
        <w:rFonts w:hint="default"/>
        <w:lang w:val="en-US" w:eastAsia="en-US" w:bidi="ar-SA"/>
      </w:rPr>
    </w:lvl>
    <w:lvl w:ilvl="8">
      <w:start w:val="0"/>
      <w:numFmt w:val="bullet"/>
      <w:lvlText w:val="•"/>
      <w:lvlJc w:val="left"/>
      <w:pPr>
        <w:ind w:left="6764" w:hanging="960"/>
      </w:pPr>
      <w:rPr>
        <w:rFonts w:hint="default"/>
        <w:lang w:val="en-US" w:eastAsia="en-US" w:bidi="ar-SA"/>
      </w:rPr>
    </w:lvl>
  </w:abstractNum>
  <w:abstractNum w:abstractNumId="8">
    <w:multiLevelType w:val="hybridMultilevel"/>
    <w:lvl w:ilvl="0">
      <w:start w:val="3"/>
      <w:numFmt w:val="decimal"/>
      <w:lvlText w:val="%1"/>
      <w:lvlJc w:val="left"/>
      <w:pPr>
        <w:ind w:left="2999" w:hanging="2732"/>
        <w:jc w:val="left"/>
      </w:pPr>
      <w:rPr>
        <w:rFonts w:hint="default"/>
        <w:lang w:val="en-US" w:eastAsia="en-US" w:bidi="ar-SA"/>
      </w:rPr>
    </w:lvl>
    <w:lvl w:ilvl="1">
      <w:start w:val="0"/>
      <w:numFmt w:val="decimal"/>
      <w:lvlText w:val="%1.%2"/>
      <w:lvlJc w:val="left"/>
      <w:pPr>
        <w:ind w:left="2999" w:hanging="273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520" w:hanging="720"/>
      </w:pPr>
      <w:rPr>
        <w:rFonts w:hint="default"/>
        <w:lang w:val="en-US" w:eastAsia="en-US" w:bidi="ar-SA"/>
      </w:rPr>
    </w:lvl>
    <w:lvl w:ilvl="4">
      <w:start w:val="0"/>
      <w:numFmt w:val="bullet"/>
      <w:lvlText w:val="•"/>
      <w:lvlJc w:val="left"/>
      <w:pPr>
        <w:ind w:left="5280" w:hanging="720"/>
      </w:pPr>
      <w:rPr>
        <w:rFonts w:hint="default"/>
        <w:lang w:val="en-US" w:eastAsia="en-US" w:bidi="ar-SA"/>
      </w:rPr>
    </w:lvl>
    <w:lvl w:ilvl="5">
      <w:start w:val="0"/>
      <w:numFmt w:val="bullet"/>
      <w:lvlText w:val="•"/>
      <w:lvlJc w:val="left"/>
      <w:pPr>
        <w:ind w:left="6040" w:hanging="720"/>
      </w:pPr>
      <w:rPr>
        <w:rFonts w:hint="default"/>
        <w:lang w:val="en-US" w:eastAsia="en-US" w:bidi="ar-SA"/>
      </w:rPr>
    </w:lvl>
    <w:lvl w:ilvl="6">
      <w:start w:val="0"/>
      <w:numFmt w:val="bullet"/>
      <w:lvlText w:val="•"/>
      <w:lvlJc w:val="left"/>
      <w:pPr>
        <w:ind w:left="6800" w:hanging="720"/>
      </w:pPr>
      <w:rPr>
        <w:rFonts w:hint="default"/>
        <w:lang w:val="en-US" w:eastAsia="en-US" w:bidi="ar-SA"/>
      </w:rPr>
    </w:lvl>
    <w:lvl w:ilvl="7">
      <w:start w:val="0"/>
      <w:numFmt w:val="bullet"/>
      <w:lvlText w:val="•"/>
      <w:lvlJc w:val="left"/>
      <w:pPr>
        <w:ind w:left="7560" w:hanging="720"/>
      </w:pPr>
      <w:rPr>
        <w:rFonts w:hint="default"/>
        <w:lang w:val="en-US" w:eastAsia="en-US" w:bidi="ar-SA"/>
      </w:rPr>
    </w:lvl>
    <w:lvl w:ilvl="8">
      <w:start w:val="0"/>
      <w:numFmt w:val="bullet"/>
      <w:lvlText w:val="•"/>
      <w:lvlJc w:val="left"/>
      <w:pPr>
        <w:ind w:left="8320" w:hanging="720"/>
      </w:pPr>
      <w:rPr>
        <w:rFonts w:hint="default"/>
        <w:lang w:val="en-US" w:eastAsia="en-US" w:bidi="ar-SA"/>
      </w:rPr>
    </w:lvl>
  </w:abstractNum>
  <w:abstractNum w:abstractNumId="7">
    <w:multiLevelType w:val="hybridMultilevel"/>
    <w:lvl w:ilvl="0">
      <w:start w:val="1"/>
      <w:numFmt w:val="decimal"/>
      <w:lvlText w:val="(%1)"/>
      <w:lvlJc w:val="left"/>
      <w:pPr>
        <w:ind w:left="9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66" w:hanging="360"/>
      </w:pPr>
      <w:rPr>
        <w:rFonts w:hint="default"/>
        <w:lang w:val="en-US" w:eastAsia="en-US" w:bidi="ar-SA"/>
      </w:rPr>
    </w:lvl>
    <w:lvl w:ilvl="2">
      <w:start w:val="0"/>
      <w:numFmt w:val="bullet"/>
      <w:lvlText w:val="•"/>
      <w:lvlJc w:val="left"/>
      <w:pPr>
        <w:ind w:left="2752" w:hanging="360"/>
      </w:pPr>
      <w:rPr>
        <w:rFonts w:hint="default"/>
        <w:lang w:val="en-US" w:eastAsia="en-US" w:bidi="ar-SA"/>
      </w:rPr>
    </w:lvl>
    <w:lvl w:ilvl="3">
      <w:start w:val="0"/>
      <w:numFmt w:val="bullet"/>
      <w:lvlText w:val="•"/>
      <w:lvlJc w:val="left"/>
      <w:pPr>
        <w:ind w:left="3638" w:hanging="360"/>
      </w:pPr>
      <w:rPr>
        <w:rFonts w:hint="default"/>
        <w:lang w:val="en-US" w:eastAsia="en-US" w:bidi="ar-SA"/>
      </w:rPr>
    </w:lvl>
    <w:lvl w:ilvl="4">
      <w:start w:val="0"/>
      <w:numFmt w:val="bullet"/>
      <w:lvlText w:val="•"/>
      <w:lvlJc w:val="left"/>
      <w:pPr>
        <w:ind w:left="4524" w:hanging="360"/>
      </w:pPr>
      <w:rPr>
        <w:rFonts w:hint="default"/>
        <w:lang w:val="en-US" w:eastAsia="en-US" w:bidi="ar-SA"/>
      </w:rPr>
    </w:lvl>
    <w:lvl w:ilvl="5">
      <w:start w:val="0"/>
      <w:numFmt w:val="bullet"/>
      <w:lvlText w:val="•"/>
      <w:lvlJc w:val="left"/>
      <w:pPr>
        <w:ind w:left="5410" w:hanging="360"/>
      </w:pPr>
      <w:rPr>
        <w:rFonts w:hint="default"/>
        <w:lang w:val="en-US" w:eastAsia="en-US" w:bidi="ar-SA"/>
      </w:rPr>
    </w:lvl>
    <w:lvl w:ilvl="6">
      <w:start w:val="0"/>
      <w:numFmt w:val="bullet"/>
      <w:lvlText w:val="•"/>
      <w:lvlJc w:val="left"/>
      <w:pPr>
        <w:ind w:left="6296" w:hanging="360"/>
      </w:pPr>
      <w:rPr>
        <w:rFonts w:hint="default"/>
        <w:lang w:val="en-US" w:eastAsia="en-US" w:bidi="ar-SA"/>
      </w:rPr>
    </w:lvl>
    <w:lvl w:ilvl="7">
      <w:start w:val="0"/>
      <w:numFmt w:val="bullet"/>
      <w:lvlText w:val="•"/>
      <w:lvlJc w:val="left"/>
      <w:pPr>
        <w:ind w:left="7182" w:hanging="360"/>
      </w:pPr>
      <w:rPr>
        <w:rFonts w:hint="default"/>
        <w:lang w:val="en-US" w:eastAsia="en-US" w:bidi="ar-SA"/>
      </w:rPr>
    </w:lvl>
    <w:lvl w:ilvl="8">
      <w:start w:val="0"/>
      <w:numFmt w:val="bullet"/>
      <w:lvlText w:val="•"/>
      <w:lvlJc w:val="left"/>
      <w:pPr>
        <w:ind w:left="8068" w:hanging="360"/>
      </w:pPr>
      <w:rPr>
        <w:rFonts w:hint="default"/>
        <w:lang w:val="en-US" w:eastAsia="en-US" w:bidi="ar-SA"/>
      </w:rPr>
    </w:lvl>
  </w:abstractNum>
  <w:abstractNum w:abstractNumId="6">
    <w:multiLevelType w:val="hybridMultilevel"/>
    <w:lvl w:ilvl="0">
      <w:start w:val="0"/>
      <w:numFmt w:val="bullet"/>
      <w:lvlText w:val=""/>
      <w:lvlJc w:val="left"/>
      <w:pPr>
        <w:ind w:left="98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66" w:hanging="360"/>
      </w:pPr>
      <w:rPr>
        <w:rFonts w:hint="default"/>
        <w:lang w:val="en-US" w:eastAsia="en-US" w:bidi="ar-SA"/>
      </w:rPr>
    </w:lvl>
    <w:lvl w:ilvl="2">
      <w:start w:val="0"/>
      <w:numFmt w:val="bullet"/>
      <w:lvlText w:val="•"/>
      <w:lvlJc w:val="left"/>
      <w:pPr>
        <w:ind w:left="2752" w:hanging="360"/>
      </w:pPr>
      <w:rPr>
        <w:rFonts w:hint="default"/>
        <w:lang w:val="en-US" w:eastAsia="en-US" w:bidi="ar-SA"/>
      </w:rPr>
    </w:lvl>
    <w:lvl w:ilvl="3">
      <w:start w:val="0"/>
      <w:numFmt w:val="bullet"/>
      <w:lvlText w:val="•"/>
      <w:lvlJc w:val="left"/>
      <w:pPr>
        <w:ind w:left="3638" w:hanging="360"/>
      </w:pPr>
      <w:rPr>
        <w:rFonts w:hint="default"/>
        <w:lang w:val="en-US" w:eastAsia="en-US" w:bidi="ar-SA"/>
      </w:rPr>
    </w:lvl>
    <w:lvl w:ilvl="4">
      <w:start w:val="0"/>
      <w:numFmt w:val="bullet"/>
      <w:lvlText w:val="•"/>
      <w:lvlJc w:val="left"/>
      <w:pPr>
        <w:ind w:left="4524" w:hanging="360"/>
      </w:pPr>
      <w:rPr>
        <w:rFonts w:hint="default"/>
        <w:lang w:val="en-US" w:eastAsia="en-US" w:bidi="ar-SA"/>
      </w:rPr>
    </w:lvl>
    <w:lvl w:ilvl="5">
      <w:start w:val="0"/>
      <w:numFmt w:val="bullet"/>
      <w:lvlText w:val="•"/>
      <w:lvlJc w:val="left"/>
      <w:pPr>
        <w:ind w:left="5410" w:hanging="360"/>
      </w:pPr>
      <w:rPr>
        <w:rFonts w:hint="default"/>
        <w:lang w:val="en-US" w:eastAsia="en-US" w:bidi="ar-SA"/>
      </w:rPr>
    </w:lvl>
    <w:lvl w:ilvl="6">
      <w:start w:val="0"/>
      <w:numFmt w:val="bullet"/>
      <w:lvlText w:val="•"/>
      <w:lvlJc w:val="left"/>
      <w:pPr>
        <w:ind w:left="6296" w:hanging="360"/>
      </w:pPr>
      <w:rPr>
        <w:rFonts w:hint="default"/>
        <w:lang w:val="en-US" w:eastAsia="en-US" w:bidi="ar-SA"/>
      </w:rPr>
    </w:lvl>
    <w:lvl w:ilvl="7">
      <w:start w:val="0"/>
      <w:numFmt w:val="bullet"/>
      <w:lvlText w:val="•"/>
      <w:lvlJc w:val="left"/>
      <w:pPr>
        <w:ind w:left="7182" w:hanging="360"/>
      </w:pPr>
      <w:rPr>
        <w:rFonts w:hint="default"/>
        <w:lang w:val="en-US" w:eastAsia="en-US" w:bidi="ar-SA"/>
      </w:rPr>
    </w:lvl>
    <w:lvl w:ilvl="8">
      <w:start w:val="0"/>
      <w:numFmt w:val="bullet"/>
      <w:lvlText w:val="•"/>
      <w:lvlJc w:val="left"/>
      <w:pPr>
        <w:ind w:left="8068" w:hanging="360"/>
      </w:pPr>
      <w:rPr>
        <w:rFonts w:hint="default"/>
        <w:lang w:val="en-US" w:eastAsia="en-US" w:bidi="ar-SA"/>
      </w:rPr>
    </w:lvl>
  </w:abstractNum>
  <w:abstractNum w:abstractNumId="5">
    <w:multiLevelType w:val="hybridMultilevel"/>
    <w:lvl w:ilvl="0">
      <w:start w:val="2"/>
      <w:numFmt w:val="decimal"/>
      <w:lvlText w:val="%1"/>
      <w:lvlJc w:val="left"/>
      <w:pPr>
        <w:ind w:left="3568" w:hanging="3301"/>
        <w:jc w:val="left"/>
      </w:pPr>
      <w:rPr>
        <w:rFonts w:hint="default"/>
        <w:lang w:val="en-US" w:eastAsia="en-US" w:bidi="ar-SA"/>
      </w:rPr>
    </w:lvl>
    <w:lvl w:ilvl="1">
      <w:start w:val="0"/>
      <w:numFmt w:val="decimal"/>
      <w:lvlText w:val="%1.%2"/>
      <w:lvlJc w:val="left"/>
      <w:pPr>
        <w:ind w:left="3568" w:hanging="33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98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0"/>
      <w:numFmt w:val="bullet"/>
      <w:lvlText w:val=""/>
      <w:lvlJc w:val="left"/>
      <w:pPr>
        <w:ind w:left="987" w:hanging="360"/>
      </w:pPr>
      <w:rPr>
        <w:rFonts w:hint="default" w:ascii="Symbol" w:hAnsi="Symbol" w:eastAsia="Symbol" w:cs="Symbol"/>
        <w:b w:val="0"/>
        <w:bCs w:val="0"/>
        <w:i w:val="0"/>
        <w:iCs w:val="0"/>
        <w:spacing w:val="0"/>
        <w:w w:val="100"/>
        <w:sz w:val="24"/>
        <w:szCs w:val="24"/>
        <w:lang w:val="en-US" w:eastAsia="en-US" w:bidi="ar-SA"/>
      </w:rPr>
    </w:lvl>
    <w:lvl w:ilvl="5">
      <w:start w:val="0"/>
      <w:numFmt w:val="bullet"/>
      <w:lvlText w:val="•"/>
      <w:lvlJc w:val="left"/>
      <w:pPr>
        <w:ind w:left="4606" w:hanging="360"/>
      </w:pPr>
      <w:rPr>
        <w:rFonts w:hint="default"/>
        <w:lang w:val="en-US" w:eastAsia="en-US" w:bidi="ar-SA"/>
      </w:rPr>
    </w:lvl>
    <w:lvl w:ilvl="6">
      <w:start w:val="0"/>
      <w:numFmt w:val="bullet"/>
      <w:lvlText w:val="•"/>
      <w:lvlJc w:val="left"/>
      <w:pPr>
        <w:ind w:left="5653" w:hanging="360"/>
      </w:pPr>
      <w:rPr>
        <w:rFonts w:hint="default"/>
        <w:lang w:val="en-US" w:eastAsia="en-US" w:bidi="ar-SA"/>
      </w:rPr>
    </w:lvl>
    <w:lvl w:ilvl="7">
      <w:start w:val="0"/>
      <w:numFmt w:val="bullet"/>
      <w:lvlText w:val="•"/>
      <w:lvlJc w:val="left"/>
      <w:pPr>
        <w:ind w:left="6700" w:hanging="360"/>
      </w:pPr>
      <w:rPr>
        <w:rFonts w:hint="default"/>
        <w:lang w:val="en-US" w:eastAsia="en-US" w:bidi="ar-SA"/>
      </w:rPr>
    </w:lvl>
    <w:lvl w:ilvl="8">
      <w:start w:val="0"/>
      <w:numFmt w:val="bullet"/>
      <w:lvlText w:val="•"/>
      <w:lvlJc w:val="left"/>
      <w:pPr>
        <w:ind w:left="7746" w:hanging="360"/>
      </w:pPr>
      <w:rPr>
        <w:rFonts w:hint="default"/>
        <w:lang w:val="en-US" w:eastAsia="en-US" w:bidi="ar-SA"/>
      </w:rPr>
    </w:lvl>
  </w:abstractNum>
  <w:abstractNum w:abstractNumId="1">
    <w:multiLevelType w:val="hybridMultilevel"/>
    <w:lvl w:ilvl="0">
      <w:start w:val="1"/>
      <w:numFmt w:val="upperRoman"/>
      <w:lvlText w:val="%1."/>
      <w:lvlJc w:val="left"/>
      <w:pPr>
        <w:ind w:left="1347"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128" w:hanging="720"/>
      </w:pPr>
      <w:rPr>
        <w:rFonts w:hint="default"/>
        <w:lang w:val="en-US" w:eastAsia="en-US" w:bidi="ar-SA"/>
      </w:rPr>
    </w:lvl>
    <w:lvl w:ilvl="2">
      <w:start w:val="0"/>
      <w:numFmt w:val="bullet"/>
      <w:lvlText w:val="•"/>
      <w:lvlJc w:val="left"/>
      <w:pPr>
        <w:ind w:left="2916" w:hanging="720"/>
      </w:pPr>
      <w:rPr>
        <w:rFonts w:hint="default"/>
        <w:lang w:val="en-US" w:eastAsia="en-US" w:bidi="ar-SA"/>
      </w:rPr>
    </w:lvl>
    <w:lvl w:ilvl="3">
      <w:start w:val="0"/>
      <w:numFmt w:val="bullet"/>
      <w:lvlText w:val="•"/>
      <w:lvlJc w:val="left"/>
      <w:pPr>
        <w:ind w:left="3704" w:hanging="720"/>
      </w:pPr>
      <w:rPr>
        <w:rFonts w:hint="default"/>
        <w:lang w:val="en-US" w:eastAsia="en-US" w:bidi="ar-SA"/>
      </w:rPr>
    </w:lvl>
    <w:lvl w:ilvl="4">
      <w:start w:val="0"/>
      <w:numFmt w:val="bullet"/>
      <w:lvlText w:val="•"/>
      <w:lvlJc w:val="left"/>
      <w:pPr>
        <w:ind w:left="4492" w:hanging="720"/>
      </w:pPr>
      <w:rPr>
        <w:rFonts w:hint="default"/>
        <w:lang w:val="en-US" w:eastAsia="en-US" w:bidi="ar-SA"/>
      </w:rPr>
    </w:lvl>
    <w:lvl w:ilvl="5">
      <w:start w:val="0"/>
      <w:numFmt w:val="bullet"/>
      <w:lvlText w:val="•"/>
      <w:lvlJc w:val="left"/>
      <w:pPr>
        <w:ind w:left="5280" w:hanging="720"/>
      </w:pPr>
      <w:rPr>
        <w:rFonts w:hint="default"/>
        <w:lang w:val="en-US" w:eastAsia="en-US" w:bidi="ar-SA"/>
      </w:rPr>
    </w:lvl>
    <w:lvl w:ilvl="6">
      <w:start w:val="0"/>
      <w:numFmt w:val="bullet"/>
      <w:lvlText w:val="•"/>
      <w:lvlJc w:val="left"/>
      <w:pPr>
        <w:ind w:left="6068" w:hanging="720"/>
      </w:pPr>
      <w:rPr>
        <w:rFonts w:hint="default"/>
        <w:lang w:val="en-US" w:eastAsia="en-US" w:bidi="ar-SA"/>
      </w:rPr>
    </w:lvl>
    <w:lvl w:ilvl="7">
      <w:start w:val="0"/>
      <w:numFmt w:val="bullet"/>
      <w:lvlText w:val="•"/>
      <w:lvlJc w:val="left"/>
      <w:pPr>
        <w:ind w:left="6856" w:hanging="720"/>
      </w:pPr>
      <w:rPr>
        <w:rFonts w:hint="default"/>
        <w:lang w:val="en-US" w:eastAsia="en-US" w:bidi="ar-SA"/>
      </w:rPr>
    </w:lvl>
    <w:lvl w:ilvl="8">
      <w:start w:val="0"/>
      <w:numFmt w:val="bullet"/>
      <w:lvlText w:val="•"/>
      <w:lvlJc w:val="left"/>
      <w:pPr>
        <w:ind w:left="7644" w:hanging="720"/>
      </w:pPr>
      <w:rPr>
        <w:rFonts w:hint="default"/>
        <w:lang w:val="en-US" w:eastAsia="en-US" w:bidi="ar-SA"/>
      </w:rPr>
    </w:lvl>
  </w:abstractNum>
  <w:abstractNum w:abstractNumId="4">
    <w:multiLevelType w:val="hybridMultilevel"/>
    <w:lvl w:ilvl="0">
      <w:start w:val="1"/>
      <w:numFmt w:val="upperRoman"/>
      <w:lvlText w:val="%1."/>
      <w:lvlJc w:val="left"/>
      <w:pPr>
        <w:ind w:left="987"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1804" w:hanging="500"/>
      </w:pPr>
      <w:rPr>
        <w:rFonts w:hint="default"/>
        <w:lang w:val="en-US" w:eastAsia="en-US" w:bidi="ar-SA"/>
      </w:rPr>
    </w:lvl>
    <w:lvl w:ilvl="2">
      <w:start w:val="0"/>
      <w:numFmt w:val="bullet"/>
      <w:lvlText w:val="•"/>
      <w:lvlJc w:val="left"/>
      <w:pPr>
        <w:ind w:left="2628" w:hanging="500"/>
      </w:pPr>
      <w:rPr>
        <w:rFonts w:hint="default"/>
        <w:lang w:val="en-US" w:eastAsia="en-US" w:bidi="ar-SA"/>
      </w:rPr>
    </w:lvl>
    <w:lvl w:ilvl="3">
      <w:start w:val="0"/>
      <w:numFmt w:val="bullet"/>
      <w:lvlText w:val="•"/>
      <w:lvlJc w:val="left"/>
      <w:pPr>
        <w:ind w:left="3452" w:hanging="500"/>
      </w:pPr>
      <w:rPr>
        <w:rFonts w:hint="default"/>
        <w:lang w:val="en-US" w:eastAsia="en-US" w:bidi="ar-SA"/>
      </w:rPr>
    </w:lvl>
    <w:lvl w:ilvl="4">
      <w:start w:val="0"/>
      <w:numFmt w:val="bullet"/>
      <w:lvlText w:val="•"/>
      <w:lvlJc w:val="left"/>
      <w:pPr>
        <w:ind w:left="4276" w:hanging="500"/>
      </w:pPr>
      <w:rPr>
        <w:rFonts w:hint="default"/>
        <w:lang w:val="en-US" w:eastAsia="en-US" w:bidi="ar-SA"/>
      </w:rPr>
    </w:lvl>
    <w:lvl w:ilvl="5">
      <w:start w:val="0"/>
      <w:numFmt w:val="bullet"/>
      <w:lvlText w:val="•"/>
      <w:lvlJc w:val="left"/>
      <w:pPr>
        <w:ind w:left="5100" w:hanging="500"/>
      </w:pPr>
      <w:rPr>
        <w:rFonts w:hint="default"/>
        <w:lang w:val="en-US" w:eastAsia="en-US" w:bidi="ar-SA"/>
      </w:rPr>
    </w:lvl>
    <w:lvl w:ilvl="6">
      <w:start w:val="0"/>
      <w:numFmt w:val="bullet"/>
      <w:lvlText w:val="•"/>
      <w:lvlJc w:val="left"/>
      <w:pPr>
        <w:ind w:left="5924" w:hanging="500"/>
      </w:pPr>
      <w:rPr>
        <w:rFonts w:hint="default"/>
        <w:lang w:val="en-US" w:eastAsia="en-US" w:bidi="ar-SA"/>
      </w:rPr>
    </w:lvl>
    <w:lvl w:ilvl="7">
      <w:start w:val="0"/>
      <w:numFmt w:val="bullet"/>
      <w:lvlText w:val="•"/>
      <w:lvlJc w:val="left"/>
      <w:pPr>
        <w:ind w:left="6748" w:hanging="500"/>
      </w:pPr>
      <w:rPr>
        <w:rFonts w:hint="default"/>
        <w:lang w:val="en-US" w:eastAsia="en-US" w:bidi="ar-SA"/>
      </w:rPr>
    </w:lvl>
    <w:lvl w:ilvl="8">
      <w:start w:val="0"/>
      <w:numFmt w:val="bullet"/>
      <w:lvlText w:val="•"/>
      <w:lvlJc w:val="left"/>
      <w:pPr>
        <w:ind w:left="7572" w:hanging="500"/>
      </w:pPr>
      <w:rPr>
        <w:rFonts w:hint="default"/>
        <w:lang w:val="en-US" w:eastAsia="en-US" w:bidi="ar-SA"/>
      </w:rPr>
    </w:lvl>
  </w:abstractNum>
  <w:abstractNum w:abstractNumId="3">
    <w:multiLevelType w:val="hybridMultilevel"/>
    <w:lvl w:ilvl="0">
      <w:start w:val="1"/>
      <w:numFmt w:val="upperRoman"/>
      <w:lvlText w:val="%1."/>
      <w:lvlJc w:val="left"/>
      <w:pPr>
        <w:ind w:left="267" w:hanging="720"/>
        <w:jc w:val="left"/>
      </w:pPr>
      <w:rPr>
        <w:rFonts w:hint="default" w:ascii="Times New Roman" w:hAnsi="Times New Roman" w:eastAsia="Times New Roman" w:cs="Times New Roman"/>
        <w:b w:val="0"/>
        <w:bCs w:val="0"/>
        <w:i w:val="0"/>
        <w:iCs w:val="0"/>
        <w:spacing w:val="-4"/>
        <w:w w:val="100"/>
        <w:position w:val="1"/>
        <w:sz w:val="24"/>
        <w:szCs w:val="24"/>
        <w:lang w:val="en-US" w:eastAsia="en-US" w:bidi="ar-SA"/>
      </w:rPr>
    </w:lvl>
    <w:lvl w:ilvl="1">
      <w:start w:val="0"/>
      <w:numFmt w:val="bullet"/>
      <w:lvlText w:val="•"/>
      <w:lvlJc w:val="left"/>
      <w:pPr>
        <w:ind w:left="1156" w:hanging="720"/>
      </w:pPr>
      <w:rPr>
        <w:rFonts w:hint="default"/>
        <w:lang w:val="en-US" w:eastAsia="en-US" w:bidi="ar-SA"/>
      </w:rPr>
    </w:lvl>
    <w:lvl w:ilvl="2">
      <w:start w:val="0"/>
      <w:numFmt w:val="bullet"/>
      <w:lvlText w:val="•"/>
      <w:lvlJc w:val="left"/>
      <w:pPr>
        <w:ind w:left="2052" w:hanging="720"/>
      </w:pPr>
      <w:rPr>
        <w:rFonts w:hint="default"/>
        <w:lang w:val="en-US" w:eastAsia="en-US" w:bidi="ar-SA"/>
      </w:rPr>
    </w:lvl>
    <w:lvl w:ilvl="3">
      <w:start w:val="0"/>
      <w:numFmt w:val="bullet"/>
      <w:lvlText w:val="•"/>
      <w:lvlJc w:val="left"/>
      <w:pPr>
        <w:ind w:left="2948" w:hanging="720"/>
      </w:pPr>
      <w:rPr>
        <w:rFonts w:hint="default"/>
        <w:lang w:val="en-US" w:eastAsia="en-US" w:bidi="ar-SA"/>
      </w:rPr>
    </w:lvl>
    <w:lvl w:ilvl="4">
      <w:start w:val="0"/>
      <w:numFmt w:val="bullet"/>
      <w:lvlText w:val="•"/>
      <w:lvlJc w:val="left"/>
      <w:pPr>
        <w:ind w:left="3844" w:hanging="720"/>
      </w:pPr>
      <w:rPr>
        <w:rFonts w:hint="default"/>
        <w:lang w:val="en-US" w:eastAsia="en-US" w:bidi="ar-SA"/>
      </w:rPr>
    </w:lvl>
    <w:lvl w:ilvl="5">
      <w:start w:val="0"/>
      <w:numFmt w:val="bullet"/>
      <w:lvlText w:val="•"/>
      <w:lvlJc w:val="left"/>
      <w:pPr>
        <w:ind w:left="4740" w:hanging="720"/>
      </w:pPr>
      <w:rPr>
        <w:rFonts w:hint="default"/>
        <w:lang w:val="en-US" w:eastAsia="en-US" w:bidi="ar-SA"/>
      </w:rPr>
    </w:lvl>
    <w:lvl w:ilvl="6">
      <w:start w:val="0"/>
      <w:numFmt w:val="bullet"/>
      <w:lvlText w:val="•"/>
      <w:lvlJc w:val="left"/>
      <w:pPr>
        <w:ind w:left="5636" w:hanging="720"/>
      </w:pPr>
      <w:rPr>
        <w:rFonts w:hint="default"/>
        <w:lang w:val="en-US" w:eastAsia="en-US" w:bidi="ar-SA"/>
      </w:rPr>
    </w:lvl>
    <w:lvl w:ilvl="7">
      <w:start w:val="0"/>
      <w:numFmt w:val="bullet"/>
      <w:lvlText w:val="•"/>
      <w:lvlJc w:val="left"/>
      <w:pPr>
        <w:ind w:left="6532" w:hanging="720"/>
      </w:pPr>
      <w:rPr>
        <w:rFonts w:hint="default"/>
        <w:lang w:val="en-US" w:eastAsia="en-US" w:bidi="ar-SA"/>
      </w:rPr>
    </w:lvl>
    <w:lvl w:ilvl="8">
      <w:start w:val="0"/>
      <w:numFmt w:val="bullet"/>
      <w:lvlText w:val="•"/>
      <w:lvlJc w:val="left"/>
      <w:pPr>
        <w:ind w:left="7428" w:hanging="720"/>
      </w:pPr>
      <w:rPr>
        <w:rFonts w:hint="default"/>
        <w:lang w:val="en-US" w:eastAsia="en-US" w:bidi="ar-SA"/>
      </w:rPr>
    </w:lvl>
  </w:abstractNum>
  <w:abstractNum w:abstractNumId="2">
    <w:multiLevelType w:val="hybridMultilevel"/>
    <w:lvl w:ilvl="0">
      <w:start w:val="1"/>
      <w:numFmt w:val="upperRoman"/>
      <w:lvlText w:val="%1."/>
      <w:lvlJc w:val="left"/>
      <w:pPr>
        <w:ind w:left="1047" w:hanging="78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1858" w:hanging="780"/>
      </w:pPr>
      <w:rPr>
        <w:rFonts w:hint="default"/>
        <w:lang w:val="en-US" w:eastAsia="en-US" w:bidi="ar-SA"/>
      </w:rPr>
    </w:lvl>
    <w:lvl w:ilvl="2">
      <w:start w:val="0"/>
      <w:numFmt w:val="bullet"/>
      <w:lvlText w:val="•"/>
      <w:lvlJc w:val="left"/>
      <w:pPr>
        <w:ind w:left="2676" w:hanging="780"/>
      </w:pPr>
      <w:rPr>
        <w:rFonts w:hint="default"/>
        <w:lang w:val="en-US" w:eastAsia="en-US" w:bidi="ar-SA"/>
      </w:rPr>
    </w:lvl>
    <w:lvl w:ilvl="3">
      <w:start w:val="0"/>
      <w:numFmt w:val="bullet"/>
      <w:lvlText w:val="•"/>
      <w:lvlJc w:val="left"/>
      <w:pPr>
        <w:ind w:left="3494" w:hanging="780"/>
      </w:pPr>
      <w:rPr>
        <w:rFonts w:hint="default"/>
        <w:lang w:val="en-US" w:eastAsia="en-US" w:bidi="ar-SA"/>
      </w:rPr>
    </w:lvl>
    <w:lvl w:ilvl="4">
      <w:start w:val="0"/>
      <w:numFmt w:val="bullet"/>
      <w:lvlText w:val="•"/>
      <w:lvlJc w:val="left"/>
      <w:pPr>
        <w:ind w:left="4312" w:hanging="780"/>
      </w:pPr>
      <w:rPr>
        <w:rFonts w:hint="default"/>
        <w:lang w:val="en-US" w:eastAsia="en-US" w:bidi="ar-SA"/>
      </w:rPr>
    </w:lvl>
    <w:lvl w:ilvl="5">
      <w:start w:val="0"/>
      <w:numFmt w:val="bullet"/>
      <w:lvlText w:val="•"/>
      <w:lvlJc w:val="left"/>
      <w:pPr>
        <w:ind w:left="5130" w:hanging="780"/>
      </w:pPr>
      <w:rPr>
        <w:rFonts w:hint="default"/>
        <w:lang w:val="en-US" w:eastAsia="en-US" w:bidi="ar-SA"/>
      </w:rPr>
    </w:lvl>
    <w:lvl w:ilvl="6">
      <w:start w:val="0"/>
      <w:numFmt w:val="bullet"/>
      <w:lvlText w:val="•"/>
      <w:lvlJc w:val="left"/>
      <w:pPr>
        <w:ind w:left="5948" w:hanging="780"/>
      </w:pPr>
      <w:rPr>
        <w:rFonts w:hint="default"/>
        <w:lang w:val="en-US" w:eastAsia="en-US" w:bidi="ar-SA"/>
      </w:rPr>
    </w:lvl>
    <w:lvl w:ilvl="7">
      <w:start w:val="0"/>
      <w:numFmt w:val="bullet"/>
      <w:lvlText w:val="•"/>
      <w:lvlJc w:val="left"/>
      <w:pPr>
        <w:ind w:left="6766" w:hanging="780"/>
      </w:pPr>
      <w:rPr>
        <w:rFonts w:hint="default"/>
        <w:lang w:val="en-US" w:eastAsia="en-US" w:bidi="ar-SA"/>
      </w:rPr>
    </w:lvl>
    <w:lvl w:ilvl="8">
      <w:start w:val="0"/>
      <w:numFmt w:val="bullet"/>
      <w:lvlText w:val="•"/>
      <w:lvlJc w:val="left"/>
      <w:pPr>
        <w:ind w:left="7584" w:hanging="780"/>
      </w:pPr>
      <w:rPr>
        <w:rFonts w:hint="default"/>
        <w:lang w:val="en-US" w:eastAsia="en-US" w:bidi="ar-SA"/>
      </w:rPr>
    </w:lvl>
  </w:abstractNum>
  <w:abstractNum w:abstractNumId="0">
    <w:multiLevelType w:val="hybridMultilevel"/>
    <w:lvl w:ilvl="0">
      <w:start w:val="1"/>
      <w:numFmt w:val="decimal"/>
      <w:lvlText w:val="%1"/>
      <w:lvlJc w:val="left"/>
      <w:pPr>
        <w:ind w:left="3729" w:hanging="3462"/>
        <w:jc w:val="left"/>
      </w:pPr>
      <w:rPr>
        <w:rFonts w:hint="default"/>
        <w:lang w:val="en-US" w:eastAsia="en-US" w:bidi="ar-SA"/>
      </w:rPr>
    </w:lvl>
    <w:lvl w:ilvl="1">
      <w:start w:val="0"/>
      <w:numFmt w:val="decimal"/>
      <w:lvlText w:val="%1.%2"/>
      <w:lvlJc w:val="left"/>
      <w:pPr>
        <w:ind w:left="3729" w:hanging="346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942" w:hanging="720"/>
      </w:pPr>
      <w:rPr>
        <w:rFonts w:hint="default"/>
        <w:lang w:val="en-US" w:eastAsia="en-US" w:bidi="ar-SA"/>
      </w:rPr>
    </w:lvl>
    <w:lvl w:ilvl="4">
      <w:start w:val="0"/>
      <w:numFmt w:val="bullet"/>
      <w:lvlText w:val="•"/>
      <w:lvlJc w:val="left"/>
      <w:pPr>
        <w:ind w:left="5553" w:hanging="720"/>
      </w:pPr>
      <w:rPr>
        <w:rFonts w:hint="default"/>
        <w:lang w:val="en-US" w:eastAsia="en-US" w:bidi="ar-SA"/>
      </w:rPr>
    </w:lvl>
    <w:lvl w:ilvl="5">
      <w:start w:val="0"/>
      <w:numFmt w:val="bullet"/>
      <w:lvlText w:val="•"/>
      <w:lvlJc w:val="left"/>
      <w:pPr>
        <w:ind w:left="6164" w:hanging="720"/>
      </w:pPr>
      <w:rPr>
        <w:rFonts w:hint="default"/>
        <w:lang w:val="en-US" w:eastAsia="en-US" w:bidi="ar-SA"/>
      </w:rPr>
    </w:lvl>
    <w:lvl w:ilvl="6">
      <w:start w:val="0"/>
      <w:numFmt w:val="bullet"/>
      <w:lvlText w:val="•"/>
      <w:lvlJc w:val="left"/>
      <w:pPr>
        <w:ind w:left="6775" w:hanging="720"/>
      </w:pPr>
      <w:rPr>
        <w:rFonts w:hint="default"/>
        <w:lang w:val="en-US" w:eastAsia="en-US" w:bidi="ar-SA"/>
      </w:rPr>
    </w:lvl>
    <w:lvl w:ilvl="7">
      <w:start w:val="0"/>
      <w:numFmt w:val="bullet"/>
      <w:lvlText w:val="•"/>
      <w:lvlJc w:val="left"/>
      <w:pPr>
        <w:ind w:left="7386" w:hanging="720"/>
      </w:pPr>
      <w:rPr>
        <w:rFonts w:hint="default"/>
        <w:lang w:val="en-US" w:eastAsia="en-US" w:bidi="ar-SA"/>
      </w:rPr>
    </w:lvl>
    <w:lvl w:ilvl="8">
      <w:start w:val="0"/>
      <w:numFmt w:val="bullet"/>
      <w:lvlText w:val="•"/>
      <w:lvlJc w:val="left"/>
      <w:pPr>
        <w:ind w:left="7997" w:hanging="720"/>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67"/>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8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image" Target="media/image30.png"/><Relationship Id="rId40" Type="http://schemas.openxmlformats.org/officeDocument/2006/relationships/image" Target="media/image31.jpeg"/><Relationship Id="rId41" Type="http://schemas.openxmlformats.org/officeDocument/2006/relationships/footer" Target="footer6.xml"/><Relationship Id="rId42" Type="http://schemas.openxmlformats.org/officeDocument/2006/relationships/footer" Target="footer7.xml"/><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footer" Target="footer8.xml"/><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footer" Target="footer11.xml"/><Relationship Id="rId60" Type="http://schemas.openxmlformats.org/officeDocument/2006/relationships/footer" Target="footer12.xml"/><Relationship Id="rId61" Type="http://schemas.openxmlformats.org/officeDocument/2006/relationships/footer" Target="footer13.xml"/><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footer" Target="footer14.xml"/><Relationship Id="rId68" Type="http://schemas.openxmlformats.org/officeDocument/2006/relationships/footer" Target="footer15.xml"/><Relationship Id="rId69" Type="http://schemas.openxmlformats.org/officeDocument/2006/relationships/hyperlink" Target="https://www.sciencedirect.com/science/article/pii/S0166497201000566?via%3Dihub&amp;!" TargetMode="External"/><Relationship Id="rId70" Type="http://schemas.openxmlformats.org/officeDocument/2006/relationships/hyperlink" Target="http://dx.doi.org/10.4314/mlr.v7i2.5" TargetMode="External"/><Relationship Id="rId71" Type="http://schemas.openxmlformats.org/officeDocument/2006/relationships/hyperlink" Target="https://doi.org/10.1007/s10584-013-0853-x" TargetMode="External"/><Relationship Id="rId72" Type="http://schemas.openxmlformats.org/officeDocument/2006/relationships/hyperlink" Target="https://doi.org/" TargetMode="External"/><Relationship Id="rId73" Type="http://schemas.openxmlformats.org/officeDocument/2006/relationships/hyperlink" Target="http://www.thecommonsjournal.org/" TargetMode="External"/><Relationship Id="rId74" Type="http://schemas.openxmlformats.org/officeDocument/2006/relationships/hyperlink" Target="http://compositeindicators.jrc.ec.europa.eu/Handbook.htm" TargetMode="External"/><Relationship Id="rId75" Type="http://schemas.openxmlformats.org/officeDocument/2006/relationships/hyperlink" Target="https://www.rwlwater.com/what-is-water-scarcity/" TargetMode="External"/><Relationship Id="rId76" Type="http://schemas.openxmlformats.org/officeDocument/2006/relationships/hyperlink" Target="http://pacinst.org/water-definitions/" TargetMode="External"/><Relationship Id="rId77" Type="http://schemas.openxmlformats.org/officeDocument/2006/relationships/hyperlink" Target="https://sustainabledevelopment.un.org/?menu=1300" TargetMode="External"/><Relationship Id="rId78" Type="http://schemas.openxmlformats.org/officeDocument/2006/relationships/hyperlink" Target="http://www.fao.org/nr/water/docs/escarcity.pdf" TargetMode="External"/><Relationship Id="rId79" Type="http://schemas.openxmlformats.org/officeDocument/2006/relationships/hyperlink" Target="http://www.iwmi.cgiar.org/News_Room/pdf/Understanding_water_scarcity.pdf" TargetMode="External"/><Relationship Id="rId80" Type="http://schemas.openxmlformats.org/officeDocument/2006/relationships/hyperlink" Target="http://www.un.org/press/en/2007/pop952.doc.htm" TargetMode="External"/><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neefah300@gmail.com</dc:creator>
  <dcterms:created xsi:type="dcterms:W3CDTF">2023-11-04T06:15:51Z</dcterms:created>
  <dcterms:modified xsi:type="dcterms:W3CDTF">2023-11-04T06:15:51Z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2022-03-07T00:00:00Z</vt:filetime>
  </property>
  <property fmtid="{D5CDD505-2E9C-101B-9397-08002B2CF9AE}" pid="3" name="Creator">
    <vt:lpwstr>Microsoft® Word 2013</vt:lpwstr>
  </property>
  <property fmtid="{D5CDD505-2E9C-101B-9397-08002B2CF9AE}" pid="4" name="LastSaved">
    <vt:filetime>2023-11-04T00:00:00Z</vt:filetime>
  </property>
  <property fmtid="{D5CDD505-2E9C-101B-9397-08002B2CF9AE}" pid="5" name="Producer">
    <vt:lpwstr>Microsoft® Word 2013</vt:lpwstr>
  </property>
</Properties>
</file>