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word/footer2.xml" ContentType="application/vnd.openxmlformats-officedocument.wordprocessingml.footer+xml"/>
  <Default Extension="png" ContentType="image/png"/>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Heading1"/>
        <w:spacing w:line="480" w:lineRule="auto"/>
        <w:ind w:left="981" w:right="396" w:firstLine="1505"/>
      </w:pPr>
      <w:r>
        <w:rPr/>
        <w:t>AMERICAN UNIVERSITY OF NIGERIA DEPARTMENT</w:t>
      </w:r>
      <w:r>
        <w:rPr>
          <w:spacing w:val="-7"/>
        </w:rPr>
        <w:t> </w:t>
      </w:r>
      <w:r>
        <w:rPr/>
        <w:t>OF</w:t>
      </w:r>
      <w:r>
        <w:rPr>
          <w:spacing w:val="-9"/>
        </w:rPr>
        <w:t> </w:t>
      </w:r>
      <w:r>
        <w:rPr/>
        <w:t>NATURAL</w:t>
      </w:r>
      <w:r>
        <w:rPr>
          <w:spacing w:val="-7"/>
        </w:rPr>
        <w:t> </w:t>
      </w:r>
      <w:r>
        <w:rPr/>
        <w:t>AND</w:t>
      </w:r>
      <w:r>
        <w:rPr>
          <w:spacing w:val="-7"/>
        </w:rPr>
        <w:t> </w:t>
      </w:r>
      <w:r>
        <w:rPr/>
        <w:t>ENVIRONMENTAL</w:t>
      </w:r>
      <w:r>
        <w:rPr>
          <w:spacing w:val="-7"/>
        </w:rPr>
        <w:t> </w:t>
      </w:r>
      <w:r>
        <w:rPr/>
        <w:t>SCIENCES</w:t>
      </w:r>
    </w:p>
    <w:p>
      <w:pPr>
        <w:pStyle w:val="BodyText"/>
        <w:rPr>
          <w:b/>
        </w:rPr>
      </w:pPr>
    </w:p>
    <w:p>
      <w:pPr>
        <w:pStyle w:val="BodyText"/>
        <w:rPr>
          <w:b/>
        </w:rPr>
      </w:pPr>
    </w:p>
    <w:p>
      <w:pPr>
        <w:pStyle w:val="BodyText"/>
        <w:spacing w:before="1"/>
        <w:ind w:left="907" w:right="500"/>
        <w:jc w:val="center"/>
      </w:pPr>
      <w:r>
        <w:rPr/>
        <w:t>Senior</w:t>
      </w:r>
      <w:r>
        <w:rPr>
          <w:spacing w:val="-2"/>
        </w:rPr>
        <w:t> </w:t>
      </w:r>
      <w:r>
        <w:rPr/>
        <w:t>Research</w:t>
      </w:r>
      <w:r>
        <w:rPr>
          <w:spacing w:val="-2"/>
        </w:rPr>
        <w:t> Thesis</w:t>
      </w:r>
    </w:p>
    <w:p>
      <w:pPr>
        <w:pStyle w:val="BodyText"/>
      </w:pPr>
    </w:p>
    <w:p>
      <w:pPr>
        <w:pStyle w:val="BodyText"/>
      </w:pPr>
    </w:p>
    <w:p>
      <w:pPr>
        <w:pStyle w:val="BodyText"/>
      </w:pPr>
    </w:p>
    <w:p>
      <w:pPr>
        <w:pStyle w:val="BodyText"/>
        <w:spacing w:before="238"/>
      </w:pPr>
    </w:p>
    <w:p>
      <w:pPr>
        <w:spacing w:line="360" w:lineRule="auto" w:before="1"/>
        <w:ind w:left="907" w:right="495" w:firstLine="0"/>
        <w:jc w:val="center"/>
        <w:rPr>
          <w:rFonts w:ascii="Calibri"/>
          <w:b/>
          <w:sz w:val="28"/>
        </w:rPr>
      </w:pPr>
      <w:r>
        <w:rPr>
          <w:rFonts w:ascii="Calibri"/>
          <w:b/>
          <w:sz w:val="28"/>
        </w:rPr>
        <w:t>ASSESMENT</w:t>
      </w:r>
      <w:r>
        <w:rPr>
          <w:rFonts w:ascii="Calibri"/>
          <w:b/>
          <w:spacing w:val="-5"/>
          <w:sz w:val="28"/>
        </w:rPr>
        <w:t> </w:t>
      </w:r>
      <w:r>
        <w:rPr>
          <w:rFonts w:ascii="Calibri"/>
          <w:b/>
          <w:sz w:val="28"/>
        </w:rPr>
        <w:t>OF</w:t>
      </w:r>
      <w:r>
        <w:rPr>
          <w:rFonts w:ascii="Calibri"/>
          <w:b/>
          <w:spacing w:val="-4"/>
          <w:sz w:val="28"/>
        </w:rPr>
        <w:t> </w:t>
      </w:r>
      <w:r>
        <w:rPr>
          <w:rFonts w:ascii="Calibri"/>
          <w:b/>
          <w:sz w:val="28"/>
        </w:rPr>
        <w:t>CARBON</w:t>
      </w:r>
      <w:r>
        <w:rPr>
          <w:rFonts w:ascii="Calibri"/>
          <w:b/>
          <w:spacing w:val="-6"/>
          <w:sz w:val="28"/>
        </w:rPr>
        <w:t> </w:t>
      </w:r>
      <w:r>
        <w:rPr>
          <w:rFonts w:ascii="Calibri"/>
          <w:b/>
          <w:sz w:val="28"/>
        </w:rPr>
        <w:t>MONOXIDE</w:t>
      </w:r>
      <w:r>
        <w:rPr>
          <w:rFonts w:ascii="Calibri"/>
          <w:b/>
          <w:spacing w:val="-5"/>
          <w:sz w:val="28"/>
        </w:rPr>
        <w:t> </w:t>
      </w:r>
      <w:r>
        <w:rPr>
          <w:rFonts w:ascii="Calibri"/>
          <w:b/>
          <w:sz w:val="28"/>
        </w:rPr>
        <w:t>FROM</w:t>
      </w:r>
      <w:r>
        <w:rPr>
          <w:rFonts w:ascii="Calibri"/>
          <w:b/>
          <w:spacing w:val="-6"/>
          <w:sz w:val="28"/>
        </w:rPr>
        <w:t> </w:t>
      </w:r>
      <w:r>
        <w:rPr>
          <w:rFonts w:ascii="Calibri"/>
          <w:b/>
          <w:sz w:val="28"/>
        </w:rPr>
        <w:t>BIOMASS</w:t>
      </w:r>
      <w:r>
        <w:rPr>
          <w:rFonts w:ascii="Calibri"/>
          <w:b/>
          <w:spacing w:val="-7"/>
          <w:sz w:val="28"/>
        </w:rPr>
        <w:t> </w:t>
      </w:r>
      <w:r>
        <w:rPr>
          <w:rFonts w:ascii="Calibri"/>
          <w:b/>
          <w:sz w:val="28"/>
        </w:rPr>
        <w:t>BURNING IN RURAL HOUSEHOLDS IN ADAMAWA STATE,</w:t>
      </w:r>
    </w:p>
    <w:p>
      <w:pPr>
        <w:spacing w:before="1"/>
        <w:ind w:left="909" w:right="495" w:firstLine="0"/>
        <w:jc w:val="center"/>
        <w:rPr>
          <w:rFonts w:ascii="Calibri"/>
          <w:b/>
          <w:sz w:val="28"/>
        </w:rPr>
      </w:pPr>
      <w:r>
        <w:rPr>
          <w:rFonts w:ascii="Calibri"/>
          <w:b/>
          <w:sz w:val="28"/>
        </w:rPr>
        <w:t>NORTHEASTERN</w:t>
      </w:r>
      <w:r>
        <w:rPr>
          <w:rFonts w:ascii="Calibri"/>
          <w:b/>
          <w:spacing w:val="-5"/>
          <w:sz w:val="28"/>
        </w:rPr>
        <w:t> </w:t>
      </w:r>
      <w:r>
        <w:rPr>
          <w:rFonts w:ascii="Calibri"/>
          <w:b/>
          <w:spacing w:val="-2"/>
          <w:sz w:val="28"/>
        </w:rPr>
        <w:t>NIGERIA</w:t>
      </w: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spacing w:before="114"/>
        <w:rPr>
          <w:rFonts w:ascii="Calibri"/>
          <w:b/>
          <w:sz w:val="28"/>
        </w:rPr>
      </w:pPr>
    </w:p>
    <w:p>
      <w:pPr>
        <w:pStyle w:val="BodyText"/>
        <w:ind w:left="912" w:right="495"/>
        <w:jc w:val="center"/>
      </w:pPr>
      <w:r>
        <w:rPr>
          <w:spacing w:val="-5"/>
        </w:rPr>
        <w:t>By</w:t>
      </w:r>
    </w:p>
    <w:p>
      <w:pPr>
        <w:pStyle w:val="BodyText"/>
      </w:pPr>
    </w:p>
    <w:p>
      <w:pPr>
        <w:pStyle w:val="BodyText"/>
      </w:pPr>
    </w:p>
    <w:p>
      <w:pPr>
        <w:pStyle w:val="BodyText"/>
      </w:pPr>
    </w:p>
    <w:p>
      <w:pPr>
        <w:pStyle w:val="Heading1"/>
        <w:spacing w:line="480" w:lineRule="auto" w:before="0"/>
        <w:ind w:left="3140" w:right="2730"/>
        <w:jc w:val="center"/>
      </w:pPr>
      <w:r>
        <w:rPr/>
        <w:t>UMMI</w:t>
      </w:r>
      <w:r>
        <w:rPr>
          <w:spacing w:val="-15"/>
        </w:rPr>
        <w:t> </w:t>
      </w:r>
      <w:r>
        <w:rPr/>
        <w:t>MUKHTAR </w:t>
      </w:r>
      <w:r>
        <w:rPr>
          <w:spacing w:val="-2"/>
        </w:rPr>
        <w:t>A00017354</w:t>
      </w: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spacing w:before="1"/>
        <w:rPr>
          <w:b/>
        </w:rPr>
      </w:pPr>
    </w:p>
    <w:p>
      <w:pPr>
        <w:pStyle w:val="BodyText"/>
        <w:ind w:left="2834" w:right="2424"/>
        <w:jc w:val="center"/>
      </w:pPr>
      <w:r>
        <w:rPr/>
        <w:t>Submitted</w:t>
      </w:r>
      <w:r>
        <w:rPr>
          <w:spacing w:val="-8"/>
        </w:rPr>
        <w:t> </w:t>
      </w:r>
      <w:r>
        <w:rPr/>
        <w:t>in</w:t>
      </w:r>
      <w:r>
        <w:rPr>
          <w:spacing w:val="-8"/>
        </w:rPr>
        <w:t> </w:t>
      </w:r>
      <w:r>
        <w:rPr/>
        <w:t>partial</w:t>
      </w:r>
      <w:r>
        <w:rPr>
          <w:spacing w:val="-8"/>
        </w:rPr>
        <w:t> </w:t>
      </w:r>
      <w:r>
        <w:rPr/>
        <w:t>fulfillment</w:t>
      </w:r>
      <w:r>
        <w:rPr>
          <w:spacing w:val="-8"/>
        </w:rPr>
        <w:t> </w:t>
      </w:r>
      <w:r>
        <w:rPr/>
        <w:t>of</w:t>
      </w:r>
      <w:r>
        <w:rPr>
          <w:spacing w:val="-8"/>
        </w:rPr>
        <w:t> </w:t>
      </w:r>
      <w:r>
        <w:rPr/>
        <w:t>the requirements for the degree of Bachelor of Science</w:t>
      </w:r>
    </w:p>
    <w:p>
      <w:pPr>
        <w:pStyle w:val="BodyText"/>
        <w:spacing w:before="1"/>
        <w:ind w:left="907" w:right="498"/>
        <w:jc w:val="center"/>
      </w:pPr>
      <w:r>
        <w:rPr>
          <w:spacing w:val="-4"/>
        </w:rPr>
        <w:t>2017</w:t>
      </w:r>
    </w:p>
    <w:p>
      <w:pPr>
        <w:spacing w:after="0"/>
        <w:jc w:val="center"/>
        <w:sectPr>
          <w:type w:val="continuous"/>
          <w:pgSz w:w="11910" w:h="16840"/>
          <w:pgMar w:top="1620" w:bottom="280" w:left="1680" w:right="1240"/>
        </w:sectPr>
      </w:pPr>
    </w:p>
    <w:p>
      <w:pPr>
        <w:spacing w:line="480" w:lineRule="auto" w:before="62"/>
        <w:ind w:left="981" w:right="396" w:firstLine="1505"/>
        <w:jc w:val="left"/>
        <w:rPr>
          <w:b/>
          <w:sz w:val="24"/>
        </w:rPr>
      </w:pPr>
      <w:r>
        <w:rPr>
          <w:b/>
          <w:sz w:val="24"/>
        </w:rPr>
        <w:t>AMERICAN UNIVERSITY OF NIGERIA DEPARTMENT</w:t>
      </w:r>
      <w:r>
        <w:rPr>
          <w:b/>
          <w:spacing w:val="-1"/>
          <w:sz w:val="24"/>
        </w:rPr>
        <w:t> </w:t>
      </w:r>
      <w:r>
        <w:rPr>
          <w:b/>
          <w:sz w:val="24"/>
        </w:rPr>
        <w:t>OF</w:t>
      </w:r>
      <w:r>
        <w:rPr>
          <w:b/>
          <w:spacing w:val="-4"/>
          <w:sz w:val="24"/>
        </w:rPr>
        <w:t> </w:t>
      </w:r>
      <w:r>
        <w:rPr>
          <w:b/>
          <w:sz w:val="24"/>
        </w:rPr>
        <w:t>NATURAL</w:t>
      </w:r>
      <w:r>
        <w:rPr>
          <w:b/>
          <w:spacing w:val="-1"/>
          <w:sz w:val="24"/>
        </w:rPr>
        <w:t> </w:t>
      </w:r>
      <w:r>
        <w:rPr>
          <w:b/>
          <w:sz w:val="24"/>
        </w:rPr>
        <w:t>AND ENVIRONMENTAL</w:t>
      </w:r>
      <w:r>
        <w:rPr>
          <w:b/>
          <w:spacing w:val="-1"/>
          <w:sz w:val="24"/>
        </w:rPr>
        <w:t> </w:t>
      </w:r>
      <w:r>
        <w:rPr>
          <w:b/>
          <w:spacing w:val="-2"/>
          <w:sz w:val="24"/>
        </w:rPr>
        <w:t>SCIENCES</w:t>
      </w:r>
    </w:p>
    <w:p>
      <w:pPr>
        <w:pStyle w:val="BodyText"/>
        <w:rPr>
          <w:b/>
        </w:rPr>
      </w:pPr>
    </w:p>
    <w:p>
      <w:pPr>
        <w:pStyle w:val="BodyText"/>
        <w:rPr>
          <w:b/>
        </w:rPr>
      </w:pPr>
    </w:p>
    <w:p>
      <w:pPr>
        <w:pStyle w:val="BodyText"/>
        <w:spacing w:before="239"/>
        <w:rPr>
          <w:b/>
        </w:rPr>
      </w:pPr>
    </w:p>
    <w:p>
      <w:pPr>
        <w:spacing w:line="360" w:lineRule="auto" w:before="0"/>
        <w:ind w:left="907" w:right="495" w:firstLine="0"/>
        <w:jc w:val="center"/>
        <w:rPr>
          <w:rFonts w:ascii="Calibri"/>
          <w:b/>
          <w:sz w:val="28"/>
        </w:rPr>
      </w:pPr>
      <w:r>
        <w:rPr>
          <w:rFonts w:ascii="Calibri"/>
          <w:b/>
          <w:sz w:val="28"/>
        </w:rPr>
        <w:t>ASSESMENT</w:t>
      </w:r>
      <w:r>
        <w:rPr>
          <w:rFonts w:ascii="Calibri"/>
          <w:b/>
          <w:spacing w:val="-5"/>
          <w:sz w:val="28"/>
        </w:rPr>
        <w:t> </w:t>
      </w:r>
      <w:r>
        <w:rPr>
          <w:rFonts w:ascii="Calibri"/>
          <w:b/>
          <w:sz w:val="28"/>
        </w:rPr>
        <w:t>OF</w:t>
      </w:r>
      <w:r>
        <w:rPr>
          <w:rFonts w:ascii="Calibri"/>
          <w:b/>
          <w:spacing w:val="-4"/>
          <w:sz w:val="28"/>
        </w:rPr>
        <w:t> </w:t>
      </w:r>
      <w:r>
        <w:rPr>
          <w:rFonts w:ascii="Calibri"/>
          <w:b/>
          <w:sz w:val="28"/>
        </w:rPr>
        <w:t>CARBON</w:t>
      </w:r>
      <w:r>
        <w:rPr>
          <w:rFonts w:ascii="Calibri"/>
          <w:b/>
          <w:spacing w:val="-6"/>
          <w:sz w:val="28"/>
        </w:rPr>
        <w:t> </w:t>
      </w:r>
      <w:r>
        <w:rPr>
          <w:rFonts w:ascii="Calibri"/>
          <w:b/>
          <w:sz w:val="28"/>
        </w:rPr>
        <w:t>MONOXIDE</w:t>
      </w:r>
      <w:r>
        <w:rPr>
          <w:rFonts w:ascii="Calibri"/>
          <w:b/>
          <w:spacing w:val="-5"/>
          <w:sz w:val="28"/>
        </w:rPr>
        <w:t> </w:t>
      </w:r>
      <w:r>
        <w:rPr>
          <w:rFonts w:ascii="Calibri"/>
          <w:b/>
          <w:sz w:val="28"/>
        </w:rPr>
        <w:t>FROM</w:t>
      </w:r>
      <w:r>
        <w:rPr>
          <w:rFonts w:ascii="Calibri"/>
          <w:b/>
          <w:spacing w:val="-6"/>
          <w:sz w:val="28"/>
        </w:rPr>
        <w:t> </w:t>
      </w:r>
      <w:r>
        <w:rPr>
          <w:rFonts w:ascii="Calibri"/>
          <w:b/>
          <w:sz w:val="28"/>
        </w:rPr>
        <w:t>BIOMASS</w:t>
      </w:r>
      <w:r>
        <w:rPr>
          <w:rFonts w:ascii="Calibri"/>
          <w:b/>
          <w:spacing w:val="-7"/>
          <w:sz w:val="28"/>
        </w:rPr>
        <w:t> </w:t>
      </w:r>
      <w:r>
        <w:rPr>
          <w:rFonts w:ascii="Calibri"/>
          <w:b/>
          <w:sz w:val="28"/>
        </w:rPr>
        <w:t>BURNING IN RURAL HOUSEHOLDS IN ADAMAWA STATE,</w:t>
      </w:r>
    </w:p>
    <w:p>
      <w:pPr>
        <w:spacing w:before="2"/>
        <w:ind w:left="909" w:right="495" w:firstLine="0"/>
        <w:jc w:val="center"/>
        <w:rPr>
          <w:rFonts w:ascii="Calibri"/>
          <w:b/>
          <w:sz w:val="28"/>
        </w:rPr>
      </w:pPr>
      <w:r>
        <w:rPr>
          <w:rFonts w:ascii="Calibri"/>
          <w:b/>
          <w:sz w:val="28"/>
        </w:rPr>
        <w:t>NORTHEASTERN</w:t>
      </w:r>
      <w:r>
        <w:rPr>
          <w:rFonts w:ascii="Calibri"/>
          <w:b/>
          <w:spacing w:val="-5"/>
          <w:sz w:val="28"/>
        </w:rPr>
        <w:t> </w:t>
      </w:r>
      <w:r>
        <w:rPr>
          <w:rFonts w:ascii="Calibri"/>
          <w:b/>
          <w:spacing w:val="-2"/>
          <w:sz w:val="28"/>
        </w:rPr>
        <w:t>NIGERIA</w:t>
      </w:r>
    </w:p>
    <w:p>
      <w:pPr>
        <w:pStyle w:val="BodyText"/>
        <w:rPr>
          <w:rFonts w:ascii="Calibri"/>
          <w:b/>
          <w:sz w:val="28"/>
        </w:rPr>
      </w:pPr>
    </w:p>
    <w:p>
      <w:pPr>
        <w:pStyle w:val="BodyText"/>
        <w:rPr>
          <w:rFonts w:ascii="Calibri"/>
          <w:b/>
          <w:sz w:val="28"/>
        </w:rPr>
      </w:pPr>
    </w:p>
    <w:p>
      <w:pPr>
        <w:pStyle w:val="BodyText"/>
        <w:spacing w:before="245"/>
        <w:rPr>
          <w:rFonts w:ascii="Calibri"/>
          <w:b/>
          <w:sz w:val="28"/>
        </w:rPr>
      </w:pPr>
    </w:p>
    <w:p>
      <w:pPr>
        <w:pStyle w:val="BodyText"/>
        <w:spacing w:line="360" w:lineRule="auto"/>
        <w:ind w:left="588" w:right="257"/>
      </w:pPr>
      <w:r>
        <w:rPr/>
        <w:t>This</w:t>
      </w:r>
      <w:r>
        <w:rPr>
          <w:spacing w:val="-3"/>
        </w:rPr>
        <w:t> </w:t>
      </w:r>
      <w:r>
        <w:rPr/>
        <w:t>thesis</w:t>
      </w:r>
      <w:r>
        <w:rPr>
          <w:spacing w:val="-3"/>
        </w:rPr>
        <w:t> </w:t>
      </w:r>
      <w:r>
        <w:rPr/>
        <w:t>represents</w:t>
      </w:r>
      <w:r>
        <w:rPr>
          <w:spacing w:val="-3"/>
        </w:rPr>
        <w:t> </w:t>
      </w:r>
      <w:r>
        <w:rPr/>
        <w:t>my</w:t>
      </w:r>
      <w:r>
        <w:rPr>
          <w:spacing w:val="-6"/>
        </w:rPr>
        <w:t> </w:t>
      </w:r>
      <w:r>
        <w:rPr/>
        <w:t>original</w:t>
      </w:r>
      <w:r>
        <w:rPr>
          <w:spacing w:val="-3"/>
        </w:rPr>
        <w:t> </w:t>
      </w:r>
      <w:r>
        <w:rPr/>
        <w:t>work</w:t>
      </w:r>
      <w:r>
        <w:rPr>
          <w:spacing w:val="-3"/>
        </w:rPr>
        <w:t> </w:t>
      </w:r>
      <w:r>
        <w:rPr/>
        <w:t>in</w:t>
      </w:r>
      <w:r>
        <w:rPr>
          <w:spacing w:val="-3"/>
        </w:rPr>
        <w:t> </w:t>
      </w:r>
      <w:r>
        <w:rPr/>
        <w:t>accordance</w:t>
      </w:r>
      <w:r>
        <w:rPr>
          <w:spacing w:val="-4"/>
        </w:rPr>
        <w:t> </w:t>
      </w:r>
      <w:r>
        <w:rPr/>
        <w:t>with</w:t>
      </w:r>
      <w:r>
        <w:rPr>
          <w:spacing w:val="-3"/>
        </w:rPr>
        <w:t> </w:t>
      </w:r>
      <w:r>
        <w:rPr/>
        <w:t>the</w:t>
      </w:r>
      <w:r>
        <w:rPr>
          <w:spacing w:val="-4"/>
        </w:rPr>
        <w:t> </w:t>
      </w:r>
      <w:r>
        <w:rPr/>
        <w:t>American</w:t>
      </w:r>
      <w:r>
        <w:rPr>
          <w:spacing w:val="-3"/>
        </w:rPr>
        <w:t> </w:t>
      </w:r>
      <w:r>
        <w:rPr/>
        <w:t>University of Nigeria regulations. I am solely responsible for its content.</w:t>
      </w:r>
    </w:p>
    <w:p>
      <w:pPr>
        <w:pStyle w:val="BodyText"/>
        <w:spacing w:before="139"/>
      </w:pPr>
    </w:p>
    <w:p>
      <w:pPr>
        <w:pStyle w:val="Heading1"/>
        <w:spacing w:before="1"/>
      </w:pPr>
      <w:r>
        <w:rPr/>
        <w:t>UMMI</w:t>
      </w:r>
      <w:r>
        <w:rPr>
          <w:spacing w:val="-3"/>
        </w:rPr>
        <w:t> </w:t>
      </w:r>
      <w:r>
        <w:rPr>
          <w:spacing w:val="-2"/>
        </w:rPr>
        <w:t>MUKHTAR</w:t>
      </w:r>
    </w:p>
    <w:p>
      <w:pPr>
        <w:pStyle w:val="BodyText"/>
        <w:rPr>
          <w:b/>
          <w:sz w:val="20"/>
        </w:rPr>
      </w:pPr>
    </w:p>
    <w:p>
      <w:pPr>
        <w:pStyle w:val="BodyText"/>
        <w:rPr>
          <w:b/>
          <w:sz w:val="20"/>
        </w:rPr>
      </w:pPr>
    </w:p>
    <w:p>
      <w:pPr>
        <w:pStyle w:val="BodyText"/>
        <w:spacing w:before="106"/>
        <w:rPr>
          <w:b/>
          <w:sz w:val="20"/>
        </w:rPr>
      </w:pPr>
      <w:r>
        <w:rPr/>
        <mc:AlternateContent>
          <mc:Choice Requires="wps">
            <w:drawing>
              <wp:anchor distT="0" distB="0" distL="0" distR="0" allowOverlap="1" layoutInCell="1" locked="0" behindDoc="1" simplePos="0" relativeHeight="487587840">
                <wp:simplePos x="0" y="0"/>
                <wp:positionH relativeFrom="page">
                  <wp:posOffset>1440433</wp:posOffset>
                </wp:positionH>
                <wp:positionV relativeFrom="paragraph">
                  <wp:posOffset>228994</wp:posOffset>
                </wp:positionV>
                <wp:extent cx="2286000" cy="1270"/>
                <wp:effectExtent l="0" t="0" r="0" b="0"/>
                <wp:wrapTopAndBottom/>
                <wp:docPr id="2" name="Graphic 2"/>
                <wp:cNvGraphicFramePr>
                  <a:graphicFrameLocks/>
                </wp:cNvGraphicFramePr>
                <a:graphic>
                  <a:graphicData uri="http://schemas.microsoft.com/office/word/2010/wordprocessingShape">
                    <wps:wsp>
                      <wps:cNvPr id="2" name="Graphic 2"/>
                      <wps:cNvSpPr/>
                      <wps:spPr>
                        <a:xfrm>
                          <a:off x="0" y="0"/>
                          <a:ext cx="2286000" cy="1270"/>
                        </a:xfrm>
                        <a:custGeom>
                          <a:avLst/>
                          <a:gdLst/>
                          <a:ahLst/>
                          <a:cxnLst/>
                          <a:rect l="l" t="t" r="r" b="b"/>
                          <a:pathLst>
                            <a:path w="2286000" h="0">
                              <a:moveTo>
                                <a:pt x="0" y="0"/>
                              </a:moveTo>
                              <a:lnTo>
                                <a:pt x="22860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13.419998pt;margin-top:18.031101pt;width:180pt;height:.1pt;mso-position-horizontal-relative:page;mso-position-vertical-relative:paragraph;z-index:-15728640;mso-wrap-distance-left:0;mso-wrap-distance-right:0" id="docshape2" coordorigin="2268,361" coordsize="3600,0" path="m2268,361l5868,361e" filled="false" stroked="true" strokeweight=".756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8352">
                <wp:simplePos x="0" y="0"/>
                <wp:positionH relativeFrom="page">
                  <wp:posOffset>3917315</wp:posOffset>
                </wp:positionH>
                <wp:positionV relativeFrom="paragraph">
                  <wp:posOffset>228994</wp:posOffset>
                </wp:positionV>
                <wp:extent cx="1219200" cy="1270"/>
                <wp:effectExtent l="0" t="0" r="0" b="0"/>
                <wp:wrapTopAndBottom/>
                <wp:docPr id="3" name="Graphic 3"/>
                <wp:cNvGraphicFramePr>
                  <a:graphicFrameLocks/>
                </wp:cNvGraphicFramePr>
                <a:graphic>
                  <a:graphicData uri="http://schemas.microsoft.com/office/word/2010/wordprocessingShape">
                    <wps:wsp>
                      <wps:cNvPr id="3" name="Graphic 3"/>
                      <wps:cNvSpPr/>
                      <wps:spPr>
                        <a:xfrm>
                          <a:off x="0" y="0"/>
                          <a:ext cx="1219200" cy="1270"/>
                        </a:xfrm>
                        <a:custGeom>
                          <a:avLst/>
                          <a:gdLst/>
                          <a:ahLst/>
                          <a:cxnLst/>
                          <a:rect l="l" t="t" r="r" b="b"/>
                          <a:pathLst>
                            <a:path w="1219200" h="0">
                              <a:moveTo>
                                <a:pt x="0" y="0"/>
                              </a:moveTo>
                              <a:lnTo>
                                <a:pt x="12192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08.450012pt;margin-top:18.031101pt;width:96pt;height:.1pt;mso-position-horizontal-relative:page;mso-position-vertical-relative:paragraph;z-index:-15728128;mso-wrap-distance-left:0;mso-wrap-distance-right:0" id="docshape3" coordorigin="6169,361" coordsize="1920,0" path="m6169,361l8089,361e" filled="false" stroked="true" strokeweight=".756pt" strokecolor="#000000">
                <v:path arrowok="t"/>
                <v:stroke dashstyle="solid"/>
                <w10:wrap type="topAndBottom"/>
              </v:shape>
            </w:pict>
          </mc:Fallback>
        </mc:AlternateContent>
      </w:r>
    </w:p>
    <w:p>
      <w:pPr>
        <w:pStyle w:val="BodyText"/>
        <w:spacing w:before="100"/>
        <w:rPr>
          <w:b/>
        </w:rPr>
      </w:pPr>
    </w:p>
    <w:p>
      <w:pPr>
        <w:pStyle w:val="Heading2"/>
        <w:tabs>
          <w:tab w:pos="4469" w:val="left" w:leader="none"/>
        </w:tabs>
        <w:spacing w:before="1"/>
      </w:pPr>
      <w:r>
        <w:rPr>
          <w:spacing w:val="-2"/>
        </w:rPr>
        <w:t>Signature</w:t>
      </w:r>
      <w:r>
        <w:rPr/>
        <w:tab/>
      </w:r>
      <w:r>
        <w:rPr>
          <w:spacing w:val="-4"/>
        </w:rPr>
        <w:t>Date</w:t>
      </w: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spacing w:line="360" w:lineRule="auto"/>
        <w:ind w:left="588" w:right="396"/>
      </w:pPr>
      <w:r>
        <w:rPr/>
        <w:t>I</w:t>
      </w:r>
      <w:r>
        <w:rPr>
          <w:spacing w:val="-3"/>
        </w:rPr>
        <w:t> </w:t>
      </w:r>
      <w:r>
        <w:rPr/>
        <w:t>further</w:t>
      </w:r>
      <w:r>
        <w:rPr>
          <w:spacing w:val="-2"/>
        </w:rPr>
        <w:t> </w:t>
      </w:r>
      <w:r>
        <w:rPr/>
        <w:t>authorize</w:t>
      </w:r>
      <w:r>
        <w:rPr>
          <w:spacing w:val="-3"/>
        </w:rPr>
        <w:t> </w:t>
      </w:r>
      <w:r>
        <w:rPr/>
        <w:t>the</w:t>
      </w:r>
      <w:r>
        <w:rPr>
          <w:spacing w:val="-2"/>
        </w:rPr>
        <w:t> </w:t>
      </w:r>
      <w:r>
        <w:rPr/>
        <w:t>American</w:t>
      </w:r>
      <w:r>
        <w:rPr>
          <w:spacing w:val="-2"/>
        </w:rPr>
        <w:t> </w:t>
      </w:r>
      <w:r>
        <w:rPr/>
        <w:t>University</w:t>
      </w:r>
      <w:r>
        <w:rPr>
          <w:spacing w:val="-7"/>
        </w:rPr>
        <w:t> </w:t>
      </w:r>
      <w:r>
        <w:rPr/>
        <w:t>of</w:t>
      </w:r>
      <w:r>
        <w:rPr>
          <w:spacing w:val="-2"/>
        </w:rPr>
        <w:t> </w:t>
      </w:r>
      <w:r>
        <w:rPr/>
        <w:t>Nigeria</w:t>
      </w:r>
      <w:r>
        <w:rPr>
          <w:spacing w:val="-4"/>
        </w:rPr>
        <w:t> </w:t>
      </w:r>
      <w:r>
        <w:rPr/>
        <w:t>to</w:t>
      </w:r>
      <w:r>
        <w:rPr>
          <w:spacing w:val="-2"/>
        </w:rPr>
        <w:t> </w:t>
      </w:r>
      <w:r>
        <w:rPr/>
        <w:t>reproduce</w:t>
      </w:r>
      <w:r>
        <w:rPr>
          <w:spacing w:val="-3"/>
        </w:rPr>
        <w:t> </w:t>
      </w:r>
      <w:r>
        <w:rPr/>
        <w:t>this</w:t>
      </w:r>
      <w:r>
        <w:rPr>
          <w:spacing w:val="-2"/>
        </w:rPr>
        <w:t> </w:t>
      </w:r>
      <w:r>
        <w:rPr/>
        <w:t>thesis</w:t>
      </w:r>
      <w:r>
        <w:rPr>
          <w:spacing w:val="-2"/>
        </w:rPr>
        <w:t> </w:t>
      </w:r>
      <w:r>
        <w:rPr/>
        <w:t>by photocopying or by any other means, in total or in part, at the request of other institutions or individuals for the purpose of scholarly research.</w:t>
      </w:r>
    </w:p>
    <w:p>
      <w:pPr>
        <w:pStyle w:val="Heading1"/>
        <w:spacing w:before="239"/>
      </w:pPr>
      <w:r>
        <w:rPr/>
        <w:t>UMMI</w:t>
      </w:r>
      <w:r>
        <w:rPr>
          <w:spacing w:val="-3"/>
        </w:rPr>
        <w:t> </w:t>
      </w:r>
      <w:r>
        <w:rPr>
          <w:spacing w:val="-2"/>
        </w:rPr>
        <w:t>MUKHTAR</w:t>
      </w:r>
    </w:p>
    <w:p>
      <w:pPr>
        <w:pStyle w:val="BodyText"/>
        <w:rPr>
          <w:b/>
          <w:sz w:val="20"/>
        </w:rPr>
      </w:pPr>
    </w:p>
    <w:p>
      <w:pPr>
        <w:pStyle w:val="BodyText"/>
        <w:rPr>
          <w:b/>
          <w:sz w:val="20"/>
        </w:rPr>
      </w:pPr>
    </w:p>
    <w:p>
      <w:pPr>
        <w:pStyle w:val="BodyText"/>
        <w:spacing w:before="73"/>
        <w:rPr>
          <w:b/>
          <w:sz w:val="20"/>
        </w:rPr>
      </w:pPr>
      <w:r>
        <w:rPr/>
        <mc:AlternateContent>
          <mc:Choice Requires="wps">
            <w:drawing>
              <wp:anchor distT="0" distB="0" distL="0" distR="0" allowOverlap="1" layoutInCell="1" locked="0" behindDoc="1" simplePos="0" relativeHeight="487588864">
                <wp:simplePos x="0" y="0"/>
                <wp:positionH relativeFrom="page">
                  <wp:posOffset>1440433</wp:posOffset>
                </wp:positionH>
                <wp:positionV relativeFrom="paragraph">
                  <wp:posOffset>208064</wp:posOffset>
                </wp:positionV>
                <wp:extent cx="2286000" cy="1270"/>
                <wp:effectExtent l="0" t="0" r="0" b="0"/>
                <wp:wrapTopAndBottom/>
                <wp:docPr id="4" name="Graphic 4"/>
                <wp:cNvGraphicFramePr>
                  <a:graphicFrameLocks/>
                </wp:cNvGraphicFramePr>
                <a:graphic>
                  <a:graphicData uri="http://schemas.microsoft.com/office/word/2010/wordprocessingShape">
                    <wps:wsp>
                      <wps:cNvPr id="4" name="Graphic 4"/>
                      <wps:cNvSpPr/>
                      <wps:spPr>
                        <a:xfrm>
                          <a:off x="0" y="0"/>
                          <a:ext cx="2286000" cy="1270"/>
                        </a:xfrm>
                        <a:custGeom>
                          <a:avLst/>
                          <a:gdLst/>
                          <a:ahLst/>
                          <a:cxnLst/>
                          <a:rect l="l" t="t" r="r" b="b"/>
                          <a:pathLst>
                            <a:path w="2286000" h="0">
                              <a:moveTo>
                                <a:pt x="0" y="0"/>
                              </a:moveTo>
                              <a:lnTo>
                                <a:pt x="22860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13.419998pt;margin-top:16.383039pt;width:180pt;height:.1pt;mso-position-horizontal-relative:page;mso-position-vertical-relative:paragraph;z-index:-15727616;mso-wrap-distance-left:0;mso-wrap-distance-right:0" id="docshape4" coordorigin="2268,328" coordsize="3600,0" path="m2268,328l5868,328e" filled="false" stroked="true" strokeweight=".487125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9376">
                <wp:simplePos x="0" y="0"/>
                <wp:positionH relativeFrom="page">
                  <wp:posOffset>4699380</wp:posOffset>
                </wp:positionH>
                <wp:positionV relativeFrom="paragraph">
                  <wp:posOffset>208064</wp:posOffset>
                </wp:positionV>
                <wp:extent cx="1219200" cy="1270"/>
                <wp:effectExtent l="0" t="0" r="0" b="0"/>
                <wp:wrapTopAndBottom/>
                <wp:docPr id="5" name="Graphic 5"/>
                <wp:cNvGraphicFramePr>
                  <a:graphicFrameLocks/>
                </wp:cNvGraphicFramePr>
                <a:graphic>
                  <a:graphicData uri="http://schemas.microsoft.com/office/word/2010/wordprocessingShape">
                    <wps:wsp>
                      <wps:cNvPr id="5" name="Graphic 5"/>
                      <wps:cNvSpPr/>
                      <wps:spPr>
                        <a:xfrm>
                          <a:off x="0" y="0"/>
                          <a:ext cx="1219200" cy="1270"/>
                        </a:xfrm>
                        <a:custGeom>
                          <a:avLst/>
                          <a:gdLst/>
                          <a:ahLst/>
                          <a:cxnLst/>
                          <a:rect l="l" t="t" r="r" b="b"/>
                          <a:pathLst>
                            <a:path w="1219200" h="0">
                              <a:moveTo>
                                <a:pt x="0" y="0"/>
                              </a:moveTo>
                              <a:lnTo>
                                <a:pt x="12192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70.029999pt;margin-top:16.383039pt;width:96pt;height:.1pt;mso-position-horizontal-relative:page;mso-position-vertical-relative:paragraph;z-index:-15727104;mso-wrap-distance-left:0;mso-wrap-distance-right:0" id="docshape5" coordorigin="7401,328" coordsize="1920,0" path="m7401,328l9321,328e" filled="false" stroked="true" strokeweight=".487125pt" strokecolor="#000000">
                <v:path arrowok="t"/>
                <v:stroke dashstyle="solid"/>
                <w10:wrap type="topAndBottom"/>
              </v:shape>
            </w:pict>
          </mc:Fallback>
        </mc:AlternateContent>
      </w:r>
    </w:p>
    <w:p>
      <w:pPr>
        <w:pStyle w:val="BodyText"/>
        <w:spacing w:before="240"/>
        <w:rPr>
          <w:b/>
        </w:rPr>
      </w:pPr>
    </w:p>
    <w:p>
      <w:pPr>
        <w:tabs>
          <w:tab w:pos="5730" w:val="left" w:leader="none"/>
        </w:tabs>
        <w:spacing w:before="0"/>
        <w:ind w:left="588" w:right="0" w:firstLine="0"/>
        <w:jc w:val="left"/>
        <w:rPr>
          <w:b/>
          <w:sz w:val="24"/>
        </w:rPr>
      </w:pPr>
      <w:r>
        <w:rPr>
          <w:b/>
          <w:spacing w:val="-2"/>
          <w:sz w:val="24"/>
        </w:rPr>
        <w:t>Signature</w:t>
      </w:r>
      <w:r>
        <w:rPr>
          <w:b/>
          <w:sz w:val="24"/>
        </w:rPr>
        <w:tab/>
      </w:r>
      <w:r>
        <w:rPr>
          <w:b/>
          <w:spacing w:val="-4"/>
          <w:sz w:val="24"/>
        </w:rPr>
        <w:t>Date</w:t>
      </w:r>
    </w:p>
    <w:p>
      <w:pPr>
        <w:spacing w:after="0"/>
        <w:jc w:val="left"/>
        <w:rPr>
          <w:sz w:val="24"/>
        </w:rPr>
        <w:sectPr>
          <w:footerReference w:type="default" r:id="rId5"/>
          <w:pgSz w:w="11910" w:h="16840"/>
          <w:pgMar w:header="0" w:footer="1012" w:top="1620" w:bottom="1200" w:left="1680" w:right="1240"/>
          <w:pgNumType w:start="2"/>
        </w:sectPr>
      </w:pPr>
    </w:p>
    <w:p>
      <w:pPr>
        <w:spacing w:line="360" w:lineRule="auto" w:before="25"/>
        <w:ind w:left="907" w:right="495" w:firstLine="0"/>
        <w:jc w:val="center"/>
        <w:rPr>
          <w:rFonts w:ascii="Calibri"/>
          <w:b/>
          <w:sz w:val="28"/>
        </w:rPr>
      </w:pPr>
      <w:r>
        <w:rPr>
          <w:rFonts w:ascii="Calibri"/>
          <w:b/>
          <w:sz w:val="28"/>
        </w:rPr>
        <w:t>ASSESMENT</w:t>
      </w:r>
      <w:r>
        <w:rPr>
          <w:rFonts w:ascii="Calibri"/>
          <w:b/>
          <w:spacing w:val="-5"/>
          <w:sz w:val="28"/>
        </w:rPr>
        <w:t> </w:t>
      </w:r>
      <w:r>
        <w:rPr>
          <w:rFonts w:ascii="Calibri"/>
          <w:b/>
          <w:sz w:val="28"/>
        </w:rPr>
        <w:t>OF</w:t>
      </w:r>
      <w:r>
        <w:rPr>
          <w:rFonts w:ascii="Calibri"/>
          <w:b/>
          <w:spacing w:val="-4"/>
          <w:sz w:val="28"/>
        </w:rPr>
        <w:t> </w:t>
      </w:r>
      <w:r>
        <w:rPr>
          <w:rFonts w:ascii="Calibri"/>
          <w:b/>
          <w:sz w:val="28"/>
        </w:rPr>
        <w:t>CARBON</w:t>
      </w:r>
      <w:r>
        <w:rPr>
          <w:rFonts w:ascii="Calibri"/>
          <w:b/>
          <w:spacing w:val="-6"/>
          <w:sz w:val="28"/>
        </w:rPr>
        <w:t> </w:t>
      </w:r>
      <w:r>
        <w:rPr>
          <w:rFonts w:ascii="Calibri"/>
          <w:b/>
          <w:sz w:val="28"/>
        </w:rPr>
        <w:t>MONOXIDE</w:t>
      </w:r>
      <w:r>
        <w:rPr>
          <w:rFonts w:ascii="Calibri"/>
          <w:b/>
          <w:spacing w:val="-5"/>
          <w:sz w:val="28"/>
        </w:rPr>
        <w:t> </w:t>
      </w:r>
      <w:r>
        <w:rPr>
          <w:rFonts w:ascii="Calibri"/>
          <w:b/>
          <w:sz w:val="28"/>
        </w:rPr>
        <w:t>FROM</w:t>
      </w:r>
      <w:r>
        <w:rPr>
          <w:rFonts w:ascii="Calibri"/>
          <w:b/>
          <w:spacing w:val="-6"/>
          <w:sz w:val="28"/>
        </w:rPr>
        <w:t> </w:t>
      </w:r>
      <w:r>
        <w:rPr>
          <w:rFonts w:ascii="Calibri"/>
          <w:b/>
          <w:sz w:val="28"/>
        </w:rPr>
        <w:t>BIOMASS</w:t>
      </w:r>
      <w:r>
        <w:rPr>
          <w:rFonts w:ascii="Calibri"/>
          <w:b/>
          <w:spacing w:val="-7"/>
          <w:sz w:val="28"/>
        </w:rPr>
        <w:t> </w:t>
      </w:r>
      <w:r>
        <w:rPr>
          <w:rFonts w:ascii="Calibri"/>
          <w:b/>
          <w:sz w:val="28"/>
        </w:rPr>
        <w:t>BURNING IN RURAL HOUSEHOLDS IN ADAMAWA STATE,</w:t>
      </w:r>
    </w:p>
    <w:p>
      <w:pPr>
        <w:spacing w:line="341" w:lineRule="exact" w:before="0"/>
        <w:ind w:left="909" w:right="495" w:firstLine="0"/>
        <w:jc w:val="center"/>
        <w:rPr>
          <w:rFonts w:ascii="Calibri"/>
          <w:b/>
          <w:sz w:val="28"/>
        </w:rPr>
      </w:pPr>
      <w:r>
        <w:rPr>
          <w:rFonts w:ascii="Calibri"/>
          <w:b/>
          <w:sz w:val="28"/>
        </w:rPr>
        <w:t>NORTHEASTERN</w:t>
      </w:r>
      <w:r>
        <w:rPr>
          <w:rFonts w:ascii="Calibri"/>
          <w:b/>
          <w:spacing w:val="-5"/>
          <w:sz w:val="28"/>
        </w:rPr>
        <w:t> </w:t>
      </w:r>
      <w:r>
        <w:rPr>
          <w:rFonts w:ascii="Calibri"/>
          <w:b/>
          <w:spacing w:val="-2"/>
          <w:sz w:val="28"/>
        </w:rPr>
        <w:t>NIGERIA</w:t>
      </w:r>
    </w:p>
    <w:p>
      <w:pPr>
        <w:pStyle w:val="BodyText"/>
        <w:rPr>
          <w:rFonts w:ascii="Calibri"/>
          <w:b/>
          <w:sz w:val="28"/>
        </w:rPr>
      </w:pPr>
    </w:p>
    <w:p>
      <w:pPr>
        <w:pStyle w:val="BodyText"/>
        <w:rPr>
          <w:rFonts w:ascii="Calibri"/>
          <w:b/>
          <w:sz w:val="28"/>
        </w:rPr>
      </w:pPr>
    </w:p>
    <w:p>
      <w:pPr>
        <w:pStyle w:val="BodyText"/>
        <w:spacing w:before="248"/>
        <w:rPr>
          <w:rFonts w:ascii="Calibri"/>
          <w:b/>
          <w:sz w:val="28"/>
        </w:rPr>
      </w:pPr>
    </w:p>
    <w:p>
      <w:pPr>
        <w:pStyle w:val="Heading1"/>
        <w:spacing w:line="480" w:lineRule="auto" w:before="0"/>
        <w:ind w:left="3144" w:right="2730"/>
        <w:jc w:val="center"/>
      </w:pPr>
      <w:r>
        <w:rPr/>
        <w:t>UMMI</w:t>
      </w:r>
      <w:r>
        <w:rPr>
          <w:spacing w:val="-15"/>
        </w:rPr>
        <w:t> </w:t>
      </w:r>
      <w:r>
        <w:rPr/>
        <w:t>MUKHTAR </w:t>
      </w:r>
      <w:r>
        <w:rPr>
          <w:spacing w:val="-2"/>
        </w:rPr>
        <w:t>A000177354</w:t>
      </w:r>
    </w:p>
    <w:p>
      <w:pPr>
        <w:pStyle w:val="BodyText"/>
        <w:rPr>
          <w:b/>
        </w:rPr>
      </w:pPr>
    </w:p>
    <w:p>
      <w:pPr>
        <w:pStyle w:val="BodyText"/>
        <w:rPr>
          <w:b/>
        </w:rPr>
      </w:pPr>
    </w:p>
    <w:p>
      <w:pPr>
        <w:pStyle w:val="BodyText"/>
        <w:rPr>
          <w:b/>
        </w:rPr>
      </w:pPr>
    </w:p>
    <w:p>
      <w:pPr>
        <w:pStyle w:val="BodyText"/>
        <w:rPr>
          <w:b/>
        </w:rPr>
      </w:pPr>
    </w:p>
    <w:p>
      <w:pPr>
        <w:pStyle w:val="Heading2"/>
        <w:spacing w:before="1"/>
        <w:ind w:left="907" w:right="497"/>
        <w:jc w:val="center"/>
      </w:pPr>
      <w:r>
        <w:rPr/>
        <w:t>Approved</w:t>
      </w:r>
      <w:r>
        <w:rPr>
          <w:spacing w:val="-1"/>
        </w:rPr>
        <w:t> </w:t>
      </w:r>
      <w:r>
        <w:rPr>
          <w:spacing w:val="-5"/>
        </w:rPr>
        <w:t>by</w:t>
      </w:r>
    </w:p>
    <w:p>
      <w:pPr>
        <w:pStyle w:val="BodyText"/>
        <w:rPr>
          <w:b/>
        </w:rPr>
      </w:pPr>
    </w:p>
    <w:p>
      <w:pPr>
        <w:pStyle w:val="BodyText"/>
        <w:rPr>
          <w:b/>
        </w:rPr>
      </w:pPr>
    </w:p>
    <w:p>
      <w:pPr>
        <w:pStyle w:val="BodyText"/>
        <w:rPr>
          <w:b/>
        </w:rPr>
      </w:pPr>
    </w:p>
    <w:p>
      <w:pPr>
        <w:pStyle w:val="BodyText"/>
        <w:spacing w:before="202"/>
        <w:rPr>
          <w:b/>
        </w:rPr>
      </w:pPr>
    </w:p>
    <w:p>
      <w:pPr>
        <w:spacing w:before="0"/>
        <w:ind w:left="588" w:right="0" w:firstLine="0"/>
        <w:jc w:val="left"/>
        <w:rPr>
          <w:b/>
          <w:sz w:val="24"/>
        </w:rPr>
      </w:pPr>
      <w:r>
        <w:rPr>
          <w:sz w:val="24"/>
        </w:rPr>
        <w:t>Research</w:t>
      </w:r>
      <w:r>
        <w:rPr>
          <w:spacing w:val="-2"/>
          <w:sz w:val="24"/>
        </w:rPr>
        <w:t> </w:t>
      </w:r>
      <w:r>
        <w:rPr>
          <w:sz w:val="24"/>
        </w:rPr>
        <w:t>Supervisor: </w:t>
      </w:r>
      <w:r>
        <w:rPr>
          <w:b/>
          <w:sz w:val="24"/>
        </w:rPr>
        <w:t>Lynne</w:t>
      </w:r>
      <w:r>
        <w:rPr>
          <w:b/>
          <w:spacing w:val="-3"/>
          <w:sz w:val="24"/>
        </w:rPr>
        <w:t> </w:t>
      </w:r>
      <w:r>
        <w:rPr>
          <w:b/>
          <w:sz w:val="24"/>
        </w:rPr>
        <w:t>R.</w:t>
      </w:r>
      <w:r>
        <w:rPr>
          <w:b/>
          <w:spacing w:val="-1"/>
          <w:sz w:val="24"/>
        </w:rPr>
        <w:t> </w:t>
      </w:r>
      <w:r>
        <w:rPr>
          <w:b/>
          <w:sz w:val="24"/>
        </w:rPr>
        <w:t>Baker,</w:t>
      </w:r>
      <w:r>
        <w:rPr>
          <w:b/>
          <w:spacing w:val="-1"/>
          <w:sz w:val="24"/>
        </w:rPr>
        <w:t> </w:t>
      </w:r>
      <w:r>
        <w:rPr>
          <w:b/>
          <w:spacing w:val="-2"/>
          <w:sz w:val="24"/>
        </w:rPr>
        <w:t>Ph.D.</w:t>
      </w:r>
    </w:p>
    <w:p>
      <w:pPr>
        <w:pStyle w:val="BodyText"/>
        <w:ind w:left="588"/>
      </w:pPr>
      <w:r>
        <w:rPr/>
        <w:t>Assistant</w:t>
      </w:r>
      <w:r>
        <w:rPr>
          <w:spacing w:val="-4"/>
        </w:rPr>
        <w:t> </w:t>
      </w:r>
      <w:r>
        <w:rPr/>
        <w:t>Professor</w:t>
      </w:r>
      <w:r>
        <w:rPr>
          <w:spacing w:val="-1"/>
        </w:rPr>
        <w:t> </w:t>
      </w:r>
      <w:r>
        <w:rPr/>
        <w:t>of</w:t>
      </w:r>
      <w:r>
        <w:rPr>
          <w:spacing w:val="-2"/>
        </w:rPr>
        <w:t> </w:t>
      </w:r>
      <w:r>
        <w:rPr/>
        <w:t>Natural</w:t>
      </w:r>
      <w:r>
        <w:rPr>
          <w:spacing w:val="-1"/>
        </w:rPr>
        <w:t> </w:t>
      </w:r>
      <w:r>
        <w:rPr/>
        <w:t>and</w:t>
      </w:r>
      <w:r>
        <w:rPr>
          <w:spacing w:val="-1"/>
        </w:rPr>
        <w:t> </w:t>
      </w:r>
      <w:r>
        <w:rPr/>
        <w:t>Environmental</w:t>
      </w:r>
      <w:r>
        <w:rPr>
          <w:spacing w:val="1"/>
        </w:rPr>
        <w:t> </w:t>
      </w:r>
      <w:r>
        <w:rPr>
          <w:spacing w:val="-2"/>
        </w:rPr>
        <w:t>Sciences</w:t>
      </w:r>
    </w:p>
    <w:p>
      <w:pPr>
        <w:pStyle w:val="BodyText"/>
        <w:rPr>
          <w:sz w:val="20"/>
        </w:rPr>
      </w:pPr>
    </w:p>
    <w:p>
      <w:pPr>
        <w:pStyle w:val="BodyText"/>
        <w:rPr>
          <w:sz w:val="20"/>
        </w:rPr>
      </w:pPr>
    </w:p>
    <w:p>
      <w:pPr>
        <w:pStyle w:val="BodyText"/>
        <w:rPr>
          <w:sz w:val="20"/>
        </w:rPr>
      </w:pPr>
    </w:p>
    <w:p>
      <w:pPr>
        <w:pStyle w:val="BodyText"/>
        <w:spacing w:before="152"/>
        <w:rPr>
          <w:sz w:val="20"/>
        </w:rPr>
      </w:pPr>
      <w:r>
        <w:rPr/>
        <mc:AlternateContent>
          <mc:Choice Requires="wps">
            <w:drawing>
              <wp:anchor distT="0" distB="0" distL="0" distR="0" allowOverlap="1" layoutInCell="1" locked="0" behindDoc="1" simplePos="0" relativeHeight="487589888">
                <wp:simplePos x="0" y="0"/>
                <wp:positionH relativeFrom="page">
                  <wp:posOffset>1440433</wp:posOffset>
                </wp:positionH>
                <wp:positionV relativeFrom="paragraph">
                  <wp:posOffset>258129</wp:posOffset>
                </wp:positionV>
                <wp:extent cx="2286000" cy="1270"/>
                <wp:effectExtent l="0" t="0" r="0" b="0"/>
                <wp:wrapTopAndBottom/>
                <wp:docPr id="6" name="Graphic 6"/>
                <wp:cNvGraphicFramePr>
                  <a:graphicFrameLocks/>
                </wp:cNvGraphicFramePr>
                <a:graphic>
                  <a:graphicData uri="http://schemas.microsoft.com/office/word/2010/wordprocessingShape">
                    <wps:wsp>
                      <wps:cNvPr id="6" name="Graphic 6"/>
                      <wps:cNvSpPr/>
                      <wps:spPr>
                        <a:xfrm>
                          <a:off x="0" y="0"/>
                          <a:ext cx="2286000" cy="1270"/>
                        </a:xfrm>
                        <a:custGeom>
                          <a:avLst/>
                          <a:gdLst/>
                          <a:ahLst/>
                          <a:cxnLst/>
                          <a:rect l="l" t="t" r="r" b="b"/>
                          <a:pathLst>
                            <a:path w="2286000" h="0">
                              <a:moveTo>
                                <a:pt x="0" y="0"/>
                              </a:moveTo>
                              <a:lnTo>
                                <a:pt x="22860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13.419998pt;margin-top:20.325132pt;width:180pt;height:.1pt;mso-position-horizontal-relative:page;mso-position-vertical-relative:paragraph;z-index:-15726592;mso-wrap-distance-left:0;mso-wrap-distance-right:0" id="docshape6" coordorigin="2268,407" coordsize="3600,0" path="m2268,407l5868,407e" filled="false" stroked="true" strokeweight=".756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0400">
                <wp:simplePos x="0" y="0"/>
                <wp:positionH relativeFrom="page">
                  <wp:posOffset>3917315</wp:posOffset>
                </wp:positionH>
                <wp:positionV relativeFrom="paragraph">
                  <wp:posOffset>258129</wp:posOffset>
                </wp:positionV>
                <wp:extent cx="1219200" cy="1270"/>
                <wp:effectExtent l="0" t="0" r="0" b="0"/>
                <wp:wrapTopAndBottom/>
                <wp:docPr id="7" name="Graphic 7"/>
                <wp:cNvGraphicFramePr>
                  <a:graphicFrameLocks/>
                </wp:cNvGraphicFramePr>
                <a:graphic>
                  <a:graphicData uri="http://schemas.microsoft.com/office/word/2010/wordprocessingShape">
                    <wps:wsp>
                      <wps:cNvPr id="7" name="Graphic 7"/>
                      <wps:cNvSpPr/>
                      <wps:spPr>
                        <a:xfrm>
                          <a:off x="0" y="0"/>
                          <a:ext cx="1219200" cy="1270"/>
                        </a:xfrm>
                        <a:custGeom>
                          <a:avLst/>
                          <a:gdLst/>
                          <a:ahLst/>
                          <a:cxnLst/>
                          <a:rect l="l" t="t" r="r" b="b"/>
                          <a:pathLst>
                            <a:path w="1219200" h="0">
                              <a:moveTo>
                                <a:pt x="0" y="0"/>
                              </a:moveTo>
                              <a:lnTo>
                                <a:pt x="12192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08.450012pt;margin-top:20.325132pt;width:96pt;height:.1pt;mso-position-horizontal-relative:page;mso-position-vertical-relative:paragraph;z-index:-15726080;mso-wrap-distance-left:0;mso-wrap-distance-right:0" id="docshape7" coordorigin="6169,407" coordsize="1920,0" path="m6169,407l8089,407e" filled="false" stroked="true" strokeweight=".756pt" strokecolor="#000000">
                <v:path arrowok="t"/>
                <v:stroke dashstyle="solid"/>
                <w10:wrap type="topAndBottom"/>
              </v:shape>
            </w:pict>
          </mc:Fallback>
        </mc:AlternateContent>
      </w:r>
    </w:p>
    <w:p>
      <w:pPr>
        <w:pStyle w:val="BodyText"/>
        <w:tabs>
          <w:tab w:pos="4488" w:val="left" w:leader="none"/>
        </w:tabs>
        <w:ind w:left="588"/>
      </w:pPr>
      <w:r>
        <w:rPr>
          <w:spacing w:val="-2"/>
        </w:rPr>
        <w:t>Signature</w:t>
      </w:r>
      <w:r>
        <w:rPr/>
        <w:tab/>
      </w:r>
      <w:r>
        <w:rPr>
          <w:spacing w:val="-4"/>
        </w:rPr>
        <w:t>Date</w:t>
      </w:r>
    </w:p>
    <w:p>
      <w:pPr>
        <w:pStyle w:val="BodyText"/>
      </w:pPr>
    </w:p>
    <w:p>
      <w:pPr>
        <w:pStyle w:val="BodyText"/>
      </w:pPr>
    </w:p>
    <w:p>
      <w:pPr>
        <w:pStyle w:val="BodyText"/>
      </w:pPr>
    </w:p>
    <w:p>
      <w:pPr>
        <w:pStyle w:val="BodyText"/>
      </w:pPr>
    </w:p>
    <w:p>
      <w:pPr>
        <w:spacing w:before="0"/>
        <w:ind w:left="588" w:right="0" w:firstLine="0"/>
        <w:jc w:val="left"/>
        <w:rPr>
          <w:b/>
          <w:sz w:val="24"/>
        </w:rPr>
      </w:pPr>
      <w:r>
        <w:rPr>
          <w:sz w:val="24"/>
        </w:rPr>
        <w:t>Co-supervisor:</w:t>
      </w:r>
      <w:r>
        <w:rPr>
          <w:spacing w:val="-1"/>
          <w:sz w:val="24"/>
        </w:rPr>
        <w:t> </w:t>
      </w:r>
      <w:r>
        <w:rPr>
          <w:b/>
          <w:sz w:val="24"/>
        </w:rPr>
        <w:t>Bolade</w:t>
      </w:r>
      <w:r>
        <w:rPr>
          <w:b/>
          <w:spacing w:val="-2"/>
          <w:sz w:val="24"/>
        </w:rPr>
        <w:t> </w:t>
      </w:r>
      <w:r>
        <w:rPr>
          <w:b/>
          <w:sz w:val="24"/>
        </w:rPr>
        <w:t>Agboola, </w:t>
      </w:r>
      <w:r>
        <w:rPr>
          <w:b/>
          <w:spacing w:val="-2"/>
          <w:sz w:val="24"/>
        </w:rPr>
        <w:t>Ph.D.</w:t>
      </w:r>
    </w:p>
    <w:p>
      <w:pPr>
        <w:pStyle w:val="BodyText"/>
        <w:spacing w:before="1"/>
        <w:ind w:left="588"/>
      </w:pPr>
      <w:r>
        <w:rPr/>
        <w:t>Associate</w:t>
      </w:r>
      <w:r>
        <w:rPr>
          <w:spacing w:val="-4"/>
        </w:rPr>
        <w:t> </w:t>
      </w:r>
      <w:r>
        <w:rPr/>
        <w:t>Professor</w:t>
      </w:r>
      <w:r>
        <w:rPr>
          <w:spacing w:val="-1"/>
        </w:rPr>
        <w:t> </w:t>
      </w:r>
      <w:r>
        <w:rPr/>
        <w:t>and</w:t>
      </w:r>
      <w:r>
        <w:rPr>
          <w:spacing w:val="1"/>
        </w:rPr>
        <w:t> </w:t>
      </w:r>
      <w:r>
        <w:rPr/>
        <w:t>Chair,</w:t>
      </w:r>
      <w:r>
        <w:rPr>
          <w:spacing w:val="-1"/>
        </w:rPr>
        <w:t> </w:t>
      </w:r>
      <w:r>
        <w:rPr/>
        <w:t>Department</w:t>
      </w:r>
      <w:r>
        <w:rPr>
          <w:spacing w:val="-1"/>
        </w:rPr>
        <w:t> </w:t>
      </w:r>
      <w:r>
        <w:rPr/>
        <w:t>of</w:t>
      </w:r>
      <w:r>
        <w:rPr>
          <w:spacing w:val="-1"/>
        </w:rPr>
        <w:t> </w:t>
      </w:r>
      <w:r>
        <w:rPr/>
        <w:t>Petroleum</w:t>
      </w:r>
      <w:r>
        <w:rPr>
          <w:spacing w:val="-1"/>
        </w:rPr>
        <w:t> </w:t>
      </w:r>
      <w:r>
        <w:rPr>
          <w:spacing w:val="-2"/>
        </w:rPr>
        <w:t>Chemistry</w:t>
      </w:r>
    </w:p>
    <w:p>
      <w:pPr>
        <w:pStyle w:val="BodyText"/>
        <w:rPr>
          <w:sz w:val="20"/>
        </w:rPr>
      </w:pPr>
    </w:p>
    <w:p>
      <w:pPr>
        <w:pStyle w:val="BodyText"/>
        <w:rPr>
          <w:sz w:val="20"/>
        </w:rPr>
      </w:pPr>
    </w:p>
    <w:p>
      <w:pPr>
        <w:pStyle w:val="BodyText"/>
        <w:rPr>
          <w:sz w:val="20"/>
        </w:rPr>
      </w:pPr>
    </w:p>
    <w:p>
      <w:pPr>
        <w:pStyle w:val="BodyText"/>
        <w:spacing w:before="152"/>
        <w:rPr>
          <w:sz w:val="20"/>
        </w:rPr>
      </w:pPr>
      <w:r>
        <w:rPr/>
        <mc:AlternateContent>
          <mc:Choice Requires="wps">
            <w:drawing>
              <wp:anchor distT="0" distB="0" distL="0" distR="0" allowOverlap="1" layoutInCell="1" locked="0" behindDoc="1" simplePos="0" relativeHeight="487590912">
                <wp:simplePos x="0" y="0"/>
                <wp:positionH relativeFrom="page">
                  <wp:posOffset>1440433</wp:posOffset>
                </wp:positionH>
                <wp:positionV relativeFrom="paragraph">
                  <wp:posOffset>257977</wp:posOffset>
                </wp:positionV>
                <wp:extent cx="2286000" cy="1270"/>
                <wp:effectExtent l="0" t="0" r="0" b="0"/>
                <wp:wrapTopAndBottom/>
                <wp:docPr id="8" name="Graphic 8"/>
                <wp:cNvGraphicFramePr>
                  <a:graphicFrameLocks/>
                </wp:cNvGraphicFramePr>
                <a:graphic>
                  <a:graphicData uri="http://schemas.microsoft.com/office/word/2010/wordprocessingShape">
                    <wps:wsp>
                      <wps:cNvPr id="8" name="Graphic 8"/>
                      <wps:cNvSpPr/>
                      <wps:spPr>
                        <a:xfrm>
                          <a:off x="0" y="0"/>
                          <a:ext cx="2286000" cy="1270"/>
                        </a:xfrm>
                        <a:custGeom>
                          <a:avLst/>
                          <a:gdLst/>
                          <a:ahLst/>
                          <a:cxnLst/>
                          <a:rect l="l" t="t" r="r" b="b"/>
                          <a:pathLst>
                            <a:path w="2286000" h="0">
                              <a:moveTo>
                                <a:pt x="0" y="0"/>
                              </a:moveTo>
                              <a:lnTo>
                                <a:pt x="22860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13.419998pt;margin-top:20.31315pt;width:180pt;height:.1pt;mso-position-horizontal-relative:page;mso-position-vertical-relative:paragraph;z-index:-15725568;mso-wrap-distance-left:0;mso-wrap-distance-right:0" id="docshape8" coordorigin="2268,406" coordsize="3600,0" path="m2268,406l5868,406e" filled="false" stroked="true" strokeweight=".756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1424">
                <wp:simplePos x="0" y="0"/>
                <wp:positionH relativeFrom="page">
                  <wp:posOffset>3917315</wp:posOffset>
                </wp:positionH>
                <wp:positionV relativeFrom="paragraph">
                  <wp:posOffset>257977</wp:posOffset>
                </wp:positionV>
                <wp:extent cx="1219200" cy="1270"/>
                <wp:effectExtent l="0" t="0" r="0" b="0"/>
                <wp:wrapTopAndBottom/>
                <wp:docPr id="9" name="Graphic 9"/>
                <wp:cNvGraphicFramePr>
                  <a:graphicFrameLocks/>
                </wp:cNvGraphicFramePr>
                <a:graphic>
                  <a:graphicData uri="http://schemas.microsoft.com/office/word/2010/wordprocessingShape">
                    <wps:wsp>
                      <wps:cNvPr id="9" name="Graphic 9"/>
                      <wps:cNvSpPr/>
                      <wps:spPr>
                        <a:xfrm>
                          <a:off x="0" y="0"/>
                          <a:ext cx="1219200" cy="1270"/>
                        </a:xfrm>
                        <a:custGeom>
                          <a:avLst/>
                          <a:gdLst/>
                          <a:ahLst/>
                          <a:cxnLst/>
                          <a:rect l="l" t="t" r="r" b="b"/>
                          <a:pathLst>
                            <a:path w="1219200" h="0">
                              <a:moveTo>
                                <a:pt x="0" y="0"/>
                              </a:moveTo>
                              <a:lnTo>
                                <a:pt x="12192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08.450012pt;margin-top:20.31315pt;width:96pt;height:.1pt;mso-position-horizontal-relative:page;mso-position-vertical-relative:paragraph;z-index:-15725056;mso-wrap-distance-left:0;mso-wrap-distance-right:0" id="docshape9" coordorigin="6169,406" coordsize="1920,0" path="m6169,406l8089,406e" filled="false" stroked="true" strokeweight=".756pt" strokecolor="#000000">
                <v:path arrowok="t"/>
                <v:stroke dashstyle="solid"/>
                <w10:wrap type="topAndBottom"/>
              </v:shape>
            </w:pict>
          </mc:Fallback>
        </mc:AlternateContent>
      </w:r>
    </w:p>
    <w:p>
      <w:pPr>
        <w:pStyle w:val="BodyText"/>
      </w:pPr>
    </w:p>
    <w:p>
      <w:pPr>
        <w:pStyle w:val="BodyText"/>
        <w:tabs>
          <w:tab w:pos="4508" w:val="left" w:leader="none"/>
        </w:tabs>
        <w:ind w:left="588"/>
      </w:pPr>
      <w:r>
        <w:rPr>
          <w:spacing w:val="-2"/>
        </w:rPr>
        <w:t>Signature</w:t>
      </w:r>
      <w:r>
        <w:rPr/>
        <w:tab/>
      </w:r>
      <w:r>
        <w:rPr>
          <w:spacing w:val="-4"/>
        </w:rPr>
        <w:t>Date</w:t>
      </w:r>
    </w:p>
    <w:p>
      <w:pPr>
        <w:spacing w:after="0"/>
        <w:sectPr>
          <w:pgSz w:w="11910" w:h="16840"/>
          <w:pgMar w:header="0" w:footer="1012" w:top="1660" w:bottom="1200" w:left="1680" w:right="1240"/>
        </w:sectPr>
      </w:pPr>
    </w:p>
    <w:p>
      <w:pPr>
        <w:pStyle w:val="Heading1"/>
      </w:pPr>
      <w:bookmarkStart w:name="_TOC_250007" w:id="1"/>
      <w:bookmarkEnd w:id="1"/>
      <w:r>
        <w:rPr>
          <w:spacing w:val="-2"/>
        </w:rPr>
        <w:t>DEDICATION</w:t>
      </w:r>
    </w:p>
    <w:p>
      <w:pPr>
        <w:pStyle w:val="BodyText"/>
        <w:rPr>
          <w:b/>
        </w:rPr>
      </w:pPr>
    </w:p>
    <w:p>
      <w:pPr>
        <w:pStyle w:val="BodyText"/>
        <w:spacing w:line="480" w:lineRule="auto"/>
        <w:ind w:left="588" w:right="257"/>
      </w:pPr>
      <w:r>
        <w:rPr/>
        <w:t>I am dedicating this research to my mum, Hajiya Nafisa Aliyu, for being my motivation,</w:t>
      </w:r>
      <w:r>
        <w:rPr>
          <w:spacing w:val="-3"/>
        </w:rPr>
        <w:t> </w:t>
      </w:r>
      <w:r>
        <w:rPr/>
        <w:t>for</w:t>
      </w:r>
      <w:r>
        <w:rPr>
          <w:spacing w:val="-4"/>
        </w:rPr>
        <w:t> </w:t>
      </w:r>
      <w:r>
        <w:rPr/>
        <w:t>the</w:t>
      </w:r>
      <w:r>
        <w:rPr>
          <w:spacing w:val="-3"/>
        </w:rPr>
        <w:t> </w:t>
      </w:r>
      <w:r>
        <w:rPr/>
        <w:t>love</w:t>
      </w:r>
      <w:r>
        <w:rPr>
          <w:spacing w:val="-4"/>
        </w:rPr>
        <w:t> </w:t>
      </w:r>
      <w:r>
        <w:rPr/>
        <w:t>and</w:t>
      </w:r>
      <w:r>
        <w:rPr>
          <w:spacing w:val="-3"/>
        </w:rPr>
        <w:t> </w:t>
      </w:r>
      <w:r>
        <w:rPr/>
        <w:t>support,</w:t>
      </w:r>
      <w:r>
        <w:rPr>
          <w:spacing w:val="-3"/>
        </w:rPr>
        <w:t> </w:t>
      </w:r>
      <w:r>
        <w:rPr/>
        <w:t>and</w:t>
      </w:r>
      <w:r>
        <w:rPr>
          <w:spacing w:val="-3"/>
        </w:rPr>
        <w:t> </w:t>
      </w:r>
      <w:r>
        <w:rPr/>
        <w:t>for</w:t>
      </w:r>
      <w:r>
        <w:rPr>
          <w:spacing w:val="-3"/>
        </w:rPr>
        <w:t> </w:t>
      </w:r>
      <w:r>
        <w:rPr/>
        <w:t>always</w:t>
      </w:r>
      <w:r>
        <w:rPr>
          <w:spacing w:val="-1"/>
        </w:rPr>
        <w:t> </w:t>
      </w:r>
      <w:r>
        <w:rPr/>
        <w:t>being</w:t>
      </w:r>
      <w:r>
        <w:rPr>
          <w:spacing w:val="-6"/>
        </w:rPr>
        <w:t> </w:t>
      </w:r>
      <w:r>
        <w:rPr/>
        <w:t>there</w:t>
      </w:r>
      <w:r>
        <w:rPr>
          <w:spacing w:val="-5"/>
        </w:rPr>
        <w:t> </w:t>
      </w:r>
      <w:r>
        <w:rPr/>
        <w:t>for</w:t>
      </w:r>
      <w:r>
        <w:rPr>
          <w:spacing w:val="-3"/>
        </w:rPr>
        <w:t> </w:t>
      </w:r>
      <w:r>
        <w:rPr/>
        <w:t>me</w:t>
      </w:r>
      <w:r>
        <w:rPr>
          <w:spacing w:val="-5"/>
        </w:rPr>
        <w:t> </w:t>
      </w:r>
      <w:r>
        <w:rPr/>
        <w:t>thorough thick and thin. I love you so much. I wouldn’t wish for anything more.</w:t>
      </w:r>
    </w:p>
    <w:p>
      <w:pPr>
        <w:spacing w:after="0" w:line="480" w:lineRule="auto"/>
        <w:sectPr>
          <w:pgSz w:w="11910" w:h="16840"/>
          <w:pgMar w:header="0" w:footer="1012" w:top="1620" w:bottom="1200" w:left="1680" w:right="1240"/>
        </w:sectPr>
      </w:pPr>
    </w:p>
    <w:p>
      <w:pPr>
        <w:pStyle w:val="Heading1"/>
      </w:pPr>
      <w:bookmarkStart w:name="_TOC_250006" w:id="2"/>
      <w:bookmarkEnd w:id="2"/>
      <w:r>
        <w:rPr>
          <w:spacing w:val="-2"/>
        </w:rPr>
        <w:t>ACKNOWLEDGEMENTS</w:t>
      </w:r>
    </w:p>
    <w:p>
      <w:pPr>
        <w:pStyle w:val="BodyText"/>
        <w:rPr>
          <w:b/>
        </w:rPr>
      </w:pPr>
    </w:p>
    <w:p>
      <w:pPr>
        <w:pStyle w:val="BodyText"/>
        <w:spacing w:line="480" w:lineRule="auto"/>
        <w:ind w:left="588"/>
      </w:pPr>
      <w:r>
        <w:rPr/>
        <w:t>First,</w:t>
      </w:r>
      <w:r>
        <w:rPr>
          <w:spacing w:val="-1"/>
        </w:rPr>
        <w:t> </w:t>
      </w:r>
      <w:r>
        <w:rPr/>
        <w:t>I</w:t>
      </w:r>
      <w:r>
        <w:rPr>
          <w:spacing w:val="-6"/>
        </w:rPr>
        <w:t> </w:t>
      </w:r>
      <w:r>
        <w:rPr/>
        <w:t>will</w:t>
      </w:r>
      <w:r>
        <w:rPr>
          <w:spacing w:val="-2"/>
        </w:rPr>
        <w:t> </w:t>
      </w:r>
      <w:r>
        <w:rPr/>
        <w:t>like</w:t>
      </w:r>
      <w:r>
        <w:rPr>
          <w:spacing w:val="-3"/>
        </w:rPr>
        <w:t> </w:t>
      </w:r>
      <w:r>
        <w:rPr/>
        <w:t>to</w:t>
      </w:r>
      <w:r>
        <w:rPr>
          <w:spacing w:val="-2"/>
        </w:rPr>
        <w:t> </w:t>
      </w:r>
      <w:r>
        <w:rPr/>
        <w:t>thank</w:t>
      </w:r>
      <w:r>
        <w:rPr>
          <w:spacing w:val="-3"/>
        </w:rPr>
        <w:t> </w:t>
      </w:r>
      <w:r>
        <w:rPr/>
        <w:t>Allah</w:t>
      </w:r>
      <w:r>
        <w:rPr>
          <w:spacing w:val="-2"/>
        </w:rPr>
        <w:t> </w:t>
      </w:r>
      <w:r>
        <w:rPr/>
        <w:t>Almighty</w:t>
      </w:r>
      <w:r>
        <w:rPr>
          <w:spacing w:val="-7"/>
        </w:rPr>
        <w:t> </w:t>
      </w:r>
      <w:r>
        <w:rPr/>
        <w:t>for</w:t>
      </w:r>
      <w:r>
        <w:rPr>
          <w:spacing w:val="-4"/>
        </w:rPr>
        <w:t> </w:t>
      </w:r>
      <w:r>
        <w:rPr/>
        <w:t>providing</w:t>
      </w:r>
      <w:r>
        <w:rPr>
          <w:spacing w:val="-4"/>
        </w:rPr>
        <w:t> </w:t>
      </w:r>
      <w:r>
        <w:rPr/>
        <w:t>me</w:t>
      </w:r>
      <w:r>
        <w:rPr>
          <w:spacing w:val="-2"/>
        </w:rPr>
        <w:t> </w:t>
      </w:r>
      <w:r>
        <w:rPr/>
        <w:t>with</w:t>
      </w:r>
      <w:r>
        <w:rPr>
          <w:spacing w:val="-3"/>
        </w:rPr>
        <w:t> </w:t>
      </w:r>
      <w:r>
        <w:rPr/>
        <w:t>the</w:t>
      </w:r>
      <w:r>
        <w:rPr>
          <w:spacing w:val="-2"/>
        </w:rPr>
        <w:t> </w:t>
      </w:r>
      <w:r>
        <w:rPr/>
        <w:t>strength</w:t>
      </w:r>
      <w:r>
        <w:rPr>
          <w:spacing w:val="-1"/>
        </w:rPr>
        <w:t> </w:t>
      </w:r>
      <w:r>
        <w:rPr/>
        <w:t>and</w:t>
      </w:r>
      <w:r>
        <w:rPr>
          <w:spacing w:val="-2"/>
        </w:rPr>
        <w:t> </w:t>
      </w:r>
      <w:r>
        <w:rPr/>
        <w:t>the health throughout this research. My sincere gratitude goes to my supervisor, Dr.</w:t>
      </w:r>
    </w:p>
    <w:p>
      <w:pPr>
        <w:pStyle w:val="BodyText"/>
        <w:spacing w:line="480" w:lineRule="auto" w:before="1"/>
        <w:ind w:left="588"/>
      </w:pPr>
      <w:r>
        <w:rPr/>
        <w:t>Lynne Baker, for the financial, academic, and emotional support she has rendered throughout</w:t>
      </w:r>
      <w:r>
        <w:rPr>
          <w:spacing w:val="-4"/>
        </w:rPr>
        <w:t> </w:t>
      </w:r>
      <w:r>
        <w:rPr/>
        <w:t>the</w:t>
      </w:r>
      <w:r>
        <w:rPr>
          <w:spacing w:val="-5"/>
        </w:rPr>
        <w:t> </w:t>
      </w:r>
      <w:r>
        <w:rPr/>
        <w:t>course</w:t>
      </w:r>
      <w:r>
        <w:rPr>
          <w:spacing w:val="-5"/>
        </w:rPr>
        <w:t> </w:t>
      </w:r>
      <w:r>
        <w:rPr/>
        <w:t>of</w:t>
      </w:r>
      <w:r>
        <w:rPr>
          <w:spacing w:val="-3"/>
        </w:rPr>
        <w:t> </w:t>
      </w:r>
      <w:r>
        <w:rPr/>
        <w:t>my</w:t>
      </w:r>
      <w:r>
        <w:rPr>
          <w:spacing w:val="-8"/>
        </w:rPr>
        <w:t> </w:t>
      </w:r>
      <w:r>
        <w:rPr/>
        <w:t>research.</w:t>
      </w:r>
      <w:r>
        <w:rPr>
          <w:spacing w:val="-3"/>
        </w:rPr>
        <w:t> </w:t>
      </w:r>
      <w:r>
        <w:rPr/>
        <w:t>Thank you</w:t>
      </w:r>
      <w:r>
        <w:rPr>
          <w:spacing w:val="-2"/>
        </w:rPr>
        <w:t> </w:t>
      </w:r>
      <w:r>
        <w:rPr/>
        <w:t>for</w:t>
      </w:r>
      <w:r>
        <w:rPr>
          <w:spacing w:val="-6"/>
        </w:rPr>
        <w:t> </w:t>
      </w:r>
      <w:r>
        <w:rPr/>
        <w:t>everything,</w:t>
      </w:r>
      <w:r>
        <w:rPr>
          <w:spacing w:val="-2"/>
        </w:rPr>
        <w:t> </w:t>
      </w:r>
      <w:r>
        <w:rPr/>
        <w:t>words</w:t>
      </w:r>
      <w:r>
        <w:rPr>
          <w:spacing w:val="-4"/>
        </w:rPr>
        <w:t> </w:t>
      </w:r>
      <w:r>
        <w:rPr/>
        <w:t>alone</w:t>
      </w:r>
      <w:r>
        <w:rPr>
          <w:spacing w:val="-5"/>
        </w:rPr>
        <w:t> </w:t>
      </w:r>
      <w:r>
        <w:rPr/>
        <w:t>cannot express my gratitude towards you.</w:t>
      </w:r>
    </w:p>
    <w:p>
      <w:pPr>
        <w:pStyle w:val="BodyText"/>
      </w:pPr>
    </w:p>
    <w:p>
      <w:pPr>
        <w:pStyle w:val="BodyText"/>
      </w:pPr>
    </w:p>
    <w:p>
      <w:pPr>
        <w:pStyle w:val="BodyText"/>
        <w:spacing w:line="480" w:lineRule="auto"/>
        <w:ind w:left="588" w:right="396"/>
      </w:pPr>
      <w:r>
        <w:rPr/>
        <w:t>I will also like to thank Mr. Muhammad of Chemistry</w:t>
      </w:r>
      <w:r>
        <w:rPr>
          <w:spacing w:val="-1"/>
        </w:rPr>
        <w:t> </w:t>
      </w:r>
      <w:r>
        <w:rPr/>
        <w:t>Department for transporting me</w:t>
      </w:r>
      <w:r>
        <w:rPr>
          <w:spacing w:val="-3"/>
        </w:rPr>
        <w:t> </w:t>
      </w:r>
      <w:r>
        <w:rPr/>
        <w:t>to</w:t>
      </w:r>
      <w:r>
        <w:rPr>
          <w:spacing w:val="-3"/>
        </w:rPr>
        <w:t> </w:t>
      </w:r>
      <w:r>
        <w:rPr/>
        <w:t>Bole,</w:t>
      </w:r>
      <w:r>
        <w:rPr>
          <w:spacing w:val="-3"/>
        </w:rPr>
        <w:t> </w:t>
      </w:r>
      <w:r>
        <w:rPr/>
        <w:t>and for</w:t>
      </w:r>
      <w:r>
        <w:rPr>
          <w:spacing w:val="-5"/>
        </w:rPr>
        <w:t> </w:t>
      </w:r>
      <w:r>
        <w:rPr/>
        <w:t>helping</w:t>
      </w:r>
      <w:r>
        <w:rPr>
          <w:spacing w:val="-5"/>
        </w:rPr>
        <w:t> </w:t>
      </w:r>
      <w:r>
        <w:rPr/>
        <w:t>me</w:t>
      </w:r>
      <w:r>
        <w:rPr>
          <w:spacing w:val="-4"/>
        </w:rPr>
        <w:t> </w:t>
      </w:r>
      <w:r>
        <w:rPr/>
        <w:t>with</w:t>
      </w:r>
      <w:r>
        <w:rPr>
          <w:spacing w:val="-3"/>
        </w:rPr>
        <w:t> </w:t>
      </w:r>
      <w:r>
        <w:rPr/>
        <w:t>measurements</w:t>
      </w:r>
      <w:r>
        <w:rPr>
          <w:spacing w:val="-2"/>
        </w:rPr>
        <w:t> </w:t>
      </w:r>
      <w:r>
        <w:rPr/>
        <w:t>in</w:t>
      </w:r>
      <w:r>
        <w:rPr>
          <w:spacing w:val="-3"/>
        </w:rPr>
        <w:t> </w:t>
      </w:r>
      <w:r>
        <w:rPr/>
        <w:t>the</w:t>
      </w:r>
      <w:r>
        <w:rPr>
          <w:spacing w:val="-4"/>
        </w:rPr>
        <w:t> </w:t>
      </w:r>
      <w:r>
        <w:rPr/>
        <w:t>field.</w:t>
      </w:r>
      <w:r>
        <w:rPr>
          <w:spacing w:val="-3"/>
        </w:rPr>
        <w:t> </w:t>
      </w:r>
      <w:r>
        <w:rPr/>
        <w:t>Most</w:t>
      </w:r>
      <w:r>
        <w:rPr>
          <w:spacing w:val="-3"/>
        </w:rPr>
        <w:t> </w:t>
      </w:r>
      <w:r>
        <w:rPr/>
        <w:t>importantly,</w:t>
      </w:r>
      <w:r>
        <w:rPr>
          <w:spacing w:val="-1"/>
        </w:rPr>
        <w:t> </w:t>
      </w:r>
      <w:r>
        <w:rPr/>
        <w:t>I want to show my gratitude to Mr. Muhammad for giving me his laptop when mine broke down. In fact, I cannot thank him enough for all that he has contributed, without him, this research will not have been what it is now.</w:t>
      </w:r>
    </w:p>
    <w:p>
      <w:pPr>
        <w:pStyle w:val="BodyText"/>
        <w:spacing w:before="274"/>
      </w:pPr>
    </w:p>
    <w:p>
      <w:pPr>
        <w:pStyle w:val="BodyText"/>
        <w:spacing w:line="480" w:lineRule="auto" w:before="1"/>
        <w:ind w:left="588" w:right="430"/>
        <w:jc w:val="both"/>
      </w:pPr>
      <w:r>
        <w:rPr/>
        <w:t>I</w:t>
      </w:r>
      <w:r>
        <w:rPr>
          <w:spacing w:val="-1"/>
        </w:rPr>
        <w:t> </w:t>
      </w:r>
      <w:r>
        <w:rPr/>
        <w:t>will not stop, without expressing</w:t>
      </w:r>
      <w:r>
        <w:rPr>
          <w:spacing w:val="-3"/>
        </w:rPr>
        <w:t> </w:t>
      </w:r>
      <w:r>
        <w:rPr/>
        <w:t>my</w:t>
      </w:r>
      <w:r>
        <w:rPr>
          <w:spacing w:val="-3"/>
        </w:rPr>
        <w:t> </w:t>
      </w:r>
      <w:r>
        <w:rPr/>
        <w:t>gratitude to Mr. Bolade, Chair of</w:t>
      </w:r>
      <w:r>
        <w:rPr>
          <w:spacing w:val="-1"/>
        </w:rPr>
        <w:t> </w:t>
      </w:r>
      <w:r>
        <w:rPr/>
        <w:t>Chemistry Department.</w:t>
      </w:r>
      <w:r>
        <w:rPr>
          <w:spacing w:val="-3"/>
        </w:rPr>
        <w:t> </w:t>
      </w:r>
      <w:r>
        <w:rPr/>
        <w:t>Thank you</w:t>
      </w:r>
      <w:r>
        <w:rPr>
          <w:spacing w:val="-2"/>
        </w:rPr>
        <w:t> </w:t>
      </w:r>
      <w:r>
        <w:rPr/>
        <w:t>for</w:t>
      </w:r>
      <w:r>
        <w:rPr>
          <w:spacing w:val="-3"/>
        </w:rPr>
        <w:t> </w:t>
      </w:r>
      <w:r>
        <w:rPr/>
        <w:t>lending</w:t>
      </w:r>
      <w:r>
        <w:rPr>
          <w:spacing w:val="-5"/>
        </w:rPr>
        <w:t> </w:t>
      </w:r>
      <w:r>
        <w:rPr/>
        <w:t>me</w:t>
      </w:r>
      <w:r>
        <w:rPr>
          <w:spacing w:val="-1"/>
        </w:rPr>
        <w:t> </w:t>
      </w:r>
      <w:r>
        <w:rPr/>
        <w:t>a</w:t>
      </w:r>
      <w:r>
        <w:rPr>
          <w:spacing w:val="-4"/>
        </w:rPr>
        <w:t> </w:t>
      </w:r>
      <w:r>
        <w:rPr/>
        <w:t>CO</w:t>
      </w:r>
      <w:r>
        <w:rPr>
          <w:spacing w:val="-3"/>
        </w:rPr>
        <w:t> </w:t>
      </w:r>
      <w:r>
        <w:rPr/>
        <w:t>monitor,</w:t>
      </w:r>
      <w:r>
        <w:rPr>
          <w:spacing w:val="-3"/>
        </w:rPr>
        <w:t> </w:t>
      </w:r>
      <w:r>
        <w:rPr/>
        <w:t>and</w:t>
      </w:r>
      <w:r>
        <w:rPr>
          <w:spacing w:val="-3"/>
        </w:rPr>
        <w:t> </w:t>
      </w:r>
      <w:r>
        <w:rPr/>
        <w:t>for</w:t>
      </w:r>
      <w:r>
        <w:rPr>
          <w:spacing w:val="-4"/>
        </w:rPr>
        <w:t> </w:t>
      </w:r>
      <w:r>
        <w:rPr/>
        <w:t>taking</w:t>
      </w:r>
      <w:r>
        <w:rPr>
          <w:spacing w:val="-6"/>
        </w:rPr>
        <w:t> </w:t>
      </w:r>
      <w:r>
        <w:rPr/>
        <w:t>his</w:t>
      </w:r>
      <w:r>
        <w:rPr>
          <w:spacing w:val="-2"/>
        </w:rPr>
        <w:t> </w:t>
      </w:r>
      <w:r>
        <w:rPr/>
        <w:t>time</w:t>
      </w:r>
      <w:r>
        <w:rPr>
          <w:spacing w:val="-4"/>
        </w:rPr>
        <w:t> </w:t>
      </w:r>
      <w:r>
        <w:rPr/>
        <w:t>to</w:t>
      </w:r>
      <w:r>
        <w:rPr>
          <w:spacing w:val="-3"/>
        </w:rPr>
        <w:t> </w:t>
      </w:r>
      <w:r>
        <w:rPr/>
        <w:t>be the second reader of this research. I very grateful to him.</w:t>
      </w:r>
    </w:p>
    <w:p>
      <w:pPr>
        <w:pStyle w:val="BodyText"/>
      </w:pPr>
    </w:p>
    <w:p>
      <w:pPr>
        <w:pStyle w:val="BodyText"/>
      </w:pPr>
    </w:p>
    <w:p>
      <w:pPr>
        <w:pStyle w:val="BodyText"/>
        <w:spacing w:line="480" w:lineRule="auto"/>
        <w:ind w:left="588" w:right="179"/>
      </w:pPr>
      <w:r>
        <w:rPr/>
        <w:t>Special thanks to Chief of Bole, Chief Abdulmumini, and his Secretary Mr. Mohammad</w:t>
      </w:r>
      <w:r>
        <w:rPr>
          <w:spacing w:val="-4"/>
        </w:rPr>
        <w:t> </w:t>
      </w:r>
      <w:r>
        <w:rPr/>
        <w:t>Yahaya,</w:t>
      </w:r>
      <w:r>
        <w:rPr>
          <w:spacing w:val="-4"/>
        </w:rPr>
        <w:t> </w:t>
      </w:r>
      <w:r>
        <w:rPr/>
        <w:t>for</w:t>
      </w:r>
      <w:r>
        <w:rPr>
          <w:spacing w:val="-4"/>
        </w:rPr>
        <w:t> </w:t>
      </w:r>
      <w:r>
        <w:rPr/>
        <w:t>introducing</w:t>
      </w:r>
      <w:r>
        <w:rPr>
          <w:spacing w:val="-6"/>
        </w:rPr>
        <w:t> </w:t>
      </w:r>
      <w:r>
        <w:rPr/>
        <w:t>me</w:t>
      </w:r>
      <w:r>
        <w:rPr>
          <w:spacing w:val="-4"/>
        </w:rPr>
        <w:t> </w:t>
      </w:r>
      <w:r>
        <w:rPr/>
        <w:t>to</w:t>
      </w:r>
      <w:r>
        <w:rPr>
          <w:spacing w:val="-2"/>
        </w:rPr>
        <w:t> </w:t>
      </w:r>
      <w:r>
        <w:rPr/>
        <w:t>Bole</w:t>
      </w:r>
      <w:r>
        <w:rPr>
          <w:spacing w:val="-4"/>
        </w:rPr>
        <w:t> </w:t>
      </w:r>
      <w:r>
        <w:rPr/>
        <w:t>community.</w:t>
      </w:r>
      <w:r>
        <w:rPr>
          <w:spacing w:val="-4"/>
        </w:rPr>
        <w:t> </w:t>
      </w:r>
      <w:r>
        <w:rPr/>
        <w:t>This</w:t>
      </w:r>
      <w:r>
        <w:rPr>
          <w:spacing w:val="-4"/>
        </w:rPr>
        <w:t> </w:t>
      </w:r>
      <w:r>
        <w:rPr/>
        <w:t>research</w:t>
      </w:r>
      <w:r>
        <w:rPr>
          <w:spacing w:val="-2"/>
        </w:rPr>
        <w:t> </w:t>
      </w:r>
      <w:r>
        <w:rPr/>
        <w:t>would</w:t>
      </w:r>
      <w:r>
        <w:rPr>
          <w:spacing w:val="-4"/>
        </w:rPr>
        <w:t> </w:t>
      </w:r>
      <w:r>
        <w:rPr/>
        <w:t>not have been possible without your help. My deepest gratitude goes to the wife of Lakare</w:t>
      </w:r>
      <w:r>
        <w:rPr>
          <w:spacing w:val="-2"/>
        </w:rPr>
        <w:t> </w:t>
      </w:r>
      <w:r>
        <w:rPr/>
        <w:t>ward</w:t>
      </w:r>
      <w:r>
        <w:rPr>
          <w:spacing w:val="-2"/>
        </w:rPr>
        <w:t> </w:t>
      </w:r>
      <w:r>
        <w:rPr/>
        <w:t>head,</w:t>
      </w:r>
      <w:r>
        <w:rPr>
          <w:spacing w:val="-1"/>
        </w:rPr>
        <w:t> </w:t>
      </w:r>
      <w:r>
        <w:rPr/>
        <w:t>Gwoggo</w:t>
      </w:r>
      <w:r>
        <w:rPr>
          <w:spacing w:val="-1"/>
        </w:rPr>
        <w:t> </w:t>
      </w:r>
      <w:r>
        <w:rPr/>
        <w:t>Giwa,</w:t>
      </w:r>
      <w:r>
        <w:rPr>
          <w:spacing w:val="-1"/>
        </w:rPr>
        <w:t> </w:t>
      </w:r>
      <w:r>
        <w:rPr/>
        <w:t>who</w:t>
      </w:r>
      <w:r>
        <w:rPr>
          <w:spacing w:val="-1"/>
        </w:rPr>
        <w:t> </w:t>
      </w:r>
      <w:r>
        <w:rPr/>
        <w:t>volunteered</w:t>
      </w:r>
      <w:r>
        <w:rPr>
          <w:spacing w:val="-1"/>
        </w:rPr>
        <w:t> </w:t>
      </w:r>
      <w:r>
        <w:rPr/>
        <w:t>to</w:t>
      </w:r>
      <w:r>
        <w:rPr>
          <w:spacing w:val="-1"/>
        </w:rPr>
        <w:t> </w:t>
      </w:r>
      <w:r>
        <w:rPr/>
        <w:t>be</w:t>
      </w:r>
      <w:r>
        <w:rPr>
          <w:spacing w:val="-1"/>
        </w:rPr>
        <w:t> </w:t>
      </w:r>
      <w:r>
        <w:rPr/>
        <w:t>my</w:t>
      </w:r>
      <w:r>
        <w:rPr>
          <w:spacing w:val="-6"/>
        </w:rPr>
        <w:t> </w:t>
      </w:r>
      <w:r>
        <w:rPr/>
        <w:t>interpreter</w:t>
      </w:r>
      <w:r>
        <w:rPr>
          <w:spacing w:val="-1"/>
        </w:rPr>
        <w:t> </w:t>
      </w:r>
      <w:r>
        <w:rPr/>
        <w:t>and</w:t>
      </w:r>
      <w:r>
        <w:rPr>
          <w:spacing w:val="-1"/>
        </w:rPr>
        <w:t> </w:t>
      </w:r>
      <w:r>
        <w:rPr/>
        <w:t>research assistant; for that, I am very much indebted to her. A massive thank you to you, for taking care of me while I was in the field.</w:t>
      </w:r>
    </w:p>
    <w:p>
      <w:pPr>
        <w:spacing w:after="0" w:line="480" w:lineRule="auto"/>
        <w:sectPr>
          <w:pgSz w:w="11910" w:h="16840"/>
          <w:pgMar w:header="0" w:footer="1012" w:top="1620" w:bottom="1200" w:left="1680" w:right="1240"/>
        </w:sectPr>
      </w:pPr>
    </w:p>
    <w:p>
      <w:pPr>
        <w:spacing w:line="360" w:lineRule="auto" w:before="25"/>
        <w:ind w:left="907" w:right="495" w:firstLine="0"/>
        <w:jc w:val="center"/>
        <w:rPr>
          <w:rFonts w:ascii="Calibri"/>
          <w:b/>
          <w:sz w:val="28"/>
        </w:rPr>
      </w:pPr>
      <w:r>
        <w:rPr>
          <w:rFonts w:ascii="Calibri"/>
          <w:b/>
          <w:sz w:val="28"/>
        </w:rPr>
        <w:t>ASSESMENT</w:t>
      </w:r>
      <w:r>
        <w:rPr>
          <w:rFonts w:ascii="Calibri"/>
          <w:b/>
          <w:spacing w:val="-5"/>
          <w:sz w:val="28"/>
        </w:rPr>
        <w:t> </w:t>
      </w:r>
      <w:r>
        <w:rPr>
          <w:rFonts w:ascii="Calibri"/>
          <w:b/>
          <w:sz w:val="28"/>
        </w:rPr>
        <w:t>OF</w:t>
      </w:r>
      <w:r>
        <w:rPr>
          <w:rFonts w:ascii="Calibri"/>
          <w:b/>
          <w:spacing w:val="-4"/>
          <w:sz w:val="28"/>
        </w:rPr>
        <w:t> </w:t>
      </w:r>
      <w:r>
        <w:rPr>
          <w:rFonts w:ascii="Calibri"/>
          <w:b/>
          <w:sz w:val="28"/>
        </w:rPr>
        <w:t>CARBON</w:t>
      </w:r>
      <w:r>
        <w:rPr>
          <w:rFonts w:ascii="Calibri"/>
          <w:b/>
          <w:spacing w:val="-6"/>
          <w:sz w:val="28"/>
        </w:rPr>
        <w:t> </w:t>
      </w:r>
      <w:r>
        <w:rPr>
          <w:rFonts w:ascii="Calibri"/>
          <w:b/>
          <w:sz w:val="28"/>
        </w:rPr>
        <w:t>MONOXIDE</w:t>
      </w:r>
      <w:r>
        <w:rPr>
          <w:rFonts w:ascii="Calibri"/>
          <w:b/>
          <w:spacing w:val="-5"/>
          <w:sz w:val="28"/>
        </w:rPr>
        <w:t> </w:t>
      </w:r>
      <w:r>
        <w:rPr>
          <w:rFonts w:ascii="Calibri"/>
          <w:b/>
          <w:sz w:val="28"/>
        </w:rPr>
        <w:t>FROM</w:t>
      </w:r>
      <w:r>
        <w:rPr>
          <w:rFonts w:ascii="Calibri"/>
          <w:b/>
          <w:spacing w:val="-6"/>
          <w:sz w:val="28"/>
        </w:rPr>
        <w:t> </w:t>
      </w:r>
      <w:r>
        <w:rPr>
          <w:rFonts w:ascii="Calibri"/>
          <w:b/>
          <w:sz w:val="28"/>
        </w:rPr>
        <w:t>BIOMASS</w:t>
      </w:r>
      <w:r>
        <w:rPr>
          <w:rFonts w:ascii="Calibri"/>
          <w:b/>
          <w:spacing w:val="-7"/>
          <w:sz w:val="28"/>
        </w:rPr>
        <w:t> </w:t>
      </w:r>
      <w:r>
        <w:rPr>
          <w:rFonts w:ascii="Calibri"/>
          <w:b/>
          <w:sz w:val="28"/>
        </w:rPr>
        <w:t>BURNING IN RURAL HOUSEHOLDS IN ADAMAWA STATE,</w:t>
      </w:r>
    </w:p>
    <w:p>
      <w:pPr>
        <w:spacing w:line="341" w:lineRule="exact" w:before="0"/>
        <w:ind w:left="909" w:right="495" w:firstLine="0"/>
        <w:jc w:val="center"/>
        <w:rPr>
          <w:rFonts w:ascii="Calibri"/>
          <w:b/>
          <w:sz w:val="28"/>
        </w:rPr>
      </w:pPr>
      <w:r>
        <w:rPr>
          <w:rFonts w:ascii="Calibri"/>
          <w:b/>
          <w:sz w:val="28"/>
        </w:rPr>
        <w:t>NORTHEASTERN</w:t>
      </w:r>
      <w:r>
        <w:rPr>
          <w:rFonts w:ascii="Calibri"/>
          <w:b/>
          <w:spacing w:val="-5"/>
          <w:sz w:val="28"/>
        </w:rPr>
        <w:t> </w:t>
      </w:r>
      <w:r>
        <w:rPr>
          <w:rFonts w:ascii="Calibri"/>
          <w:b/>
          <w:spacing w:val="-2"/>
          <w:sz w:val="28"/>
        </w:rPr>
        <w:t>NIGERIA</w:t>
      </w:r>
    </w:p>
    <w:p>
      <w:pPr>
        <w:pStyle w:val="BodyText"/>
        <w:rPr>
          <w:rFonts w:ascii="Calibri"/>
          <w:b/>
          <w:sz w:val="28"/>
        </w:rPr>
      </w:pPr>
    </w:p>
    <w:p>
      <w:pPr>
        <w:pStyle w:val="BodyText"/>
        <w:spacing w:before="138"/>
        <w:rPr>
          <w:rFonts w:ascii="Calibri"/>
          <w:b/>
          <w:sz w:val="28"/>
        </w:rPr>
      </w:pPr>
    </w:p>
    <w:p>
      <w:pPr>
        <w:pStyle w:val="Heading1"/>
        <w:spacing w:before="0"/>
        <w:ind w:left="907" w:right="500"/>
        <w:jc w:val="center"/>
      </w:pPr>
      <w:r>
        <w:rPr/>
        <w:t>UMMI</w:t>
      </w:r>
      <w:r>
        <w:rPr>
          <w:spacing w:val="-3"/>
        </w:rPr>
        <w:t> </w:t>
      </w:r>
      <w:r>
        <w:rPr>
          <w:spacing w:val="-2"/>
        </w:rPr>
        <w:t>MUKHTAR</w:t>
      </w:r>
    </w:p>
    <w:p>
      <w:pPr>
        <w:pStyle w:val="BodyText"/>
        <w:rPr>
          <w:b/>
        </w:rPr>
      </w:pPr>
    </w:p>
    <w:p>
      <w:pPr>
        <w:pStyle w:val="BodyText"/>
        <w:ind w:left="907" w:right="498"/>
        <w:jc w:val="center"/>
      </w:pPr>
      <w:r>
        <w:rPr/>
        <w:t>American</w:t>
      </w:r>
      <w:r>
        <w:rPr>
          <w:spacing w:val="-1"/>
        </w:rPr>
        <w:t> </w:t>
      </w:r>
      <w:r>
        <w:rPr/>
        <w:t>University</w:t>
      </w:r>
      <w:r>
        <w:rPr>
          <w:spacing w:val="-6"/>
        </w:rPr>
        <w:t> </w:t>
      </w:r>
      <w:r>
        <w:rPr/>
        <w:t>of Nigeria, </w:t>
      </w:r>
      <w:r>
        <w:rPr>
          <w:spacing w:val="-4"/>
        </w:rPr>
        <w:t>2017</w:t>
      </w:r>
    </w:p>
    <w:p>
      <w:pPr>
        <w:pStyle w:val="BodyText"/>
      </w:pPr>
    </w:p>
    <w:p>
      <w:pPr>
        <w:pStyle w:val="BodyText"/>
        <w:spacing w:before="1"/>
      </w:pPr>
    </w:p>
    <w:p>
      <w:pPr>
        <w:pStyle w:val="BodyText"/>
        <w:ind w:left="1858" w:right="1454" w:firstLine="905"/>
      </w:pPr>
      <w:r>
        <w:rPr/>
        <w:t>Major Professor: Lynne R. Baker, Ph.D.</w:t>
      </w:r>
      <w:r>
        <w:rPr>
          <w:spacing w:val="40"/>
        </w:rPr>
        <w:t> </w:t>
      </w:r>
      <w:r>
        <w:rPr/>
        <w:t>Assistant</w:t>
      </w:r>
      <w:r>
        <w:rPr>
          <w:spacing w:val="-7"/>
        </w:rPr>
        <w:t> </w:t>
      </w:r>
      <w:r>
        <w:rPr/>
        <w:t>Professor</w:t>
      </w:r>
      <w:r>
        <w:rPr>
          <w:spacing w:val="-7"/>
        </w:rPr>
        <w:t> </w:t>
      </w:r>
      <w:r>
        <w:rPr/>
        <w:t>of</w:t>
      </w:r>
      <w:r>
        <w:rPr>
          <w:spacing w:val="-8"/>
        </w:rPr>
        <w:t> </w:t>
      </w:r>
      <w:r>
        <w:rPr/>
        <w:t>Natural</w:t>
      </w:r>
      <w:r>
        <w:rPr>
          <w:spacing w:val="-7"/>
        </w:rPr>
        <w:t> </w:t>
      </w:r>
      <w:r>
        <w:rPr/>
        <w:t>and</w:t>
      </w:r>
      <w:r>
        <w:rPr>
          <w:spacing w:val="-7"/>
        </w:rPr>
        <w:t> </w:t>
      </w:r>
      <w:r>
        <w:rPr/>
        <w:t>Environmental</w:t>
      </w:r>
      <w:r>
        <w:rPr>
          <w:spacing w:val="-5"/>
        </w:rPr>
        <w:t> </w:t>
      </w:r>
      <w:r>
        <w:rPr/>
        <w:t>Sciences</w:t>
      </w:r>
    </w:p>
    <w:p>
      <w:pPr>
        <w:pStyle w:val="BodyText"/>
      </w:pPr>
    </w:p>
    <w:p>
      <w:pPr>
        <w:pStyle w:val="BodyText"/>
      </w:pPr>
    </w:p>
    <w:p>
      <w:pPr>
        <w:pStyle w:val="BodyText"/>
        <w:spacing w:before="240"/>
      </w:pPr>
    </w:p>
    <w:p>
      <w:pPr>
        <w:pStyle w:val="Heading1"/>
        <w:spacing w:before="0"/>
      </w:pPr>
      <w:bookmarkStart w:name="_TOC_250005" w:id="3"/>
      <w:bookmarkEnd w:id="3"/>
      <w:r>
        <w:rPr>
          <w:spacing w:val="-2"/>
        </w:rPr>
        <w:t>ABSTRACT</w:t>
      </w:r>
    </w:p>
    <w:p>
      <w:pPr>
        <w:pStyle w:val="BodyText"/>
        <w:rPr>
          <w:b/>
        </w:rPr>
      </w:pPr>
    </w:p>
    <w:p>
      <w:pPr>
        <w:pStyle w:val="BodyText"/>
        <w:spacing w:line="480" w:lineRule="auto"/>
        <w:ind w:left="588" w:right="216"/>
      </w:pPr>
      <w:r>
        <w:rPr/>
        <w:t>Indoor air pollution (IAP) kills 4 million people worldwide, particularly in developing countries where many people rely heavily on biomass for energy. Globally, 3 billion people use biomass fuel for cooking and heating. Burning</w:t>
      </w:r>
      <w:r>
        <w:rPr>
          <w:spacing w:val="40"/>
        </w:rPr>
        <w:t> </w:t>
      </w:r>
      <w:r>
        <w:rPr/>
        <w:t>biomass</w:t>
      </w:r>
      <w:r>
        <w:rPr>
          <w:spacing w:val="-3"/>
        </w:rPr>
        <w:t> </w:t>
      </w:r>
      <w:r>
        <w:rPr/>
        <w:t>emits</w:t>
      </w:r>
      <w:r>
        <w:rPr>
          <w:spacing w:val="-3"/>
        </w:rPr>
        <w:t> </w:t>
      </w:r>
      <w:r>
        <w:rPr/>
        <w:t>carbon</w:t>
      </w:r>
      <w:r>
        <w:rPr>
          <w:spacing w:val="-4"/>
        </w:rPr>
        <w:t> </w:t>
      </w:r>
      <w:r>
        <w:rPr/>
        <w:t>monoxide</w:t>
      </w:r>
      <w:r>
        <w:rPr>
          <w:spacing w:val="-3"/>
        </w:rPr>
        <w:t> </w:t>
      </w:r>
      <w:r>
        <w:rPr/>
        <w:t>(CO)</w:t>
      </w:r>
      <w:r>
        <w:rPr>
          <w:spacing w:val="-5"/>
        </w:rPr>
        <w:t> </w:t>
      </w:r>
      <w:r>
        <w:rPr/>
        <w:t>and</w:t>
      </w:r>
      <w:r>
        <w:rPr>
          <w:spacing w:val="-3"/>
        </w:rPr>
        <w:t> </w:t>
      </w:r>
      <w:r>
        <w:rPr/>
        <w:t>other</w:t>
      </w:r>
      <w:r>
        <w:rPr>
          <w:spacing w:val="-5"/>
        </w:rPr>
        <w:t> </w:t>
      </w:r>
      <w:r>
        <w:rPr/>
        <w:t>pollutants.</w:t>
      </w:r>
      <w:r>
        <w:rPr>
          <w:spacing w:val="-1"/>
        </w:rPr>
        <w:t> </w:t>
      </w:r>
      <w:r>
        <w:rPr/>
        <w:t>Hence,</w:t>
      </w:r>
      <w:r>
        <w:rPr>
          <w:spacing w:val="-1"/>
        </w:rPr>
        <w:t> </w:t>
      </w:r>
      <w:r>
        <w:rPr/>
        <w:t>IAP</w:t>
      </w:r>
      <w:r>
        <w:rPr>
          <w:spacing w:val="-2"/>
        </w:rPr>
        <w:t> </w:t>
      </w:r>
      <w:r>
        <w:rPr/>
        <w:t>is</w:t>
      </w:r>
      <w:r>
        <w:rPr>
          <w:spacing w:val="-3"/>
        </w:rPr>
        <w:t> </w:t>
      </w:r>
      <w:r>
        <w:rPr/>
        <w:t>the</w:t>
      </w:r>
      <w:r>
        <w:rPr>
          <w:spacing w:val="-3"/>
        </w:rPr>
        <w:t> </w:t>
      </w:r>
      <w:r>
        <w:rPr/>
        <w:t>leading cause of non-communicable diseases in the world. Women and children suffer most of the burden of IAP because they are usually responsible for cooking.</w:t>
      </w:r>
    </w:p>
    <w:p>
      <w:pPr>
        <w:pStyle w:val="BodyText"/>
      </w:pPr>
    </w:p>
    <w:p>
      <w:pPr>
        <w:pStyle w:val="BodyText"/>
        <w:spacing w:before="1"/>
      </w:pPr>
    </w:p>
    <w:p>
      <w:pPr>
        <w:pStyle w:val="BodyText"/>
        <w:spacing w:line="480" w:lineRule="auto" w:before="1"/>
        <w:ind w:left="588" w:right="215"/>
      </w:pPr>
      <w:r>
        <w:rPr/>
        <w:t>In a rural, poor community in Adamawa State, northeastern Nigeria, I assessed risks to human health from biomass burning. I</w:t>
      </w:r>
      <w:r>
        <w:rPr>
          <w:spacing w:val="-1"/>
        </w:rPr>
        <w:t> </w:t>
      </w:r>
      <w:r>
        <w:rPr/>
        <w:t>used structured questionnaires to interview heads-of-households about their household composition, cooking habits, cooking fuel,</w:t>
      </w:r>
      <w:r>
        <w:rPr>
          <w:spacing w:val="-2"/>
        </w:rPr>
        <w:t> </w:t>
      </w:r>
      <w:r>
        <w:rPr/>
        <w:t>and</w:t>
      </w:r>
      <w:r>
        <w:rPr>
          <w:spacing w:val="-2"/>
        </w:rPr>
        <w:t> </w:t>
      </w:r>
      <w:r>
        <w:rPr/>
        <w:t>kitchen area.</w:t>
      </w:r>
      <w:r>
        <w:rPr>
          <w:spacing w:val="-2"/>
        </w:rPr>
        <w:t> </w:t>
      </w:r>
      <w:r>
        <w:rPr/>
        <w:t>Using</w:t>
      </w:r>
      <w:r>
        <w:rPr>
          <w:spacing w:val="-4"/>
        </w:rPr>
        <w:t> </w:t>
      </w:r>
      <w:r>
        <w:rPr/>
        <w:t>a</w:t>
      </w:r>
      <w:r>
        <w:rPr>
          <w:spacing w:val="-3"/>
        </w:rPr>
        <w:t> </w:t>
      </w:r>
      <w:r>
        <w:rPr/>
        <w:t>CO</w:t>
      </w:r>
      <w:r>
        <w:rPr>
          <w:spacing w:val="-2"/>
        </w:rPr>
        <w:t> </w:t>
      </w:r>
      <w:r>
        <w:rPr/>
        <w:t>data</w:t>
      </w:r>
      <w:r>
        <w:rPr>
          <w:spacing w:val="-2"/>
        </w:rPr>
        <w:t> </w:t>
      </w:r>
      <w:r>
        <w:rPr/>
        <w:t>logger,</w:t>
      </w:r>
      <w:r>
        <w:rPr>
          <w:spacing w:val="-1"/>
        </w:rPr>
        <w:t> </w:t>
      </w:r>
      <w:r>
        <w:rPr/>
        <w:t>I</w:t>
      </w:r>
      <w:r>
        <w:rPr>
          <w:spacing w:val="-3"/>
        </w:rPr>
        <w:t> </w:t>
      </w:r>
      <w:r>
        <w:rPr/>
        <w:t>also</w:t>
      </w:r>
      <w:r>
        <w:rPr>
          <w:spacing w:val="-2"/>
        </w:rPr>
        <w:t> </w:t>
      </w:r>
      <w:r>
        <w:rPr/>
        <w:t>measured CO</w:t>
      </w:r>
      <w:r>
        <w:rPr>
          <w:spacing w:val="-2"/>
        </w:rPr>
        <w:t> </w:t>
      </w:r>
      <w:r>
        <w:rPr/>
        <w:t>emissions</w:t>
      </w:r>
      <w:r>
        <w:rPr>
          <w:spacing w:val="-2"/>
        </w:rPr>
        <w:t> </w:t>
      </w:r>
      <w:r>
        <w:rPr/>
        <w:t>during cooking</w:t>
      </w:r>
      <w:r>
        <w:rPr>
          <w:spacing w:val="-4"/>
        </w:rPr>
        <w:t> </w:t>
      </w:r>
      <w:r>
        <w:rPr/>
        <w:t>for</w:t>
      </w:r>
      <w:r>
        <w:rPr>
          <w:spacing w:val="-3"/>
        </w:rPr>
        <w:t> </w:t>
      </w:r>
      <w:r>
        <w:rPr/>
        <w:t>16</w:t>
      </w:r>
      <w:r>
        <w:rPr>
          <w:spacing w:val="-3"/>
        </w:rPr>
        <w:t> </w:t>
      </w:r>
      <w:r>
        <w:rPr/>
        <w:t>households</w:t>
      </w:r>
      <w:r>
        <w:rPr>
          <w:spacing w:val="-2"/>
        </w:rPr>
        <w:t> </w:t>
      </w:r>
      <w:r>
        <w:rPr/>
        <w:t>with</w:t>
      </w:r>
      <w:r>
        <w:rPr>
          <w:spacing w:val="-3"/>
        </w:rPr>
        <w:t> </w:t>
      </w:r>
      <w:r>
        <w:rPr/>
        <w:t>indoor</w:t>
      </w:r>
      <w:r>
        <w:rPr>
          <w:spacing w:val="-3"/>
        </w:rPr>
        <w:t> </w:t>
      </w:r>
      <w:r>
        <w:rPr/>
        <w:t>kitchens.</w:t>
      </w:r>
      <w:r>
        <w:rPr>
          <w:spacing w:val="-3"/>
        </w:rPr>
        <w:t> </w:t>
      </w:r>
      <w:r>
        <w:rPr/>
        <w:t>The</w:t>
      </w:r>
      <w:r>
        <w:rPr>
          <w:spacing w:val="-4"/>
        </w:rPr>
        <w:t> </w:t>
      </w:r>
      <w:r>
        <w:rPr/>
        <w:t>number</w:t>
      </w:r>
      <w:r>
        <w:rPr>
          <w:spacing w:val="-4"/>
        </w:rPr>
        <w:t> </w:t>
      </w:r>
      <w:r>
        <w:rPr/>
        <w:t>of</w:t>
      </w:r>
      <w:r>
        <w:rPr>
          <w:spacing w:val="-3"/>
        </w:rPr>
        <w:t> </w:t>
      </w:r>
      <w:r>
        <w:rPr/>
        <w:t>doors,</w:t>
      </w:r>
      <w:r>
        <w:rPr>
          <w:spacing w:val="-3"/>
        </w:rPr>
        <w:t> </w:t>
      </w:r>
      <w:r>
        <w:rPr/>
        <w:t>windows,</w:t>
      </w:r>
      <w:r>
        <w:rPr>
          <w:spacing w:val="-3"/>
        </w:rPr>
        <w:t> </w:t>
      </w:r>
      <w:r>
        <w:rPr/>
        <w:t>and gaps were counted and measured to assess ventilation and subjectively categorized into a ventilation index.</w:t>
      </w:r>
    </w:p>
    <w:p>
      <w:pPr>
        <w:spacing w:after="0" w:line="480" w:lineRule="auto"/>
        <w:sectPr>
          <w:pgSz w:w="11910" w:h="16840"/>
          <w:pgMar w:header="0" w:footer="1012" w:top="1660" w:bottom="1200" w:left="1680" w:right="1240"/>
        </w:sectPr>
      </w:pPr>
    </w:p>
    <w:p>
      <w:pPr>
        <w:pStyle w:val="BodyText"/>
        <w:spacing w:line="480" w:lineRule="auto" w:before="62"/>
        <w:ind w:left="588" w:right="255"/>
      </w:pPr>
      <w:r>
        <w:rPr/>
        <w:t>My</w:t>
      </w:r>
      <w:r>
        <w:rPr>
          <w:spacing w:val="-7"/>
        </w:rPr>
        <w:t> </w:t>
      </w:r>
      <w:r>
        <w:rPr/>
        <w:t>results</w:t>
      </w:r>
      <w:r>
        <w:rPr>
          <w:spacing w:val="-2"/>
        </w:rPr>
        <w:t> </w:t>
      </w:r>
      <w:r>
        <w:rPr/>
        <w:t>showed</w:t>
      </w:r>
      <w:r>
        <w:rPr>
          <w:spacing w:val="-2"/>
        </w:rPr>
        <w:t> </w:t>
      </w:r>
      <w:r>
        <w:rPr/>
        <w:t>that</w:t>
      </w:r>
      <w:r>
        <w:rPr>
          <w:spacing w:val="-2"/>
        </w:rPr>
        <w:t> </w:t>
      </w:r>
      <w:r>
        <w:rPr/>
        <w:t>adult</w:t>
      </w:r>
      <w:r>
        <w:rPr>
          <w:spacing w:val="-2"/>
        </w:rPr>
        <w:t> </w:t>
      </w:r>
      <w:r>
        <w:rPr/>
        <w:t>women</w:t>
      </w:r>
      <w:r>
        <w:rPr>
          <w:spacing w:val="-2"/>
        </w:rPr>
        <w:t> </w:t>
      </w:r>
      <w:r>
        <w:rPr/>
        <w:t>(</w:t>
      </w:r>
      <w:r>
        <w:rPr>
          <w:i/>
        </w:rPr>
        <w:t>n</w:t>
      </w:r>
      <w:r>
        <w:rPr>
          <w:i/>
          <w:spacing w:val="-2"/>
        </w:rPr>
        <w:t> </w:t>
      </w:r>
      <w:r>
        <w:rPr/>
        <w:t>=134)</w:t>
      </w:r>
      <w:r>
        <w:rPr>
          <w:spacing w:val="-3"/>
        </w:rPr>
        <w:t> </w:t>
      </w:r>
      <w:r>
        <w:rPr/>
        <w:t>were</w:t>
      </w:r>
      <w:r>
        <w:rPr>
          <w:spacing w:val="-3"/>
        </w:rPr>
        <w:t> </w:t>
      </w:r>
      <w:r>
        <w:rPr/>
        <w:t>mainly</w:t>
      </w:r>
      <w:r>
        <w:rPr>
          <w:spacing w:val="-7"/>
        </w:rPr>
        <w:t> </w:t>
      </w:r>
      <w:r>
        <w:rPr/>
        <w:t>responsible</w:t>
      </w:r>
      <w:r>
        <w:rPr>
          <w:spacing w:val="-2"/>
        </w:rPr>
        <w:t> </w:t>
      </w:r>
      <w:r>
        <w:rPr/>
        <w:t>for cooking in the Bole community, and mean number of times residents cooked per day was</w:t>
      </w:r>
    </w:p>
    <w:p>
      <w:pPr>
        <w:pStyle w:val="BodyText"/>
        <w:spacing w:line="480" w:lineRule="auto" w:before="1"/>
        <w:ind w:left="588" w:right="257"/>
      </w:pPr>
      <w:r>
        <w:rPr/>
        <w:t>2.25 ± 0.55. The</w:t>
      </w:r>
      <w:r>
        <w:rPr>
          <w:spacing w:val="-1"/>
        </w:rPr>
        <w:t> </w:t>
      </w:r>
      <w:r>
        <w:rPr/>
        <w:t>primary</w:t>
      </w:r>
      <w:r>
        <w:rPr>
          <w:spacing w:val="-2"/>
        </w:rPr>
        <w:t> </w:t>
      </w:r>
      <w:r>
        <w:rPr/>
        <w:t>fuel source for</w:t>
      </w:r>
      <w:r>
        <w:rPr>
          <w:spacing w:val="-1"/>
        </w:rPr>
        <w:t> </w:t>
      </w:r>
      <w:r>
        <w:rPr/>
        <w:t>all but four households was wood. Most households</w:t>
      </w:r>
      <w:r>
        <w:rPr>
          <w:spacing w:val="-3"/>
        </w:rPr>
        <w:t> </w:t>
      </w:r>
      <w:r>
        <w:rPr/>
        <w:t>had</w:t>
      </w:r>
      <w:r>
        <w:rPr>
          <w:spacing w:val="-3"/>
        </w:rPr>
        <w:t> </w:t>
      </w:r>
      <w:r>
        <w:rPr/>
        <w:t>outdoor</w:t>
      </w:r>
      <w:r>
        <w:rPr>
          <w:spacing w:val="-2"/>
        </w:rPr>
        <w:t> </w:t>
      </w:r>
      <w:r>
        <w:rPr/>
        <w:t>cooking</w:t>
      </w:r>
      <w:r>
        <w:rPr>
          <w:spacing w:val="-3"/>
        </w:rPr>
        <w:t> </w:t>
      </w:r>
      <w:r>
        <w:rPr/>
        <w:t>areas</w:t>
      </w:r>
      <w:r>
        <w:rPr>
          <w:spacing w:val="-3"/>
        </w:rPr>
        <w:t> </w:t>
      </w:r>
      <w:r>
        <w:rPr/>
        <w:t>(</w:t>
      </w:r>
      <w:r>
        <w:rPr>
          <w:i/>
        </w:rPr>
        <w:t>n</w:t>
      </w:r>
      <w:r>
        <w:rPr>
          <w:i/>
          <w:spacing w:val="-3"/>
        </w:rPr>
        <w:t> </w:t>
      </w:r>
      <w:r>
        <w:rPr/>
        <w:t>=</w:t>
      </w:r>
      <w:r>
        <w:rPr>
          <w:spacing w:val="-4"/>
        </w:rPr>
        <w:t> </w:t>
      </w:r>
      <w:r>
        <w:rPr/>
        <w:t>101).</w:t>
      </w:r>
      <w:r>
        <w:rPr>
          <w:spacing w:val="-1"/>
        </w:rPr>
        <w:t> </w:t>
      </w:r>
      <w:r>
        <w:rPr/>
        <w:t>Mean</w:t>
      </w:r>
      <w:r>
        <w:rPr>
          <w:spacing w:val="-3"/>
        </w:rPr>
        <w:t> </w:t>
      </w:r>
      <w:r>
        <w:rPr/>
        <w:t>CO</w:t>
      </w:r>
      <w:r>
        <w:rPr>
          <w:spacing w:val="-3"/>
        </w:rPr>
        <w:t> </w:t>
      </w:r>
      <w:r>
        <w:rPr/>
        <w:t>reading</w:t>
      </w:r>
      <w:r>
        <w:rPr>
          <w:spacing w:val="-5"/>
        </w:rPr>
        <w:t> </w:t>
      </w:r>
      <w:r>
        <w:rPr/>
        <w:t>(111.9</w:t>
      </w:r>
      <w:r>
        <w:rPr>
          <w:spacing w:val="-1"/>
        </w:rPr>
        <w:t> </w:t>
      </w:r>
      <w:r>
        <w:rPr/>
        <w:t>±</w:t>
      </w:r>
      <w:r>
        <w:rPr>
          <w:spacing w:val="-3"/>
        </w:rPr>
        <w:t> </w:t>
      </w:r>
      <w:r>
        <w:rPr/>
        <w:t>41.4 ppm)</w:t>
      </w:r>
      <w:r>
        <w:rPr>
          <w:spacing w:val="-5"/>
        </w:rPr>
        <w:t> </w:t>
      </w:r>
      <w:r>
        <w:rPr/>
        <w:t>exceeded</w:t>
      </w:r>
      <w:r>
        <w:rPr>
          <w:spacing w:val="-5"/>
        </w:rPr>
        <w:t> </w:t>
      </w:r>
      <w:r>
        <w:rPr/>
        <w:t>World</w:t>
      </w:r>
      <w:r>
        <w:rPr>
          <w:spacing w:val="-5"/>
        </w:rPr>
        <w:t> </w:t>
      </w:r>
      <w:r>
        <w:rPr/>
        <w:t>Health</w:t>
      </w:r>
      <w:r>
        <w:rPr>
          <w:spacing w:val="-5"/>
        </w:rPr>
        <w:t> </w:t>
      </w:r>
      <w:r>
        <w:rPr/>
        <w:t>Organization</w:t>
      </w:r>
      <w:r>
        <w:rPr>
          <w:spacing w:val="-3"/>
        </w:rPr>
        <w:t> </w:t>
      </w:r>
      <w:r>
        <w:rPr/>
        <w:t>recommended</w:t>
      </w:r>
      <w:r>
        <w:rPr>
          <w:spacing w:val="-5"/>
        </w:rPr>
        <w:t> </w:t>
      </w:r>
      <w:r>
        <w:rPr/>
        <w:t>safe</w:t>
      </w:r>
      <w:r>
        <w:rPr>
          <w:spacing w:val="-5"/>
        </w:rPr>
        <w:t> </w:t>
      </w:r>
      <w:r>
        <w:rPr/>
        <w:t>levels.</w:t>
      </w:r>
      <w:r>
        <w:rPr>
          <w:spacing w:val="-5"/>
        </w:rPr>
        <w:t> </w:t>
      </w:r>
      <w:r>
        <w:rPr/>
        <w:t>Ventilation appeared to be important for reducing CO concentrations during cooking. This research</w:t>
      </w:r>
      <w:r>
        <w:rPr>
          <w:spacing w:val="-2"/>
        </w:rPr>
        <w:t> </w:t>
      </w:r>
      <w:r>
        <w:rPr/>
        <w:t>reinforces</w:t>
      </w:r>
      <w:r>
        <w:rPr>
          <w:spacing w:val="-1"/>
        </w:rPr>
        <w:t> </w:t>
      </w:r>
      <w:r>
        <w:rPr/>
        <w:t>that</w:t>
      </w:r>
      <w:r>
        <w:rPr>
          <w:spacing w:val="-2"/>
        </w:rPr>
        <w:t> </w:t>
      </w:r>
      <w:r>
        <w:rPr/>
        <w:t>indoor</w:t>
      </w:r>
      <w:r>
        <w:rPr>
          <w:spacing w:val="-3"/>
        </w:rPr>
        <w:t> </w:t>
      </w:r>
      <w:r>
        <w:rPr/>
        <w:t>pollution</w:t>
      </w:r>
      <w:r>
        <w:rPr>
          <w:spacing w:val="-2"/>
        </w:rPr>
        <w:t> </w:t>
      </w:r>
      <w:r>
        <w:rPr/>
        <w:t>from</w:t>
      </w:r>
      <w:r>
        <w:rPr>
          <w:spacing w:val="-2"/>
        </w:rPr>
        <w:t> </w:t>
      </w:r>
      <w:r>
        <w:rPr/>
        <w:t>biomass</w:t>
      </w:r>
      <w:r>
        <w:rPr>
          <w:spacing w:val="-1"/>
        </w:rPr>
        <w:t> </w:t>
      </w:r>
      <w:r>
        <w:rPr/>
        <w:t>burning</w:t>
      </w:r>
      <w:r>
        <w:rPr>
          <w:spacing w:val="-4"/>
        </w:rPr>
        <w:t> </w:t>
      </w:r>
      <w:r>
        <w:rPr/>
        <w:t>poses a</w:t>
      </w:r>
      <w:r>
        <w:rPr>
          <w:spacing w:val="-3"/>
        </w:rPr>
        <w:t> </w:t>
      </w:r>
      <w:r>
        <w:rPr/>
        <w:t>risk</w:t>
      </w:r>
      <w:r>
        <w:rPr>
          <w:spacing w:val="-2"/>
        </w:rPr>
        <w:t> </w:t>
      </w:r>
      <w:r>
        <w:rPr/>
        <w:t>to</w:t>
      </w:r>
      <w:r>
        <w:rPr>
          <w:spacing w:val="-2"/>
        </w:rPr>
        <w:t> </w:t>
      </w:r>
      <w:r>
        <w:rPr/>
        <w:t>the human health and contributes to deforestation.</w:t>
      </w:r>
    </w:p>
    <w:p>
      <w:pPr>
        <w:spacing w:after="0" w:line="480" w:lineRule="auto"/>
        <w:sectPr>
          <w:pgSz w:w="11910" w:h="16840"/>
          <w:pgMar w:header="0" w:footer="1012" w:top="1620" w:bottom="1200" w:left="1680" w:right="1240"/>
        </w:sectPr>
      </w:pPr>
    </w:p>
    <w:p>
      <w:pPr>
        <w:pStyle w:val="Heading1"/>
      </w:pPr>
      <w:r>
        <w:rPr/>
        <w:t>TABLE OF</w:t>
      </w:r>
      <w:r>
        <w:rPr>
          <w:spacing w:val="-3"/>
        </w:rPr>
        <w:t> </w:t>
      </w:r>
      <w:r>
        <w:rPr>
          <w:spacing w:val="-2"/>
        </w:rPr>
        <w:t>CONTENTS</w:t>
      </w:r>
    </w:p>
    <w:sdt>
      <w:sdtPr>
        <w:docPartObj>
          <w:docPartGallery w:val="Table of Contents"/>
          <w:docPartUnique/>
        </w:docPartObj>
      </w:sdtPr>
      <w:sdtEndPr/>
      <w:sdtContent>
        <w:p>
          <w:pPr>
            <w:pStyle w:val="TOC2"/>
            <w:tabs>
              <w:tab w:pos="8778" w:val="right" w:leader="dot"/>
            </w:tabs>
            <w:spacing w:before="437"/>
          </w:pPr>
          <w:r>
            <w:rPr>
              <w:spacing w:val="-2"/>
            </w:rPr>
            <w:t>CERTIFICATION.</w:t>
          </w:r>
          <w:r>
            <w:rPr/>
            <w:tab/>
          </w:r>
          <w:r>
            <w:rPr>
              <w:spacing w:val="-5"/>
            </w:rPr>
            <w:t>ii</w:t>
          </w:r>
        </w:p>
        <w:p>
          <w:pPr>
            <w:pStyle w:val="TOC2"/>
            <w:tabs>
              <w:tab w:pos="8811" w:val="right" w:leader="dot"/>
            </w:tabs>
          </w:pPr>
          <w:r>
            <w:rPr/>
            <w:t>READERS’</w:t>
          </w:r>
          <w:r>
            <w:rPr>
              <w:spacing w:val="-3"/>
            </w:rPr>
            <w:t> </w:t>
          </w:r>
          <w:r>
            <w:rPr>
              <w:spacing w:val="-2"/>
            </w:rPr>
            <w:t>APPROVAL</w:t>
          </w:r>
          <w:r>
            <w:rPr/>
            <w:tab/>
          </w:r>
          <w:r>
            <w:rPr>
              <w:spacing w:val="-5"/>
            </w:rPr>
            <w:t>iii</w:t>
          </w:r>
        </w:p>
        <w:p>
          <w:pPr>
            <w:pStyle w:val="TOC2"/>
            <w:tabs>
              <w:tab w:pos="8797" w:val="right" w:leader="dot"/>
            </w:tabs>
          </w:pPr>
          <w:hyperlink w:history="true" w:anchor="_TOC_250007">
            <w:r>
              <w:rPr>
                <w:spacing w:val="-2"/>
              </w:rPr>
              <w:t>DEDICATION.</w:t>
            </w:r>
            <w:r>
              <w:rPr/>
              <w:tab/>
            </w:r>
            <w:r>
              <w:rPr>
                <w:spacing w:val="-5"/>
              </w:rPr>
              <w:t>iv</w:t>
            </w:r>
          </w:hyperlink>
        </w:p>
        <w:p>
          <w:pPr>
            <w:pStyle w:val="TOC2"/>
            <w:tabs>
              <w:tab w:pos="8790" w:val="right" w:leader="dot"/>
            </w:tabs>
          </w:pPr>
          <w:hyperlink w:history="true" w:anchor="_TOC_250006">
            <w:r>
              <w:rPr>
                <w:spacing w:val="-2"/>
              </w:rPr>
              <w:t>ACKNOWLEDGEMENTS</w:t>
            </w:r>
            <w:r>
              <w:rPr/>
              <w:tab/>
            </w:r>
            <w:r>
              <w:rPr>
                <w:spacing w:val="-10"/>
              </w:rPr>
              <w:t>v</w:t>
            </w:r>
          </w:hyperlink>
        </w:p>
        <w:p>
          <w:pPr>
            <w:pStyle w:val="TOC2"/>
            <w:tabs>
              <w:tab w:pos="8749" w:val="right" w:leader="dot"/>
            </w:tabs>
          </w:pPr>
          <w:hyperlink w:history="true" w:anchor="_TOC_250005">
            <w:r>
              <w:rPr>
                <w:spacing w:val="-2"/>
              </w:rPr>
              <w:t>ABSTRACT.</w:t>
            </w:r>
            <w:r>
              <w:rPr/>
              <w:tab/>
            </w:r>
            <w:r>
              <w:rPr>
                <w:spacing w:val="-5"/>
              </w:rPr>
              <w:t>vi</w:t>
            </w:r>
          </w:hyperlink>
        </w:p>
        <w:p>
          <w:pPr>
            <w:pStyle w:val="TOC2"/>
            <w:tabs>
              <w:tab w:pos="8809" w:val="right" w:leader="dot"/>
            </w:tabs>
            <w:spacing w:before="205"/>
          </w:pPr>
          <w:hyperlink w:history="true" w:anchor="_TOC_250004">
            <w:r>
              <w:rPr>
                <w:spacing w:val="-2"/>
              </w:rPr>
              <w:t>LIST</w:t>
            </w:r>
            <w:r>
              <w:rPr>
                <w:spacing w:val="-9"/>
              </w:rPr>
              <w:t> </w:t>
            </w:r>
            <w:r>
              <w:rPr>
                <w:spacing w:val="-2"/>
              </w:rPr>
              <w:t>OF</w:t>
            </w:r>
            <w:r>
              <w:rPr>
                <w:spacing w:val="-10"/>
              </w:rPr>
              <w:t> </w:t>
            </w:r>
            <w:r>
              <w:rPr>
                <w:spacing w:val="-2"/>
              </w:rPr>
              <w:t>TABLES</w:t>
            </w:r>
            <w:r>
              <w:rPr/>
              <w:tab/>
            </w:r>
            <w:r>
              <w:rPr>
                <w:spacing w:val="-12"/>
              </w:rPr>
              <w:t>x</w:t>
            </w:r>
          </w:hyperlink>
        </w:p>
        <w:p>
          <w:pPr>
            <w:pStyle w:val="TOC2"/>
            <w:tabs>
              <w:tab w:pos="8811" w:val="right" w:leader="dot"/>
            </w:tabs>
          </w:pPr>
          <w:hyperlink w:history="true" w:anchor="_TOC_250003">
            <w:r>
              <w:rPr/>
              <w:t>LIST</w:t>
            </w:r>
            <w:r>
              <w:rPr>
                <w:spacing w:val="-12"/>
              </w:rPr>
              <w:t> </w:t>
            </w:r>
            <w:r>
              <w:rPr/>
              <w:t>OF</w:t>
            </w:r>
            <w:r>
              <w:rPr>
                <w:spacing w:val="-13"/>
              </w:rPr>
              <w:t> </w:t>
            </w:r>
            <w:r>
              <w:rPr>
                <w:spacing w:val="-2"/>
              </w:rPr>
              <w:t>FIGURES</w:t>
            </w:r>
            <w:r>
              <w:rPr/>
              <w:tab/>
            </w:r>
            <w:r>
              <w:rPr>
                <w:spacing w:val="-5"/>
              </w:rPr>
              <w:t>xi</w:t>
            </w:r>
          </w:hyperlink>
        </w:p>
        <w:p>
          <w:pPr>
            <w:pStyle w:val="TOC1"/>
            <w:tabs>
              <w:tab w:pos="8809" w:val="right" w:leader="dot"/>
            </w:tabs>
          </w:pPr>
          <w:r>
            <w:rPr>
              <w:spacing w:val="-2"/>
            </w:rPr>
            <w:t>CHAPTER </w:t>
          </w:r>
          <w:r>
            <w:rPr>
              <w:spacing w:val="-7"/>
            </w:rPr>
            <w:t>1.</w:t>
          </w:r>
          <w:r>
            <w:rPr/>
            <w:tab/>
          </w:r>
          <w:r>
            <w:rPr>
              <w:spacing w:val="-10"/>
            </w:rPr>
            <w:t>1</w:t>
          </w:r>
        </w:p>
        <w:p>
          <w:pPr>
            <w:pStyle w:val="TOC1"/>
            <w:tabs>
              <w:tab w:pos="8809" w:val="right" w:leader="dot"/>
            </w:tabs>
          </w:pPr>
          <w:r>
            <w:rPr>
              <w:spacing w:val="-2"/>
            </w:rPr>
            <w:t>INTRODUCTION</w:t>
          </w:r>
          <w:r>
            <w:rPr/>
            <w:tab/>
          </w:r>
          <w:r>
            <w:rPr>
              <w:spacing w:val="-10"/>
            </w:rPr>
            <w:t>1</w:t>
          </w:r>
        </w:p>
        <w:p>
          <w:pPr>
            <w:pStyle w:val="TOC3"/>
            <w:tabs>
              <w:tab w:pos="8809" w:val="right" w:leader="dot"/>
            </w:tabs>
            <w:rPr>
              <w:i w:val="0"/>
            </w:rPr>
          </w:pPr>
          <w:r>
            <w:rPr>
              <w:spacing w:val="-2"/>
            </w:rPr>
            <w:t>Biomass</w:t>
          </w:r>
          <w:r>
            <w:rPr>
              <w:spacing w:val="-7"/>
            </w:rPr>
            <w:t> </w:t>
          </w:r>
          <w:r>
            <w:rPr>
              <w:spacing w:val="-5"/>
            </w:rPr>
            <w:t>use</w:t>
          </w:r>
          <w:r>
            <w:rPr>
              <w:i w:val="0"/>
            </w:rPr>
            <w:tab/>
          </w:r>
          <w:r>
            <w:rPr>
              <w:i w:val="0"/>
              <w:spacing w:val="-10"/>
            </w:rPr>
            <w:t>2</w:t>
          </w:r>
        </w:p>
        <w:p>
          <w:pPr>
            <w:pStyle w:val="TOC3"/>
            <w:tabs>
              <w:tab w:pos="8812" w:val="right" w:leader="dot"/>
            </w:tabs>
            <w:rPr>
              <w:i w:val="0"/>
            </w:rPr>
          </w:pPr>
          <w:r>
            <w:rPr>
              <w:spacing w:val="-2"/>
            </w:rPr>
            <w:t>Health</w:t>
          </w:r>
          <w:r>
            <w:rPr>
              <w:spacing w:val="-6"/>
            </w:rPr>
            <w:t> </w:t>
          </w:r>
          <w:r>
            <w:rPr>
              <w:spacing w:val="-2"/>
            </w:rPr>
            <w:t>impacts</w:t>
          </w:r>
          <w:r>
            <w:rPr>
              <w:spacing w:val="-4"/>
            </w:rPr>
            <w:t> </w:t>
          </w:r>
          <w:r>
            <w:rPr>
              <w:spacing w:val="-2"/>
            </w:rPr>
            <w:t>related</w:t>
          </w:r>
          <w:r>
            <w:rPr>
              <w:spacing w:val="-5"/>
            </w:rPr>
            <w:t> </w:t>
          </w:r>
          <w:r>
            <w:rPr>
              <w:spacing w:val="-2"/>
            </w:rPr>
            <w:t>to</w:t>
          </w:r>
          <w:r>
            <w:rPr>
              <w:spacing w:val="-4"/>
            </w:rPr>
            <w:t> </w:t>
          </w:r>
          <w:r>
            <w:rPr>
              <w:spacing w:val="-5"/>
            </w:rPr>
            <w:t>IAP</w:t>
          </w:r>
          <w:r>
            <w:rPr/>
            <w:tab/>
          </w:r>
          <w:r>
            <w:rPr>
              <w:i w:val="0"/>
              <w:spacing w:val="-10"/>
            </w:rPr>
            <w:t>3</w:t>
          </w:r>
        </w:p>
        <w:p>
          <w:pPr>
            <w:pStyle w:val="TOC3"/>
            <w:tabs>
              <w:tab w:pos="8790" w:val="right" w:leader="dot"/>
            </w:tabs>
            <w:rPr>
              <w:i w:val="0"/>
            </w:rPr>
          </w:pPr>
          <w:r>
            <w:rPr/>
            <w:t>Vulnerable</w:t>
          </w:r>
          <w:r>
            <w:rPr>
              <w:spacing w:val="-2"/>
            </w:rPr>
            <w:t> populations</w:t>
          </w:r>
          <w:r>
            <w:rPr/>
            <w:tab/>
          </w:r>
          <w:r>
            <w:rPr>
              <w:i w:val="0"/>
              <w:spacing w:val="-10"/>
            </w:rPr>
            <w:t>4</w:t>
          </w:r>
        </w:p>
        <w:p>
          <w:pPr>
            <w:pStyle w:val="TOC3"/>
            <w:tabs>
              <w:tab w:pos="8809" w:val="right" w:leader="dot"/>
            </w:tabs>
            <w:spacing w:before="205"/>
            <w:rPr>
              <w:i w:val="0"/>
            </w:rPr>
          </w:pPr>
          <w:r>
            <w:rPr/>
            <w:t>Incomplete</w:t>
          </w:r>
          <w:r>
            <w:rPr>
              <w:spacing w:val="-4"/>
            </w:rPr>
            <w:t> </w:t>
          </w:r>
          <w:r>
            <w:rPr/>
            <w:t>combustion</w:t>
          </w:r>
          <w:r>
            <w:rPr>
              <w:spacing w:val="-6"/>
            </w:rPr>
            <w:t> </w:t>
          </w:r>
          <w:r>
            <w:rPr/>
            <w:t>and</w:t>
          </w:r>
          <w:r>
            <w:rPr>
              <w:spacing w:val="-5"/>
            </w:rPr>
            <w:t> </w:t>
          </w:r>
          <w:r>
            <w:rPr>
              <w:spacing w:val="-2"/>
            </w:rPr>
            <w:t>pollutants</w:t>
          </w:r>
          <w:r>
            <w:rPr/>
            <w:tab/>
          </w:r>
          <w:r>
            <w:rPr>
              <w:i w:val="0"/>
              <w:spacing w:val="-10"/>
            </w:rPr>
            <w:t>5</w:t>
          </w:r>
        </w:p>
        <w:p>
          <w:pPr>
            <w:pStyle w:val="TOC3"/>
            <w:tabs>
              <w:tab w:pos="8809" w:val="right" w:leader="dot"/>
            </w:tabs>
            <w:rPr>
              <w:i w:val="0"/>
            </w:rPr>
          </w:pPr>
          <w:r>
            <w:rPr/>
            <w:t>Case</w:t>
          </w:r>
          <w:r>
            <w:rPr>
              <w:spacing w:val="-8"/>
            </w:rPr>
            <w:t> </w:t>
          </w:r>
          <w:r>
            <w:rPr/>
            <w:t>of</w:t>
          </w:r>
          <w:r>
            <w:rPr>
              <w:spacing w:val="-7"/>
            </w:rPr>
            <w:t> </w:t>
          </w:r>
          <w:r>
            <w:rPr>
              <w:spacing w:val="-2"/>
            </w:rPr>
            <w:t>Nigeria</w:t>
          </w:r>
          <w:r>
            <w:rPr/>
            <w:tab/>
          </w:r>
          <w:r>
            <w:rPr>
              <w:i w:val="0"/>
              <w:spacing w:val="-5"/>
            </w:rPr>
            <w:t>10</w:t>
          </w:r>
        </w:p>
        <w:p>
          <w:pPr>
            <w:pStyle w:val="TOC1"/>
            <w:tabs>
              <w:tab w:pos="8783" w:val="right" w:leader="dot"/>
            </w:tabs>
          </w:pPr>
          <w:r>
            <w:rPr>
              <w:spacing w:val="-2"/>
            </w:rPr>
            <w:t>HYPOTHESES</w:t>
          </w:r>
          <w:r>
            <w:rPr/>
            <w:tab/>
          </w:r>
          <w:r>
            <w:rPr>
              <w:spacing w:val="-5"/>
            </w:rPr>
            <w:t>11</w:t>
          </w:r>
        </w:p>
        <w:p>
          <w:pPr>
            <w:pStyle w:val="TOC1"/>
            <w:tabs>
              <w:tab w:pos="8809" w:val="right" w:leader="dot"/>
            </w:tabs>
          </w:pPr>
          <w:r>
            <w:rPr>
              <w:spacing w:val="-2"/>
            </w:rPr>
            <w:t>AIMS</w:t>
          </w:r>
          <w:r>
            <w:rPr>
              <w:spacing w:val="-10"/>
            </w:rPr>
            <w:t> </w:t>
          </w:r>
          <w:r>
            <w:rPr>
              <w:spacing w:val="-2"/>
            </w:rPr>
            <w:t>&amp;</w:t>
          </w:r>
          <w:r>
            <w:rPr>
              <w:spacing w:val="-11"/>
            </w:rPr>
            <w:t> </w:t>
          </w:r>
          <w:r>
            <w:rPr>
              <w:spacing w:val="-2"/>
            </w:rPr>
            <w:t>OBJECTIVES</w:t>
          </w:r>
          <w:r>
            <w:rPr/>
            <w:tab/>
          </w:r>
          <w:r>
            <w:rPr>
              <w:spacing w:val="-5"/>
            </w:rPr>
            <w:t>11</w:t>
          </w:r>
        </w:p>
        <w:p>
          <w:pPr>
            <w:pStyle w:val="TOC1"/>
            <w:tabs>
              <w:tab w:pos="8809" w:val="right" w:leader="dot"/>
            </w:tabs>
          </w:pPr>
          <w:hyperlink w:history="true" w:anchor="_TOC_250002">
            <w:r>
              <w:rPr/>
              <w:t>CHAPTER</w:t>
            </w:r>
            <w:r>
              <w:rPr>
                <w:spacing w:val="-8"/>
              </w:rPr>
              <w:t> </w:t>
            </w:r>
            <w:r>
              <w:rPr>
                <w:spacing w:val="-10"/>
              </w:rPr>
              <w:t>2</w:t>
            </w:r>
            <w:r>
              <w:rPr/>
              <w:tab/>
            </w:r>
            <w:r>
              <w:rPr>
                <w:spacing w:val="-5"/>
              </w:rPr>
              <w:t>12</w:t>
            </w:r>
          </w:hyperlink>
        </w:p>
        <w:p>
          <w:pPr>
            <w:pStyle w:val="TOC1"/>
            <w:tabs>
              <w:tab w:pos="8809" w:val="right" w:leader="dot"/>
            </w:tabs>
          </w:pPr>
          <w:hyperlink w:history="true" w:anchor="_TOC_250001">
            <w:r>
              <w:rPr/>
              <w:t>MATERIALS</w:t>
            </w:r>
            <w:r>
              <w:rPr>
                <w:spacing w:val="-10"/>
              </w:rPr>
              <w:t> </w:t>
            </w:r>
            <w:r>
              <w:rPr/>
              <w:t>&amp;</w:t>
            </w:r>
            <w:r>
              <w:rPr>
                <w:spacing w:val="-13"/>
              </w:rPr>
              <w:t> </w:t>
            </w:r>
            <w:r>
              <w:rPr>
                <w:spacing w:val="-2"/>
              </w:rPr>
              <w:t>METHODS</w:t>
            </w:r>
            <w:r>
              <w:rPr/>
              <w:tab/>
            </w:r>
            <w:r>
              <w:rPr>
                <w:spacing w:val="-5"/>
              </w:rPr>
              <w:t>13</w:t>
            </w:r>
          </w:hyperlink>
        </w:p>
        <w:p>
          <w:pPr>
            <w:pStyle w:val="TOC3"/>
            <w:tabs>
              <w:tab w:pos="8802" w:val="right" w:leader="dot"/>
            </w:tabs>
            <w:rPr>
              <w:i w:val="0"/>
            </w:rPr>
          </w:pPr>
          <w:r>
            <w:rPr/>
            <w:t>Study </w:t>
          </w:r>
          <w:r>
            <w:rPr>
              <w:spacing w:val="-4"/>
            </w:rPr>
            <w:t>Site</w:t>
          </w:r>
          <w:r>
            <w:rPr/>
            <w:tab/>
          </w:r>
          <w:r>
            <w:rPr>
              <w:i w:val="0"/>
              <w:spacing w:val="-5"/>
            </w:rPr>
            <w:t>13</w:t>
          </w:r>
        </w:p>
        <w:p>
          <w:pPr>
            <w:pStyle w:val="TOC3"/>
            <w:tabs>
              <w:tab w:pos="8809" w:val="right" w:leader="dot"/>
            </w:tabs>
            <w:rPr>
              <w:i w:val="0"/>
            </w:rPr>
          </w:pPr>
          <w:r>
            <w:rPr>
              <w:spacing w:val="-2"/>
            </w:rPr>
            <w:t>Sampling</w:t>
          </w:r>
          <w:r>
            <w:rPr/>
            <w:tab/>
          </w:r>
          <w:r>
            <w:rPr>
              <w:i w:val="0"/>
              <w:spacing w:val="-5"/>
            </w:rPr>
            <w:t>12</w:t>
          </w:r>
        </w:p>
        <w:p>
          <w:pPr>
            <w:pStyle w:val="TOC1"/>
            <w:tabs>
              <w:tab w:pos="8809" w:val="right" w:leader="dot"/>
            </w:tabs>
          </w:pPr>
          <w:r>
            <w:rPr/>
            <w:t>CHAPTER</w:t>
          </w:r>
          <w:r>
            <w:rPr>
              <w:spacing w:val="-8"/>
            </w:rPr>
            <w:t> </w:t>
          </w:r>
          <w:r>
            <w:rPr>
              <w:spacing w:val="-10"/>
            </w:rPr>
            <w:t>3</w:t>
          </w:r>
          <w:r>
            <w:rPr/>
            <w:tab/>
          </w:r>
          <w:r>
            <w:rPr>
              <w:spacing w:val="-5"/>
            </w:rPr>
            <w:t>15</w:t>
          </w:r>
        </w:p>
        <w:p>
          <w:pPr>
            <w:pStyle w:val="TOC1"/>
            <w:tabs>
              <w:tab w:pos="8769" w:val="right" w:leader="dot"/>
            </w:tabs>
          </w:pPr>
          <w:r>
            <w:rPr>
              <w:spacing w:val="-2"/>
            </w:rPr>
            <w:t>RESULTS</w:t>
          </w:r>
          <w:r>
            <w:rPr/>
            <w:tab/>
          </w:r>
          <w:r>
            <w:rPr>
              <w:spacing w:val="-5"/>
            </w:rPr>
            <w:t>15</w:t>
          </w:r>
        </w:p>
        <w:p>
          <w:pPr>
            <w:pStyle w:val="TOC1"/>
            <w:tabs>
              <w:tab w:pos="8809" w:val="right" w:leader="dot"/>
            </w:tabs>
          </w:pPr>
          <w:r>
            <w:rPr/>
            <w:t>CHAPTER</w:t>
          </w:r>
          <w:r>
            <w:rPr>
              <w:spacing w:val="-8"/>
            </w:rPr>
            <w:t> </w:t>
          </w:r>
          <w:r>
            <w:rPr>
              <w:spacing w:val="-10"/>
            </w:rPr>
            <w:t>4</w:t>
          </w:r>
          <w:r>
            <w:rPr/>
            <w:tab/>
          </w:r>
          <w:r>
            <w:rPr>
              <w:spacing w:val="-5"/>
            </w:rPr>
            <w:t>25</w:t>
          </w:r>
        </w:p>
        <w:p>
          <w:pPr>
            <w:pStyle w:val="TOC1"/>
            <w:tabs>
              <w:tab w:pos="8783" w:val="right" w:leader="dot"/>
            </w:tabs>
          </w:pPr>
          <w:r>
            <w:rPr>
              <w:spacing w:val="-2"/>
            </w:rPr>
            <w:t>DISCUSSION</w:t>
          </w:r>
          <w:r>
            <w:rPr/>
            <w:tab/>
          </w:r>
          <w:r>
            <w:rPr>
              <w:spacing w:val="-5"/>
            </w:rPr>
            <w:t>25</w:t>
          </w:r>
        </w:p>
        <w:p>
          <w:pPr>
            <w:pStyle w:val="TOC1"/>
            <w:tabs>
              <w:tab w:pos="8809" w:val="right" w:leader="dot"/>
            </w:tabs>
          </w:pPr>
          <w:r>
            <w:rPr>
              <w:spacing w:val="-2"/>
            </w:rPr>
            <w:t>CHAPTER</w:t>
          </w:r>
          <w:r>
            <w:rPr>
              <w:spacing w:val="-3"/>
            </w:rPr>
            <w:t> </w:t>
          </w:r>
          <w:r>
            <w:rPr>
              <w:spacing w:val="-5"/>
            </w:rPr>
            <w:t>5…</w:t>
          </w:r>
          <w:r>
            <w:rPr/>
            <w:tab/>
          </w:r>
          <w:r>
            <w:rPr>
              <w:spacing w:val="-5"/>
            </w:rPr>
            <w:t>28</w:t>
          </w:r>
        </w:p>
        <w:p>
          <w:pPr>
            <w:pStyle w:val="TOC1"/>
            <w:tabs>
              <w:tab w:pos="8797" w:val="right" w:leader="dot"/>
            </w:tabs>
          </w:pPr>
          <w:r>
            <w:rPr>
              <w:spacing w:val="-2"/>
            </w:rPr>
            <w:t>CONCLUSION…</w:t>
          </w:r>
          <w:r>
            <w:rPr/>
            <w:tab/>
          </w:r>
          <w:r>
            <w:rPr>
              <w:spacing w:val="-5"/>
            </w:rPr>
            <w:t>28</w:t>
          </w:r>
        </w:p>
        <w:p>
          <w:pPr>
            <w:pStyle w:val="TOC1"/>
            <w:tabs>
              <w:tab w:pos="8757" w:val="right" w:leader="dot"/>
            </w:tabs>
            <w:spacing w:before="205"/>
          </w:pPr>
          <w:hyperlink w:history="true" w:anchor="_TOC_250000">
            <w:r>
              <w:rPr>
                <w:spacing w:val="-2"/>
              </w:rPr>
              <w:t>REFERENCES</w:t>
            </w:r>
            <w:r>
              <w:rPr/>
              <w:tab/>
            </w:r>
            <w:r>
              <w:rPr>
                <w:spacing w:val="-5"/>
              </w:rPr>
              <w:t>29</w:t>
            </w:r>
          </w:hyperlink>
        </w:p>
      </w:sdtContent>
    </w:sdt>
    <w:p>
      <w:pPr>
        <w:spacing w:after="0"/>
        <w:sectPr>
          <w:pgSz w:w="11910" w:h="16840"/>
          <w:pgMar w:header="0" w:footer="1012" w:top="1620" w:bottom="1200" w:left="1680" w:right="1240"/>
        </w:sectPr>
      </w:pPr>
    </w:p>
    <w:p>
      <w:pPr>
        <w:pStyle w:val="Heading1"/>
      </w:pPr>
      <w:bookmarkStart w:name="_TOC_250004" w:id="4"/>
      <w:r>
        <w:rPr/>
        <w:t>LIST OF</w:t>
      </w:r>
      <w:r>
        <w:rPr>
          <w:spacing w:val="-3"/>
        </w:rPr>
        <w:t> </w:t>
      </w:r>
      <w:bookmarkEnd w:id="4"/>
      <w:r>
        <w:rPr>
          <w:spacing w:val="-2"/>
        </w:rPr>
        <w:t>TABLES</w:t>
      </w:r>
    </w:p>
    <w:p>
      <w:pPr>
        <w:pStyle w:val="BodyText"/>
        <w:rPr>
          <w:b/>
        </w:rPr>
      </w:pPr>
    </w:p>
    <w:p>
      <w:pPr>
        <w:pStyle w:val="BodyText"/>
        <w:tabs>
          <w:tab w:pos="8509" w:val="left" w:leader="dot"/>
        </w:tabs>
        <w:ind w:left="588"/>
      </w:pPr>
      <w:r>
        <w:rPr>
          <w:b/>
        </w:rPr>
        <w:t>Table</w:t>
      </w:r>
      <w:r>
        <w:rPr>
          <w:b/>
          <w:spacing w:val="-4"/>
        </w:rPr>
        <w:t> </w:t>
      </w:r>
      <w:r>
        <w:rPr>
          <w:b/>
        </w:rPr>
        <w:t>1.</w:t>
      </w:r>
      <w:r>
        <w:rPr>
          <w:b/>
          <w:spacing w:val="-11"/>
        </w:rPr>
        <w:t> </w:t>
      </w:r>
      <w:r>
        <w:rPr/>
        <w:t>Different</w:t>
      </w:r>
      <w:r>
        <w:rPr>
          <w:spacing w:val="-1"/>
        </w:rPr>
        <w:t> </w:t>
      </w:r>
      <w:r>
        <w:rPr/>
        <w:t>structures</w:t>
      </w:r>
      <w:r>
        <w:rPr>
          <w:spacing w:val="-1"/>
        </w:rPr>
        <w:t> </w:t>
      </w:r>
      <w:r>
        <w:rPr/>
        <w:t>of</w:t>
      </w:r>
      <w:r>
        <w:rPr>
          <w:spacing w:val="-1"/>
        </w:rPr>
        <w:t> </w:t>
      </w:r>
      <w:r>
        <w:rPr/>
        <w:t>cooking</w:t>
      </w:r>
      <w:r>
        <w:rPr>
          <w:spacing w:val="-2"/>
        </w:rPr>
        <w:t> </w:t>
      </w:r>
      <w:r>
        <w:rPr/>
        <w:t>area</w:t>
      </w:r>
      <w:r>
        <w:rPr>
          <w:spacing w:val="-2"/>
        </w:rPr>
        <w:t> </w:t>
      </w:r>
      <w:r>
        <w:rPr/>
        <w:t>encountered</w:t>
      </w:r>
      <w:r>
        <w:rPr>
          <w:spacing w:val="-1"/>
        </w:rPr>
        <w:t> </w:t>
      </w:r>
      <w:r>
        <w:rPr/>
        <w:t>in</w:t>
      </w:r>
      <w:r>
        <w:rPr>
          <w:spacing w:val="-1"/>
        </w:rPr>
        <w:t> </w:t>
      </w:r>
      <w:r>
        <w:rPr/>
        <w:t>Bole</w:t>
      </w:r>
      <w:r>
        <w:rPr>
          <w:spacing w:val="-2"/>
        </w:rPr>
        <w:t> Community</w:t>
      </w:r>
      <w:r>
        <w:rPr/>
        <w:tab/>
      </w:r>
      <w:r>
        <w:rPr>
          <w:spacing w:val="-5"/>
        </w:rPr>
        <w:t>19</w:t>
      </w:r>
    </w:p>
    <w:p>
      <w:pPr>
        <w:pStyle w:val="BodyText"/>
        <w:spacing w:before="137"/>
        <w:ind w:left="588"/>
      </w:pPr>
      <w:r>
        <w:rPr>
          <w:b/>
        </w:rPr>
        <w:t>Table</w:t>
      </w:r>
      <w:r>
        <w:rPr>
          <w:b/>
          <w:spacing w:val="-1"/>
        </w:rPr>
        <w:t> </w:t>
      </w:r>
      <w:r>
        <w:rPr>
          <w:b/>
        </w:rPr>
        <w:t>2.</w:t>
      </w:r>
      <w:r>
        <w:rPr>
          <w:b/>
          <w:spacing w:val="-1"/>
        </w:rPr>
        <w:t> </w:t>
      </w:r>
      <w:r>
        <w:rPr/>
        <w:t>Comparison</w:t>
      </w:r>
      <w:r>
        <w:rPr>
          <w:spacing w:val="-1"/>
        </w:rPr>
        <w:t> </w:t>
      </w:r>
      <w:r>
        <w:rPr/>
        <w:t>of</w:t>
      </w:r>
      <w:r>
        <w:rPr>
          <w:spacing w:val="-1"/>
        </w:rPr>
        <w:t> </w:t>
      </w:r>
      <w:r>
        <w:rPr/>
        <w:t>mean</w:t>
      </w:r>
      <w:r>
        <w:rPr>
          <w:spacing w:val="-1"/>
        </w:rPr>
        <w:t> </w:t>
      </w:r>
      <w:r>
        <w:rPr/>
        <w:t>and</w:t>
      </w:r>
      <w:r>
        <w:rPr>
          <w:spacing w:val="-1"/>
        </w:rPr>
        <w:t> </w:t>
      </w:r>
      <w:r>
        <w:rPr/>
        <w:t>maximum</w:t>
      </w:r>
      <w:r>
        <w:rPr>
          <w:spacing w:val="-1"/>
        </w:rPr>
        <w:t> </w:t>
      </w:r>
      <w:r>
        <w:rPr/>
        <w:t>CO</w:t>
      </w:r>
      <w:r>
        <w:rPr>
          <w:spacing w:val="-4"/>
        </w:rPr>
        <w:t> </w:t>
      </w:r>
      <w:r>
        <w:rPr/>
        <w:t>readings</w:t>
      </w:r>
      <w:r>
        <w:rPr>
          <w:spacing w:val="2"/>
        </w:rPr>
        <w:t> </w:t>
      </w:r>
      <w:r>
        <w:rPr/>
        <w:t>recorded</w:t>
      </w:r>
      <w:r>
        <w:rPr>
          <w:spacing w:val="-1"/>
        </w:rPr>
        <w:t> </w:t>
      </w:r>
      <w:r>
        <w:rPr>
          <w:spacing w:val="-4"/>
        </w:rPr>
        <w:t>with</w:t>
      </w:r>
    </w:p>
    <w:p>
      <w:pPr>
        <w:pStyle w:val="BodyText"/>
        <w:tabs>
          <w:tab w:pos="8569" w:val="left" w:leader="dot"/>
        </w:tabs>
        <w:spacing w:before="140"/>
        <w:ind w:left="588"/>
      </w:pPr>
      <w:r>
        <w:rPr/>
        <w:t>ventilation</w:t>
      </w:r>
      <w:r>
        <w:rPr>
          <w:spacing w:val="-1"/>
        </w:rPr>
        <w:t> </w:t>
      </w:r>
      <w:r>
        <w:rPr>
          <w:spacing w:val="-4"/>
        </w:rPr>
        <w:t>index</w:t>
      </w:r>
      <w:r>
        <w:rPr/>
        <w:tab/>
      </w:r>
      <w:r>
        <w:rPr>
          <w:spacing w:val="-5"/>
        </w:rPr>
        <w:t>20</w:t>
      </w:r>
    </w:p>
    <w:p>
      <w:pPr>
        <w:spacing w:after="0"/>
        <w:sectPr>
          <w:pgSz w:w="11910" w:h="16840"/>
          <w:pgMar w:header="0" w:footer="1012" w:top="1620" w:bottom="1200" w:left="1680" w:right="1240"/>
        </w:sectPr>
      </w:pPr>
    </w:p>
    <w:p>
      <w:pPr>
        <w:pStyle w:val="Heading1"/>
      </w:pPr>
      <w:bookmarkStart w:name="_TOC_250003" w:id="5"/>
      <w:r>
        <w:rPr/>
        <w:t>LIST OF</w:t>
      </w:r>
      <w:r>
        <w:rPr>
          <w:spacing w:val="-3"/>
        </w:rPr>
        <w:t> </w:t>
      </w:r>
      <w:bookmarkEnd w:id="5"/>
      <w:r>
        <w:rPr>
          <w:spacing w:val="-2"/>
        </w:rPr>
        <w:t>FIGURES</w:t>
      </w:r>
    </w:p>
    <w:p>
      <w:pPr>
        <w:pStyle w:val="BodyText"/>
        <w:tabs>
          <w:tab w:pos="8689" w:val="left" w:leader="dot"/>
        </w:tabs>
        <w:spacing w:line="480" w:lineRule="auto" w:before="276"/>
        <w:ind w:left="588" w:right="174"/>
      </w:pPr>
      <w:r>
        <w:rPr>
          <w:b/>
        </w:rPr>
        <w:t>Fig.1. </w:t>
      </w:r>
      <w:r>
        <w:rPr/>
        <w:t>The percentage of people relying on the different types of biomass fuels and</w:t>
      </w:r>
      <w:r>
        <w:rPr>
          <w:spacing w:val="40"/>
        </w:rPr>
        <w:t> </w:t>
      </w:r>
      <w:r>
        <w:rPr/>
        <w:t>their</w:t>
      </w:r>
      <w:r>
        <w:rPr>
          <w:spacing w:val="-10"/>
        </w:rPr>
        <w:t> </w:t>
      </w:r>
      <w:r>
        <w:rPr>
          <w:spacing w:val="-2"/>
        </w:rPr>
        <w:t>regions</w:t>
      </w:r>
      <w:r>
        <w:rPr/>
        <w:tab/>
      </w:r>
      <w:r>
        <w:rPr>
          <w:spacing w:val="-10"/>
        </w:rPr>
        <w:t>3</w:t>
      </w:r>
    </w:p>
    <w:p>
      <w:pPr>
        <w:pStyle w:val="BodyText"/>
        <w:tabs>
          <w:tab w:pos="8675" w:val="left" w:leader="dot"/>
        </w:tabs>
        <w:spacing w:line="480" w:lineRule="auto" w:before="159"/>
        <w:ind w:left="588" w:right="180"/>
      </w:pPr>
      <w:r>
        <w:rPr>
          <w:b/>
        </w:rPr>
        <w:t>Fig.2.</w:t>
      </w:r>
      <w:r>
        <w:rPr>
          <w:b/>
          <w:spacing w:val="-6"/>
        </w:rPr>
        <w:t> </w:t>
      </w:r>
      <w:r>
        <w:rPr/>
        <w:t>Woman in Bole Community, Adamawa Northeastern Nigeria cooking with an open</w:t>
      </w:r>
      <w:r>
        <w:rPr>
          <w:spacing w:val="-1"/>
        </w:rPr>
        <w:t> </w:t>
      </w:r>
      <w:r>
        <w:rPr/>
        <w:t>fire</w:t>
      </w:r>
      <w:r>
        <w:rPr>
          <w:spacing w:val="-2"/>
        </w:rPr>
        <w:t> stove</w:t>
      </w:r>
      <w:r>
        <w:rPr/>
        <w:tab/>
      </w:r>
      <w:r>
        <w:rPr>
          <w:spacing w:val="-10"/>
        </w:rPr>
        <w:t>6</w:t>
      </w:r>
    </w:p>
    <w:p>
      <w:pPr>
        <w:pStyle w:val="BodyText"/>
        <w:tabs>
          <w:tab w:pos="8689" w:val="left" w:leader="dot"/>
        </w:tabs>
        <w:spacing w:line="480" w:lineRule="auto" w:before="161"/>
        <w:ind w:left="588" w:right="174"/>
      </w:pPr>
      <w:r>
        <w:rPr>
          <w:b/>
        </w:rPr>
        <w:t>Fig.3.</w:t>
      </w:r>
      <w:r>
        <w:rPr>
          <w:b/>
          <w:spacing w:val="80"/>
        </w:rPr>
        <w:t> </w:t>
      </w:r>
      <w:r>
        <w:rPr/>
        <w:t>Process</w:t>
      </w:r>
      <w:r>
        <w:rPr>
          <w:spacing w:val="80"/>
          <w:w w:val="150"/>
        </w:rPr>
        <w:t> </w:t>
      </w:r>
      <w:r>
        <w:rPr/>
        <w:t>of</w:t>
      </w:r>
      <w:r>
        <w:rPr>
          <w:spacing w:val="80"/>
          <w:w w:val="150"/>
        </w:rPr>
        <w:t> </w:t>
      </w:r>
      <w:r>
        <w:rPr/>
        <w:t>incomplete</w:t>
      </w:r>
      <w:r>
        <w:rPr>
          <w:spacing w:val="80"/>
          <w:w w:val="150"/>
        </w:rPr>
        <w:t> </w:t>
      </w:r>
      <w:r>
        <w:rPr/>
        <w:t>combustion</w:t>
      </w:r>
      <w:r>
        <w:rPr>
          <w:spacing w:val="80"/>
          <w:w w:val="150"/>
        </w:rPr>
        <w:t> </w:t>
      </w:r>
      <w:r>
        <w:rPr/>
        <w:t>yields</w:t>
      </w:r>
      <w:r>
        <w:rPr>
          <w:spacing w:val="80"/>
          <w:w w:val="150"/>
        </w:rPr>
        <w:t> </w:t>
      </w:r>
      <w:r>
        <w:rPr/>
        <w:t>the</w:t>
      </w:r>
      <w:r>
        <w:rPr>
          <w:spacing w:val="80"/>
          <w:w w:val="150"/>
        </w:rPr>
        <w:t> </w:t>
      </w:r>
      <w:r>
        <w:rPr/>
        <w:t>poisonous</w:t>
      </w:r>
      <w:r>
        <w:rPr>
          <w:spacing w:val="80"/>
          <w:w w:val="150"/>
        </w:rPr>
        <w:t> </w:t>
      </w:r>
      <w:r>
        <w:rPr/>
        <w:t>gas,</w:t>
      </w:r>
      <w:r>
        <w:rPr>
          <w:spacing w:val="80"/>
          <w:w w:val="150"/>
        </w:rPr>
        <w:t> </w:t>
      </w:r>
      <w:r>
        <w:rPr/>
        <w:t>carbon </w:t>
      </w:r>
      <w:r>
        <w:rPr>
          <w:spacing w:val="-2"/>
        </w:rPr>
        <w:t>monoxide</w:t>
      </w:r>
      <w:r>
        <w:rPr/>
        <w:tab/>
      </w:r>
      <w:r>
        <w:rPr>
          <w:spacing w:val="-10"/>
        </w:rPr>
        <w:t>7</w:t>
      </w:r>
    </w:p>
    <w:p>
      <w:pPr>
        <w:pStyle w:val="BodyText"/>
        <w:tabs>
          <w:tab w:pos="8569" w:val="left" w:leader="dot"/>
        </w:tabs>
        <w:spacing w:line="472" w:lineRule="auto" w:before="161"/>
        <w:ind w:left="588" w:right="174"/>
      </w:pPr>
      <w:r>
        <w:rPr>
          <w:b/>
        </w:rPr>
        <w:t>Fig.4</w:t>
      </w:r>
      <w:r>
        <w:rPr>
          <w:rFonts w:ascii="Calibri"/>
          <w:b/>
          <w:sz w:val="22"/>
        </w:rPr>
        <w:t>.</w:t>
      </w:r>
      <w:r>
        <w:rPr>
          <w:rFonts w:ascii="Calibri"/>
          <w:b/>
          <w:spacing w:val="-3"/>
          <w:sz w:val="22"/>
        </w:rPr>
        <w:t> </w:t>
      </w:r>
      <w:r>
        <w:rPr/>
        <w:t>Map</w:t>
      </w:r>
      <w:r>
        <w:rPr>
          <w:spacing w:val="-7"/>
        </w:rPr>
        <w:t> </w:t>
      </w:r>
      <w:r>
        <w:rPr/>
        <w:t>of</w:t>
      </w:r>
      <w:r>
        <w:rPr>
          <w:spacing w:val="-8"/>
        </w:rPr>
        <w:t> </w:t>
      </w:r>
      <w:r>
        <w:rPr/>
        <w:t>Adamawa</w:t>
      </w:r>
      <w:r>
        <w:rPr>
          <w:spacing w:val="-6"/>
        </w:rPr>
        <w:t> </w:t>
      </w:r>
      <w:r>
        <w:rPr/>
        <w:t>State</w:t>
      </w:r>
      <w:r>
        <w:rPr>
          <w:spacing w:val="-8"/>
        </w:rPr>
        <w:t> </w:t>
      </w:r>
      <w:r>
        <w:rPr/>
        <w:t>in</w:t>
      </w:r>
      <w:r>
        <w:rPr>
          <w:spacing w:val="-7"/>
        </w:rPr>
        <w:t> </w:t>
      </w:r>
      <w:r>
        <w:rPr/>
        <w:t>Nigeria,</w:t>
      </w:r>
      <w:r>
        <w:rPr>
          <w:spacing w:val="-5"/>
        </w:rPr>
        <w:t> </w:t>
      </w:r>
      <w:r>
        <w:rPr/>
        <w:t>with</w:t>
      </w:r>
      <w:r>
        <w:rPr>
          <w:spacing w:val="-7"/>
        </w:rPr>
        <w:t> </w:t>
      </w:r>
      <w:r>
        <w:rPr/>
        <w:t>a</w:t>
      </w:r>
      <w:r>
        <w:rPr>
          <w:spacing w:val="-6"/>
        </w:rPr>
        <w:t> </w:t>
      </w:r>
      <w:r>
        <w:rPr/>
        <w:t>star</w:t>
      </w:r>
      <w:r>
        <w:rPr>
          <w:spacing w:val="-8"/>
        </w:rPr>
        <w:t> </w:t>
      </w:r>
      <w:r>
        <w:rPr/>
        <w:t>indicating</w:t>
      </w:r>
      <w:r>
        <w:rPr>
          <w:spacing w:val="-10"/>
        </w:rPr>
        <w:t> </w:t>
      </w:r>
      <w:r>
        <w:rPr/>
        <w:t>the</w:t>
      </w:r>
      <w:r>
        <w:rPr>
          <w:spacing w:val="-6"/>
        </w:rPr>
        <w:t> </w:t>
      </w:r>
      <w:r>
        <w:rPr/>
        <w:t>general</w:t>
      </w:r>
      <w:r>
        <w:rPr>
          <w:spacing w:val="-7"/>
        </w:rPr>
        <w:t> </w:t>
      </w:r>
      <w:r>
        <w:rPr/>
        <w:t>location</w:t>
      </w:r>
      <w:r>
        <w:rPr>
          <w:spacing w:val="-7"/>
        </w:rPr>
        <w:t> </w:t>
      </w:r>
      <w:r>
        <w:rPr/>
        <w:t>of Bole</w:t>
      </w:r>
      <w:r>
        <w:rPr>
          <w:spacing w:val="-6"/>
        </w:rPr>
        <w:t> </w:t>
      </w:r>
      <w:r>
        <w:rPr/>
        <w:t>community</w:t>
      </w:r>
      <w:r>
        <w:rPr>
          <w:spacing w:val="-9"/>
        </w:rPr>
        <w:t> </w:t>
      </w:r>
      <w:r>
        <w:rPr/>
        <w:t>within</w:t>
      </w:r>
      <w:r>
        <w:rPr>
          <w:spacing w:val="-2"/>
        </w:rPr>
        <w:t> Adamawa</w:t>
      </w:r>
      <w:r>
        <w:rPr/>
        <w:tab/>
      </w:r>
      <w:r>
        <w:rPr>
          <w:spacing w:val="-5"/>
        </w:rPr>
        <w:t>13</w:t>
      </w:r>
    </w:p>
    <w:p>
      <w:pPr>
        <w:pStyle w:val="BodyText"/>
        <w:tabs>
          <w:tab w:pos="8505" w:val="left" w:leader="dot"/>
        </w:tabs>
        <w:spacing w:before="175"/>
        <w:ind w:left="588"/>
      </w:pPr>
      <w:r>
        <w:rPr>
          <w:b/>
        </w:rPr>
        <w:t>Fig.5.</w:t>
      </w:r>
      <w:r>
        <w:rPr>
          <w:b/>
          <w:spacing w:val="-12"/>
        </w:rPr>
        <w:t> </w:t>
      </w:r>
      <w:r>
        <w:rPr/>
        <w:t>Outdoor</w:t>
      </w:r>
      <w:r>
        <w:rPr>
          <w:spacing w:val="-2"/>
        </w:rPr>
        <w:t> </w:t>
      </w:r>
      <w:r>
        <w:rPr/>
        <w:t>area</w:t>
      </w:r>
      <w:r>
        <w:rPr>
          <w:spacing w:val="-1"/>
        </w:rPr>
        <w:t> </w:t>
      </w:r>
      <w:r>
        <w:rPr/>
        <w:t>with</w:t>
      </w:r>
      <w:r>
        <w:rPr>
          <w:spacing w:val="-1"/>
        </w:rPr>
        <w:t> </w:t>
      </w:r>
      <w:r>
        <w:rPr/>
        <w:t>thatched </w:t>
      </w:r>
      <w:r>
        <w:rPr>
          <w:spacing w:val="-4"/>
        </w:rPr>
        <w:t>cover</w:t>
      </w:r>
      <w:r>
        <w:rPr/>
        <w:tab/>
      </w:r>
      <w:r>
        <w:rPr>
          <w:spacing w:val="-5"/>
        </w:rPr>
        <w:t>16</w:t>
      </w:r>
    </w:p>
    <w:p>
      <w:pPr>
        <w:pStyle w:val="BodyText"/>
        <w:tabs>
          <w:tab w:pos="8569" w:val="left" w:leader="dot"/>
        </w:tabs>
        <w:spacing w:before="438"/>
        <w:ind w:left="588"/>
      </w:pPr>
      <w:r>
        <w:rPr>
          <w:b/>
        </w:rPr>
        <w:t>Fig.6.</w:t>
      </w:r>
      <w:r>
        <w:rPr>
          <w:b/>
          <w:spacing w:val="-15"/>
        </w:rPr>
        <w:t> </w:t>
      </w:r>
      <w:r>
        <w:rPr/>
        <w:t>Outdoor</w:t>
      </w:r>
      <w:r>
        <w:rPr>
          <w:spacing w:val="-6"/>
        </w:rPr>
        <w:t> </w:t>
      </w:r>
      <w:r>
        <w:rPr/>
        <w:t>cooking</w:t>
      </w:r>
      <w:r>
        <w:rPr>
          <w:spacing w:val="-8"/>
        </w:rPr>
        <w:t> </w:t>
      </w:r>
      <w:r>
        <w:rPr/>
        <w:t>area</w:t>
      </w:r>
      <w:r>
        <w:rPr>
          <w:spacing w:val="-7"/>
        </w:rPr>
        <w:t> </w:t>
      </w:r>
      <w:r>
        <w:rPr/>
        <w:t>without</w:t>
      </w:r>
      <w:r>
        <w:rPr>
          <w:spacing w:val="-5"/>
        </w:rPr>
        <w:t> </w:t>
      </w:r>
      <w:r>
        <w:rPr>
          <w:spacing w:val="-4"/>
        </w:rPr>
        <w:t>cover</w:t>
      </w:r>
      <w:r>
        <w:rPr/>
        <w:tab/>
      </w:r>
      <w:r>
        <w:rPr>
          <w:spacing w:val="-5"/>
        </w:rPr>
        <w:t>17</w:t>
      </w:r>
    </w:p>
    <w:p>
      <w:pPr>
        <w:pStyle w:val="BodyText"/>
        <w:tabs>
          <w:tab w:pos="8553" w:val="left" w:leader="dot"/>
        </w:tabs>
        <w:spacing w:before="436"/>
        <w:ind w:left="588"/>
      </w:pPr>
      <w:r>
        <w:rPr>
          <w:b/>
        </w:rPr>
        <w:t>Fig.7</w:t>
      </w:r>
      <w:r>
        <w:rPr/>
        <w:t>.</w:t>
      </w:r>
      <w:r>
        <w:rPr>
          <w:spacing w:val="-10"/>
        </w:rPr>
        <w:t> </w:t>
      </w:r>
      <w:r>
        <w:rPr/>
        <w:t>Indoor cooking</w:t>
      </w:r>
      <w:r>
        <w:rPr>
          <w:spacing w:val="-1"/>
        </w:rPr>
        <w:t> </w:t>
      </w:r>
      <w:r>
        <w:rPr/>
        <w:t>area</w:t>
      </w:r>
      <w:r>
        <w:rPr>
          <w:spacing w:val="-2"/>
        </w:rPr>
        <w:t> </w:t>
      </w:r>
      <w:r>
        <w:rPr/>
        <w:t>with</w:t>
      </w:r>
      <w:r>
        <w:rPr>
          <w:spacing w:val="-1"/>
        </w:rPr>
        <w:t> </w:t>
      </w:r>
      <w:r>
        <w:rPr/>
        <w:t>aluminum</w:t>
      </w:r>
      <w:r>
        <w:rPr>
          <w:spacing w:val="-1"/>
        </w:rPr>
        <w:t> </w:t>
      </w:r>
      <w:r>
        <w:rPr>
          <w:spacing w:val="-2"/>
        </w:rPr>
        <w:t>roofing</w:t>
      </w:r>
      <w:r>
        <w:rPr/>
        <w:tab/>
      </w:r>
      <w:r>
        <w:rPr>
          <w:spacing w:val="-5"/>
        </w:rPr>
        <w:t>17</w:t>
      </w:r>
    </w:p>
    <w:p>
      <w:pPr>
        <w:pStyle w:val="BodyText"/>
        <w:tabs>
          <w:tab w:pos="8569" w:val="left" w:leader="dot"/>
        </w:tabs>
        <w:spacing w:before="435"/>
        <w:ind w:left="588"/>
      </w:pPr>
      <w:r>
        <w:rPr>
          <w:b/>
        </w:rPr>
        <w:t>Fig.8.</w:t>
      </w:r>
      <w:r>
        <w:rPr>
          <w:b/>
          <w:spacing w:val="-10"/>
        </w:rPr>
        <w:t> </w:t>
      </w:r>
      <w:r>
        <w:rPr/>
        <w:t>Indoor</w:t>
      </w:r>
      <w:r>
        <w:rPr>
          <w:spacing w:val="-3"/>
        </w:rPr>
        <w:t> </w:t>
      </w:r>
      <w:r>
        <w:rPr/>
        <w:t>cooking</w:t>
      </w:r>
      <w:r>
        <w:rPr>
          <w:spacing w:val="-2"/>
        </w:rPr>
        <w:t> </w:t>
      </w:r>
      <w:r>
        <w:rPr/>
        <w:t>area</w:t>
      </w:r>
      <w:r>
        <w:rPr>
          <w:spacing w:val="-3"/>
        </w:rPr>
        <w:t> </w:t>
      </w:r>
      <w:r>
        <w:rPr/>
        <w:t>with</w:t>
      </w:r>
      <w:r>
        <w:rPr>
          <w:spacing w:val="-2"/>
        </w:rPr>
        <w:t> </w:t>
      </w:r>
      <w:r>
        <w:rPr/>
        <w:t>thatched</w:t>
      </w:r>
      <w:r>
        <w:rPr>
          <w:spacing w:val="-1"/>
        </w:rPr>
        <w:t> </w:t>
      </w:r>
      <w:r>
        <w:rPr>
          <w:spacing w:val="-2"/>
        </w:rPr>
        <w:t>roofing</w:t>
      </w:r>
      <w:r>
        <w:rPr/>
        <w:tab/>
      </w:r>
      <w:r>
        <w:rPr>
          <w:spacing w:val="-5"/>
        </w:rPr>
        <w:t>18</w:t>
      </w:r>
    </w:p>
    <w:p>
      <w:pPr>
        <w:pStyle w:val="BodyText"/>
        <w:tabs>
          <w:tab w:pos="8529" w:val="left" w:leader="dot"/>
        </w:tabs>
        <w:spacing w:line="480" w:lineRule="auto" w:before="437"/>
        <w:ind w:left="588" w:right="179"/>
      </w:pPr>
      <w:r>
        <w:rPr>
          <w:b/>
        </w:rPr>
        <w:t>Fig.9.</w:t>
      </w:r>
      <w:r>
        <w:rPr>
          <w:b/>
          <w:spacing w:val="-15"/>
        </w:rPr>
        <w:t> </w:t>
      </w:r>
      <w:r>
        <w:rPr/>
        <w:t>Cooking</w:t>
      </w:r>
      <w:r>
        <w:rPr>
          <w:spacing w:val="-8"/>
        </w:rPr>
        <w:t> </w:t>
      </w:r>
      <w:r>
        <w:rPr/>
        <w:t>period</w:t>
      </w:r>
      <w:r>
        <w:rPr>
          <w:spacing w:val="-6"/>
        </w:rPr>
        <w:t> </w:t>
      </w:r>
      <w:r>
        <w:rPr/>
        <w:t>in</w:t>
      </w:r>
      <w:r>
        <w:rPr>
          <w:spacing w:val="-5"/>
        </w:rPr>
        <w:t> </w:t>
      </w:r>
      <w:r>
        <w:rPr/>
        <w:t>minutes</w:t>
      </w:r>
      <w:r>
        <w:rPr>
          <w:spacing w:val="-5"/>
        </w:rPr>
        <w:t> </w:t>
      </w:r>
      <w:r>
        <w:rPr/>
        <w:t>and</w:t>
      </w:r>
      <w:r>
        <w:rPr>
          <w:spacing w:val="-6"/>
        </w:rPr>
        <w:t> </w:t>
      </w:r>
      <w:r>
        <w:rPr/>
        <w:t>levels</w:t>
      </w:r>
      <w:r>
        <w:rPr>
          <w:spacing w:val="-5"/>
        </w:rPr>
        <w:t> </w:t>
      </w:r>
      <w:r>
        <w:rPr/>
        <w:t>of</w:t>
      </w:r>
      <w:r>
        <w:rPr>
          <w:spacing w:val="-7"/>
        </w:rPr>
        <w:t> </w:t>
      </w:r>
      <w:r>
        <w:rPr/>
        <w:t>CO</w:t>
      </w:r>
      <w:r>
        <w:rPr>
          <w:spacing w:val="-9"/>
        </w:rPr>
        <w:t> </w:t>
      </w:r>
      <w:r>
        <w:rPr/>
        <w:t>(ppm)</w:t>
      </w:r>
      <w:r>
        <w:rPr>
          <w:spacing w:val="-7"/>
        </w:rPr>
        <w:t> </w:t>
      </w:r>
      <w:r>
        <w:rPr/>
        <w:t>measured</w:t>
      </w:r>
      <w:r>
        <w:rPr>
          <w:spacing w:val="-6"/>
        </w:rPr>
        <w:t> </w:t>
      </w:r>
      <w:r>
        <w:rPr/>
        <w:t>during</w:t>
      </w:r>
      <w:r>
        <w:rPr>
          <w:spacing w:val="-8"/>
        </w:rPr>
        <w:t> </w:t>
      </w:r>
      <w:r>
        <w:rPr/>
        <w:t>cooking</w:t>
      </w:r>
      <w:r>
        <w:rPr>
          <w:spacing w:val="-8"/>
        </w:rPr>
        <w:t> </w:t>
      </w:r>
      <w:r>
        <w:rPr/>
        <w:t>in Docochi</w:t>
      </w:r>
      <w:r>
        <w:rPr>
          <w:spacing w:val="-3"/>
        </w:rPr>
        <w:t> </w:t>
      </w:r>
      <w:r>
        <w:rPr>
          <w:spacing w:val="-5"/>
        </w:rPr>
        <w:t>HH4</w:t>
      </w:r>
      <w:r>
        <w:rPr/>
        <w:tab/>
      </w:r>
      <w:r>
        <w:rPr>
          <w:spacing w:val="-5"/>
        </w:rPr>
        <w:t>21</w:t>
      </w:r>
    </w:p>
    <w:p>
      <w:pPr>
        <w:pStyle w:val="BodyText"/>
        <w:tabs>
          <w:tab w:pos="8569" w:val="left" w:leader="dot"/>
        </w:tabs>
        <w:spacing w:line="480" w:lineRule="auto" w:before="159"/>
        <w:ind w:left="588" w:right="174"/>
      </w:pPr>
      <w:r>
        <w:rPr>
          <w:b/>
        </w:rPr>
        <w:t>Fig.10.</w:t>
      </w:r>
      <w:r>
        <w:rPr>
          <w:b/>
          <w:spacing w:val="-7"/>
        </w:rPr>
        <w:t> </w:t>
      </w:r>
      <w:r>
        <w:rPr/>
        <w:t>Cooking period in minutes and levels of CO (ppm) measured during cooking in</w:t>
      </w:r>
      <w:r>
        <w:rPr>
          <w:spacing w:val="-14"/>
        </w:rPr>
        <w:t> </w:t>
      </w:r>
      <w:r>
        <w:rPr/>
        <w:t>Docochi</w:t>
      </w:r>
      <w:r>
        <w:rPr>
          <w:spacing w:val="-13"/>
        </w:rPr>
        <w:t> </w:t>
      </w:r>
      <w:r>
        <w:rPr>
          <w:spacing w:val="-5"/>
        </w:rPr>
        <w:t>HH7</w:t>
      </w:r>
      <w:r>
        <w:rPr/>
        <w:tab/>
      </w:r>
      <w:r>
        <w:rPr>
          <w:spacing w:val="-7"/>
        </w:rPr>
        <w:t>22</w:t>
      </w:r>
    </w:p>
    <w:p>
      <w:pPr>
        <w:pStyle w:val="BodyText"/>
        <w:tabs>
          <w:tab w:pos="8569" w:val="left" w:leader="dot"/>
        </w:tabs>
        <w:spacing w:line="480" w:lineRule="auto" w:before="161"/>
        <w:ind w:left="588" w:right="174"/>
      </w:pPr>
      <w:r>
        <w:rPr>
          <w:b/>
        </w:rPr>
        <w:t>Fig.11.</w:t>
      </w:r>
      <w:r>
        <w:rPr>
          <w:b/>
          <w:spacing w:val="-7"/>
        </w:rPr>
        <w:t> </w:t>
      </w:r>
      <w:r>
        <w:rPr/>
        <w:t>Cooking period in minutes and levels of CO (ppm) measured during cooking in</w:t>
      </w:r>
      <w:r>
        <w:rPr>
          <w:spacing w:val="-9"/>
        </w:rPr>
        <w:t> </w:t>
      </w:r>
      <w:r>
        <w:rPr/>
        <w:t>four</w:t>
      </w:r>
      <w:r>
        <w:rPr>
          <w:spacing w:val="-10"/>
        </w:rPr>
        <w:t> </w:t>
      </w:r>
      <w:r>
        <w:rPr/>
        <w:t>different</w:t>
      </w:r>
      <w:r>
        <w:rPr>
          <w:spacing w:val="-8"/>
        </w:rPr>
        <w:t> </w:t>
      </w:r>
      <w:r>
        <w:rPr>
          <w:spacing w:val="-4"/>
        </w:rPr>
        <w:t>ward</w:t>
      </w:r>
      <w:r>
        <w:rPr/>
        <w:tab/>
      </w:r>
      <w:r>
        <w:rPr>
          <w:spacing w:val="-7"/>
        </w:rPr>
        <w:t>24</w:t>
      </w:r>
    </w:p>
    <w:p>
      <w:pPr>
        <w:spacing w:after="0" w:line="480" w:lineRule="auto"/>
        <w:sectPr>
          <w:pgSz w:w="11910" w:h="16840"/>
          <w:pgMar w:header="0" w:footer="1012" w:top="1620" w:bottom="1200" w:left="1680" w:right="1240"/>
        </w:sectPr>
      </w:pPr>
    </w:p>
    <w:p>
      <w:pPr>
        <w:spacing w:line="480" w:lineRule="auto" w:before="62"/>
        <w:ind w:left="588" w:right="5621" w:firstLine="0"/>
        <w:jc w:val="left"/>
        <w:rPr>
          <w:b/>
          <w:sz w:val="24"/>
        </w:rPr>
      </w:pPr>
      <w:r>
        <w:rPr>
          <w:b/>
          <w:sz w:val="24"/>
        </w:rPr>
        <w:t>CHAPTER 1 </w:t>
      </w:r>
      <w:r>
        <w:rPr>
          <w:b/>
          <w:spacing w:val="-2"/>
          <w:sz w:val="24"/>
        </w:rPr>
        <w:t>INTRODUCTION</w:t>
      </w:r>
    </w:p>
    <w:p>
      <w:pPr>
        <w:pStyle w:val="BodyText"/>
        <w:spacing w:line="480" w:lineRule="auto" w:before="1"/>
        <w:ind w:left="588" w:right="215"/>
      </w:pPr>
      <w:r>
        <w:rPr/>
        <w:t>Global air quality is worsening every day due to both outdoor and indoor pollution. Much attention is directed to IAP presently, as it is considered a leading cause of respiratory diseases that cause the premature deaths of 4 million people around the world (WHO, 2016). Indoor air pollution is the emission of harmful substances in living area. Sources of IAP include materials used in furnishings, semi-volatile, and volatile compounds released by building materials, insecticides, and biomass fuels (mainly</w:t>
      </w:r>
      <w:r>
        <w:rPr>
          <w:spacing w:val="-8"/>
        </w:rPr>
        <w:t> </w:t>
      </w:r>
      <w:r>
        <w:rPr/>
        <w:t>cow</w:t>
      </w:r>
      <w:r>
        <w:rPr>
          <w:spacing w:val="-3"/>
        </w:rPr>
        <w:t> </w:t>
      </w:r>
      <w:r>
        <w:rPr/>
        <w:t>dung,</w:t>
      </w:r>
      <w:r>
        <w:rPr>
          <w:spacing w:val="-3"/>
        </w:rPr>
        <w:t> </w:t>
      </w:r>
      <w:r>
        <w:rPr/>
        <w:t>straws,</w:t>
      </w:r>
      <w:r>
        <w:rPr>
          <w:spacing w:val="-3"/>
        </w:rPr>
        <w:t> </w:t>
      </w:r>
      <w:r>
        <w:rPr/>
        <w:t>crop</w:t>
      </w:r>
      <w:r>
        <w:rPr>
          <w:spacing w:val="-3"/>
        </w:rPr>
        <w:t> </w:t>
      </w:r>
      <w:r>
        <w:rPr/>
        <w:t>residues,</w:t>
      </w:r>
      <w:r>
        <w:rPr>
          <w:spacing w:val="-1"/>
        </w:rPr>
        <w:t> </w:t>
      </w:r>
      <w:r>
        <w:rPr/>
        <w:t>woods,</w:t>
      </w:r>
      <w:r>
        <w:rPr>
          <w:spacing w:val="-3"/>
        </w:rPr>
        <w:t> </w:t>
      </w:r>
      <w:r>
        <w:rPr/>
        <w:t>and</w:t>
      </w:r>
      <w:r>
        <w:rPr>
          <w:spacing w:val="-3"/>
        </w:rPr>
        <w:t> </w:t>
      </w:r>
      <w:r>
        <w:rPr/>
        <w:t>twigs)</w:t>
      </w:r>
      <w:r>
        <w:rPr>
          <w:spacing w:val="-2"/>
        </w:rPr>
        <w:t> </w:t>
      </w:r>
      <w:r>
        <w:rPr/>
        <w:t>(Zhang</w:t>
      </w:r>
      <w:r>
        <w:rPr>
          <w:spacing w:val="-4"/>
        </w:rPr>
        <w:t> </w:t>
      </w:r>
      <w:r>
        <w:rPr/>
        <w:t>&amp;</w:t>
      </w:r>
      <w:r>
        <w:rPr>
          <w:spacing w:val="-5"/>
        </w:rPr>
        <w:t> </w:t>
      </w:r>
      <w:r>
        <w:rPr/>
        <w:t>Smith,</w:t>
      </w:r>
      <w:r>
        <w:rPr>
          <w:spacing w:val="-3"/>
        </w:rPr>
        <w:t> </w:t>
      </w:r>
      <w:r>
        <w:rPr/>
        <w:t>2003). The largest contributor of IAP in developing country is biomass burning. Biomass burning is the combustion of living and dead vegetation (Cole, 2001). This process emits pollutants, which gets trapped when people cook indoors hence promotes respiratory diseases (WHO, 2016).</w:t>
      </w:r>
    </w:p>
    <w:p>
      <w:pPr>
        <w:pStyle w:val="BodyText"/>
        <w:spacing w:before="274"/>
      </w:pPr>
    </w:p>
    <w:p>
      <w:pPr>
        <w:pStyle w:val="BodyText"/>
        <w:spacing w:line="480" w:lineRule="auto" w:before="1"/>
        <w:ind w:left="588" w:right="215"/>
      </w:pPr>
      <w:r>
        <w:rPr/>
        <w:t>About 7.7% of global mortality is due to IAP (WHO, 2016). In middle- and low- income</w:t>
      </w:r>
      <w:r>
        <w:rPr>
          <w:spacing w:val="-3"/>
        </w:rPr>
        <w:t> </w:t>
      </w:r>
      <w:r>
        <w:rPr/>
        <w:t>countries,</w:t>
      </w:r>
      <w:r>
        <w:rPr>
          <w:spacing w:val="-2"/>
        </w:rPr>
        <w:t> </w:t>
      </w:r>
      <w:r>
        <w:rPr/>
        <w:t>10%</w:t>
      </w:r>
      <w:r>
        <w:rPr>
          <w:spacing w:val="-2"/>
        </w:rPr>
        <w:t> </w:t>
      </w:r>
      <w:r>
        <w:rPr/>
        <w:t>of</w:t>
      </w:r>
      <w:r>
        <w:rPr>
          <w:spacing w:val="-2"/>
        </w:rPr>
        <w:t> </w:t>
      </w:r>
      <w:r>
        <w:rPr/>
        <w:t>mortality</w:t>
      </w:r>
      <w:r>
        <w:rPr>
          <w:spacing w:val="-7"/>
        </w:rPr>
        <w:t> </w:t>
      </w:r>
      <w:r>
        <w:rPr/>
        <w:t>is</w:t>
      </w:r>
      <w:r>
        <w:rPr>
          <w:spacing w:val="-2"/>
        </w:rPr>
        <w:t> </w:t>
      </w:r>
      <w:r>
        <w:rPr/>
        <w:t>caused</w:t>
      </w:r>
      <w:r>
        <w:rPr>
          <w:spacing w:val="-2"/>
        </w:rPr>
        <w:t> </w:t>
      </w:r>
      <w:r>
        <w:rPr/>
        <w:t>by</w:t>
      </w:r>
      <w:r>
        <w:rPr>
          <w:spacing w:val="-5"/>
        </w:rPr>
        <w:t> </w:t>
      </w:r>
      <w:r>
        <w:rPr/>
        <w:t>indoor</w:t>
      </w:r>
      <w:r>
        <w:rPr>
          <w:spacing w:val="-3"/>
        </w:rPr>
        <w:t> </w:t>
      </w:r>
      <w:r>
        <w:rPr/>
        <w:t>pollution.</w:t>
      </w:r>
      <w:r>
        <w:rPr>
          <w:spacing w:val="-2"/>
        </w:rPr>
        <w:t> </w:t>
      </w:r>
      <w:r>
        <w:rPr/>
        <w:t>Whereas</w:t>
      </w:r>
      <w:r>
        <w:rPr>
          <w:spacing w:val="-2"/>
        </w:rPr>
        <w:t> </w:t>
      </w:r>
      <w:r>
        <w:rPr/>
        <w:t>the</w:t>
      </w:r>
      <w:r>
        <w:rPr>
          <w:spacing w:val="-2"/>
        </w:rPr>
        <w:t> </w:t>
      </w:r>
      <w:r>
        <w:rPr/>
        <w:t>same risk factor is 0.2% in developed countries (WHO, 2016). IAP emitted from the burning of biomass poses a greater risk to human health than any other source of pollution. Hence, mortality and morbidity in developing countries are heavily attributed to burning biomass fuel. The reason is some people, most especially women in the developing countries use substandard stoves that produces smoke, which gets trapped when used in areas with poor ventilation (Bruce, et al., 2015).</w:t>
      </w:r>
    </w:p>
    <w:p>
      <w:pPr>
        <w:pStyle w:val="BodyText"/>
        <w:spacing w:line="480" w:lineRule="auto" w:before="1"/>
        <w:ind w:left="588" w:right="396"/>
      </w:pPr>
      <w:r>
        <w:rPr/>
        <w:t>Chronic</w:t>
      </w:r>
      <w:r>
        <w:rPr>
          <w:spacing w:val="-4"/>
        </w:rPr>
        <w:t> </w:t>
      </w:r>
      <w:r>
        <w:rPr/>
        <w:t>exposure</w:t>
      </w:r>
      <w:r>
        <w:rPr>
          <w:spacing w:val="-4"/>
        </w:rPr>
        <w:t> </w:t>
      </w:r>
      <w:r>
        <w:rPr/>
        <w:t>to</w:t>
      </w:r>
      <w:r>
        <w:rPr>
          <w:spacing w:val="-2"/>
        </w:rPr>
        <w:t> </w:t>
      </w:r>
      <w:r>
        <w:rPr/>
        <w:t>smoke</w:t>
      </w:r>
      <w:r>
        <w:rPr>
          <w:spacing w:val="-2"/>
        </w:rPr>
        <w:t> </w:t>
      </w:r>
      <w:r>
        <w:rPr/>
        <w:t>lowers</w:t>
      </w:r>
      <w:r>
        <w:rPr>
          <w:spacing w:val="-2"/>
        </w:rPr>
        <w:t> </w:t>
      </w:r>
      <w:r>
        <w:rPr/>
        <w:t>the</w:t>
      </w:r>
      <w:r>
        <w:rPr>
          <w:spacing w:val="-2"/>
        </w:rPr>
        <w:t> </w:t>
      </w:r>
      <w:r>
        <w:rPr/>
        <w:t>body’s</w:t>
      </w:r>
      <w:r>
        <w:rPr>
          <w:spacing w:val="-3"/>
        </w:rPr>
        <w:t> </w:t>
      </w:r>
      <w:r>
        <w:rPr/>
        <w:t>immunity</w:t>
      </w:r>
      <w:r>
        <w:rPr>
          <w:spacing w:val="-8"/>
        </w:rPr>
        <w:t> </w:t>
      </w:r>
      <w:r>
        <w:rPr/>
        <w:t>and</w:t>
      </w:r>
      <w:r>
        <w:rPr>
          <w:spacing w:val="-1"/>
        </w:rPr>
        <w:t> </w:t>
      </w:r>
      <w:r>
        <w:rPr/>
        <w:t>eventually</w:t>
      </w:r>
      <w:r>
        <w:rPr>
          <w:spacing w:val="-7"/>
        </w:rPr>
        <w:t> </w:t>
      </w:r>
      <w:r>
        <w:rPr/>
        <w:t>lead</w:t>
      </w:r>
      <w:r>
        <w:rPr>
          <w:spacing w:val="-1"/>
        </w:rPr>
        <w:t> </w:t>
      </w:r>
      <w:r>
        <w:rPr/>
        <w:t>to respiratory diseases (Bruce, Perez-Padilla, &amp; Albalak, 2000).</w:t>
      </w:r>
    </w:p>
    <w:p>
      <w:pPr>
        <w:spacing w:after="0" w:line="480" w:lineRule="auto"/>
        <w:sectPr>
          <w:footerReference w:type="default" r:id="rId6"/>
          <w:pgSz w:w="11910" w:h="16840"/>
          <w:pgMar w:header="0" w:footer="1012" w:top="1620" w:bottom="1200" w:left="1680" w:right="1240"/>
          <w:pgNumType w:start="1"/>
        </w:sectPr>
      </w:pPr>
    </w:p>
    <w:p>
      <w:pPr>
        <w:pStyle w:val="BodyText"/>
        <w:spacing w:line="480" w:lineRule="auto" w:before="62"/>
        <w:ind w:left="588" w:right="257"/>
      </w:pPr>
      <w:r>
        <w:rPr/>
        <w:t>Although the health impact of IAP is well studied, there has been limited intervention</w:t>
      </w:r>
      <w:r>
        <w:rPr>
          <w:spacing w:val="-3"/>
        </w:rPr>
        <w:t> </w:t>
      </w:r>
      <w:r>
        <w:rPr/>
        <w:t>that</w:t>
      </w:r>
      <w:r>
        <w:rPr>
          <w:spacing w:val="-3"/>
        </w:rPr>
        <w:t> </w:t>
      </w:r>
      <w:r>
        <w:rPr/>
        <w:t>will</w:t>
      </w:r>
      <w:r>
        <w:rPr>
          <w:spacing w:val="-3"/>
        </w:rPr>
        <w:t> </w:t>
      </w:r>
      <w:r>
        <w:rPr/>
        <w:t>bring</w:t>
      </w:r>
      <w:r>
        <w:rPr>
          <w:spacing w:val="-6"/>
        </w:rPr>
        <w:t> </w:t>
      </w:r>
      <w:r>
        <w:rPr/>
        <w:t>effective</w:t>
      </w:r>
      <w:r>
        <w:rPr>
          <w:spacing w:val="-4"/>
        </w:rPr>
        <w:t> </w:t>
      </w:r>
      <w:r>
        <w:rPr/>
        <w:t>solutions</w:t>
      </w:r>
      <w:r>
        <w:rPr>
          <w:spacing w:val="-3"/>
        </w:rPr>
        <w:t> </w:t>
      </w:r>
      <w:r>
        <w:rPr/>
        <w:t>based</w:t>
      </w:r>
      <w:r>
        <w:rPr>
          <w:spacing w:val="-3"/>
        </w:rPr>
        <w:t> </w:t>
      </w:r>
      <w:r>
        <w:rPr/>
        <w:t>on</w:t>
      </w:r>
      <w:r>
        <w:rPr>
          <w:spacing w:val="-3"/>
        </w:rPr>
        <w:t> </w:t>
      </w:r>
      <w:r>
        <w:rPr/>
        <w:t>these</w:t>
      </w:r>
      <w:r>
        <w:rPr>
          <w:spacing w:val="-5"/>
        </w:rPr>
        <w:t> </w:t>
      </w:r>
      <w:r>
        <w:rPr/>
        <w:t>findings.</w:t>
      </w:r>
      <w:r>
        <w:rPr>
          <w:spacing w:val="-3"/>
        </w:rPr>
        <w:t> </w:t>
      </w:r>
      <w:r>
        <w:rPr/>
        <w:t>Some</w:t>
      </w:r>
      <w:r>
        <w:rPr>
          <w:spacing w:val="-3"/>
        </w:rPr>
        <w:t> </w:t>
      </w:r>
      <w:r>
        <w:rPr/>
        <w:t>of</w:t>
      </w:r>
      <w:r>
        <w:rPr>
          <w:spacing w:val="-5"/>
        </w:rPr>
        <w:t> </w:t>
      </w:r>
      <w:r>
        <w:rPr/>
        <w:t>the limitations are due to technology, behavior, and lack of infrastructure.</w:t>
      </w:r>
    </w:p>
    <w:p>
      <w:pPr>
        <w:pStyle w:val="BodyText"/>
      </w:pPr>
    </w:p>
    <w:p>
      <w:pPr>
        <w:pStyle w:val="BodyText"/>
      </w:pPr>
    </w:p>
    <w:p>
      <w:pPr>
        <w:spacing w:before="1"/>
        <w:ind w:left="588" w:right="0" w:firstLine="0"/>
        <w:jc w:val="left"/>
        <w:rPr>
          <w:i/>
          <w:sz w:val="24"/>
        </w:rPr>
      </w:pPr>
      <w:r>
        <w:rPr>
          <w:i/>
          <w:sz w:val="24"/>
        </w:rPr>
        <w:t>Biomass </w:t>
      </w:r>
      <w:r>
        <w:rPr>
          <w:i/>
          <w:spacing w:val="-5"/>
          <w:sz w:val="24"/>
        </w:rPr>
        <w:t>use</w:t>
      </w:r>
    </w:p>
    <w:p>
      <w:pPr>
        <w:pStyle w:val="BodyText"/>
        <w:spacing w:line="480" w:lineRule="auto" w:before="276"/>
        <w:ind w:left="588" w:right="255"/>
      </w:pPr>
      <w:r>
        <w:rPr/>
        <w:t>People</w:t>
      </w:r>
      <w:r>
        <w:rPr>
          <w:spacing w:val="-2"/>
        </w:rPr>
        <w:t> </w:t>
      </w:r>
      <w:r>
        <w:rPr/>
        <w:t>use</w:t>
      </w:r>
      <w:r>
        <w:rPr>
          <w:spacing w:val="-4"/>
        </w:rPr>
        <w:t> </w:t>
      </w:r>
      <w:r>
        <w:rPr/>
        <w:t>biomass</w:t>
      </w:r>
      <w:r>
        <w:rPr>
          <w:spacing w:val="-2"/>
        </w:rPr>
        <w:t> </w:t>
      </w:r>
      <w:r>
        <w:rPr/>
        <w:t>as</w:t>
      </w:r>
      <w:r>
        <w:rPr>
          <w:spacing w:val="-2"/>
        </w:rPr>
        <w:t> </w:t>
      </w:r>
      <w:r>
        <w:rPr/>
        <w:t>fuel</w:t>
      </w:r>
      <w:r>
        <w:rPr>
          <w:spacing w:val="-2"/>
        </w:rPr>
        <w:t> </w:t>
      </w:r>
      <w:r>
        <w:rPr/>
        <w:t>for</w:t>
      </w:r>
      <w:r>
        <w:rPr>
          <w:spacing w:val="-3"/>
        </w:rPr>
        <w:t> </w:t>
      </w:r>
      <w:r>
        <w:rPr/>
        <w:t>cooking</w:t>
      </w:r>
      <w:r>
        <w:rPr>
          <w:spacing w:val="-5"/>
        </w:rPr>
        <w:t> </w:t>
      </w:r>
      <w:r>
        <w:rPr/>
        <w:t>and</w:t>
      </w:r>
      <w:r>
        <w:rPr>
          <w:spacing w:val="-2"/>
        </w:rPr>
        <w:t> </w:t>
      </w:r>
      <w:r>
        <w:rPr/>
        <w:t>heating</w:t>
      </w:r>
      <w:r>
        <w:rPr>
          <w:spacing w:val="-5"/>
        </w:rPr>
        <w:t> </w:t>
      </w:r>
      <w:r>
        <w:rPr/>
        <w:t>all</w:t>
      </w:r>
      <w:r>
        <w:rPr>
          <w:spacing w:val="-2"/>
        </w:rPr>
        <w:t> </w:t>
      </w:r>
      <w:r>
        <w:rPr/>
        <w:t>over</w:t>
      </w:r>
      <w:r>
        <w:rPr>
          <w:spacing w:val="-2"/>
        </w:rPr>
        <w:t> </w:t>
      </w:r>
      <w:r>
        <w:rPr/>
        <w:t>the</w:t>
      </w:r>
      <w:r>
        <w:rPr>
          <w:spacing w:val="-4"/>
        </w:rPr>
        <w:t> </w:t>
      </w:r>
      <w:r>
        <w:rPr/>
        <w:t>world (Fig.1).</w:t>
      </w:r>
      <w:r>
        <w:rPr>
          <w:spacing w:val="-2"/>
        </w:rPr>
        <w:t> </w:t>
      </w:r>
      <w:r>
        <w:rPr/>
        <w:t>More than 2.4 billion of the global population relies on biomass fuel for cooking and heating (WHO, 2016). In addition, most biomass users are in developing</w:t>
      </w:r>
      <w:r>
        <w:rPr>
          <w:spacing w:val="-1"/>
        </w:rPr>
        <w:t> </w:t>
      </w:r>
      <w:r>
        <w:rPr/>
        <w:t>countries. In Africa, 78% of household energy is from biomass fuel (WHO, 2012). Clean source of energy</w:t>
      </w:r>
      <w:r>
        <w:rPr>
          <w:spacing w:val="-3"/>
        </w:rPr>
        <w:t> </w:t>
      </w:r>
      <w:r>
        <w:rPr/>
        <w:t>is important, but poverty</w:t>
      </w:r>
      <w:r>
        <w:rPr>
          <w:spacing w:val="-1"/>
        </w:rPr>
        <w:t> </w:t>
      </w:r>
      <w:r>
        <w:rPr/>
        <w:t>and inadequate power supply</w:t>
      </w:r>
      <w:r>
        <w:rPr>
          <w:spacing w:val="-2"/>
        </w:rPr>
        <w:t> </w:t>
      </w:r>
      <w:r>
        <w:rPr/>
        <w:t>have made clean energy beyond the reach of people living in developing countries. Therefore, people are forced to look for cheap alternative sources of fuel, regardless of consequences on human health (NPC &amp; ICF, 2014).</w:t>
      </w:r>
    </w:p>
    <w:p>
      <w:pPr>
        <w:pStyle w:val="BodyText"/>
        <w:spacing w:before="274"/>
      </w:pPr>
    </w:p>
    <w:p>
      <w:pPr>
        <w:pStyle w:val="BodyText"/>
        <w:spacing w:line="480" w:lineRule="auto" w:before="1"/>
        <w:ind w:left="588" w:right="215"/>
      </w:pPr>
      <w:r>
        <w:rPr/>
        <w:t>In addition to Africa, Asian countries such China, India, and Nepal also have large percentage of people using biomass fuel. In China, 80% of the rural population derives</w:t>
      </w:r>
      <w:r>
        <w:rPr>
          <w:spacing w:val="-3"/>
        </w:rPr>
        <w:t> </w:t>
      </w:r>
      <w:r>
        <w:rPr/>
        <w:t>60%-80%</w:t>
      </w:r>
      <w:r>
        <w:rPr>
          <w:spacing w:val="-4"/>
        </w:rPr>
        <w:t> </w:t>
      </w:r>
      <w:r>
        <w:rPr/>
        <w:t>of</w:t>
      </w:r>
      <w:r>
        <w:rPr>
          <w:spacing w:val="-3"/>
        </w:rPr>
        <w:t> </w:t>
      </w:r>
      <w:r>
        <w:rPr/>
        <w:t>its</w:t>
      </w:r>
      <w:r>
        <w:rPr>
          <w:spacing w:val="-3"/>
        </w:rPr>
        <w:t> </w:t>
      </w:r>
      <w:r>
        <w:rPr/>
        <w:t>domestic</w:t>
      </w:r>
      <w:r>
        <w:rPr>
          <w:spacing w:val="-4"/>
        </w:rPr>
        <w:t> </w:t>
      </w:r>
      <w:r>
        <w:rPr/>
        <w:t>energy</w:t>
      </w:r>
      <w:r>
        <w:rPr>
          <w:spacing w:val="-8"/>
        </w:rPr>
        <w:t> </w:t>
      </w:r>
      <w:r>
        <w:rPr/>
        <w:t>from</w:t>
      </w:r>
      <w:r>
        <w:rPr>
          <w:spacing w:val="-3"/>
        </w:rPr>
        <w:t> </w:t>
      </w:r>
      <w:r>
        <w:rPr/>
        <w:t>biomass</w:t>
      </w:r>
      <w:r>
        <w:rPr>
          <w:spacing w:val="-3"/>
        </w:rPr>
        <w:t> </w:t>
      </w:r>
      <w:r>
        <w:rPr/>
        <w:t>fuel</w:t>
      </w:r>
      <w:r>
        <w:rPr>
          <w:spacing w:val="-1"/>
        </w:rPr>
        <w:t> </w:t>
      </w:r>
      <w:r>
        <w:rPr/>
        <w:t>(World</w:t>
      </w:r>
      <w:r>
        <w:rPr>
          <w:spacing w:val="-3"/>
        </w:rPr>
        <w:t> </w:t>
      </w:r>
      <w:r>
        <w:rPr/>
        <w:t>Energy</w:t>
      </w:r>
      <w:r>
        <w:rPr>
          <w:spacing w:val="-6"/>
        </w:rPr>
        <w:t> </w:t>
      </w:r>
      <w:r>
        <w:rPr/>
        <w:t>Outlook, 2006). In India and Nepal, 72%</w:t>
      </w:r>
      <w:r>
        <w:rPr>
          <w:spacing w:val="-1"/>
        </w:rPr>
        <w:t> </w:t>
      </w:r>
      <w:r>
        <w:rPr/>
        <w:t>and 88%</w:t>
      </w:r>
      <w:r>
        <w:rPr>
          <w:spacing w:val="-1"/>
        </w:rPr>
        <w:t> </w:t>
      </w:r>
      <w:r>
        <w:rPr/>
        <w:t>of</w:t>
      </w:r>
      <w:r>
        <w:rPr>
          <w:spacing w:val="-1"/>
        </w:rPr>
        <w:t> </w:t>
      </w:r>
      <w:r>
        <w:rPr/>
        <w:t>their respective daily</w:t>
      </w:r>
      <w:r>
        <w:rPr>
          <w:spacing w:val="-5"/>
        </w:rPr>
        <w:t> </w:t>
      </w:r>
      <w:r>
        <w:rPr/>
        <w:t>fuel use</w:t>
      </w:r>
      <w:r>
        <w:rPr>
          <w:spacing w:val="-1"/>
        </w:rPr>
        <w:t> </w:t>
      </w:r>
      <w:r>
        <w:rPr/>
        <w:t>is derived from biomass (Ranabhat, et al., 2015; Joon, et al., 2014)</w:t>
      </w:r>
    </w:p>
    <w:p>
      <w:pPr>
        <w:spacing w:after="0" w:line="480" w:lineRule="auto"/>
        <w:sectPr>
          <w:pgSz w:w="11910" w:h="16840"/>
          <w:pgMar w:header="0" w:footer="1012" w:top="1620" w:bottom="1200" w:left="1680" w:right="1240"/>
        </w:sectPr>
      </w:pPr>
    </w:p>
    <w:p>
      <w:pPr>
        <w:pStyle w:val="BodyText"/>
        <w:ind w:left="661"/>
        <w:rPr>
          <w:sz w:val="20"/>
        </w:rPr>
      </w:pPr>
      <w:r>
        <w:rPr>
          <w:sz w:val="20"/>
        </w:rPr>
        <w:drawing>
          <wp:inline distT="0" distB="0" distL="0" distR="0">
            <wp:extent cx="5038093" cy="4022407"/>
            <wp:effectExtent l="0" t="0" r="0" b="0"/>
            <wp:docPr id="11" name="Image 11"/>
            <wp:cNvGraphicFramePr>
              <a:graphicFrameLocks/>
            </wp:cNvGraphicFramePr>
            <a:graphic>
              <a:graphicData uri="http://schemas.openxmlformats.org/drawingml/2006/picture">
                <pic:pic>
                  <pic:nvPicPr>
                    <pic:cNvPr id="11" name="Image 11"/>
                    <pic:cNvPicPr/>
                  </pic:nvPicPr>
                  <pic:blipFill>
                    <a:blip r:embed="rId7" cstate="print"/>
                    <a:stretch>
                      <a:fillRect/>
                    </a:stretch>
                  </pic:blipFill>
                  <pic:spPr>
                    <a:xfrm>
                      <a:off x="0" y="0"/>
                      <a:ext cx="5038093" cy="4022407"/>
                    </a:xfrm>
                    <a:prstGeom prst="rect">
                      <a:avLst/>
                    </a:prstGeom>
                  </pic:spPr>
                </pic:pic>
              </a:graphicData>
            </a:graphic>
          </wp:inline>
        </w:drawing>
      </w:r>
      <w:r>
        <w:rPr>
          <w:sz w:val="20"/>
        </w:rPr>
      </w:r>
    </w:p>
    <w:p>
      <w:pPr>
        <w:pStyle w:val="BodyText"/>
        <w:spacing w:before="220"/>
        <w:rPr>
          <w:sz w:val="22"/>
        </w:rPr>
      </w:pPr>
    </w:p>
    <w:p>
      <w:pPr>
        <w:spacing w:before="0"/>
        <w:ind w:left="588" w:right="396" w:firstLine="0"/>
        <w:jc w:val="left"/>
        <w:rPr>
          <w:rFonts w:ascii="Calibri"/>
          <w:i/>
          <w:sz w:val="20"/>
        </w:rPr>
      </w:pPr>
      <w:r>
        <w:rPr>
          <w:rFonts w:ascii="Calibri"/>
          <w:b/>
          <w:sz w:val="22"/>
        </w:rPr>
        <w:t>Fig.</w:t>
      </w:r>
      <w:r>
        <w:rPr>
          <w:rFonts w:ascii="Calibri"/>
          <w:b/>
          <w:spacing w:val="-3"/>
          <w:sz w:val="22"/>
        </w:rPr>
        <w:t> </w:t>
      </w:r>
      <w:r>
        <w:rPr>
          <w:rFonts w:ascii="Calibri"/>
          <w:b/>
          <w:sz w:val="22"/>
        </w:rPr>
        <w:t>1.</w:t>
      </w:r>
      <w:r>
        <w:rPr>
          <w:rFonts w:ascii="Calibri"/>
          <w:b/>
          <w:spacing w:val="-1"/>
          <w:sz w:val="22"/>
        </w:rPr>
        <w:t> </w:t>
      </w:r>
      <w:r>
        <w:rPr>
          <w:rFonts w:ascii="Calibri"/>
          <w:sz w:val="22"/>
        </w:rPr>
        <w:t>The</w:t>
      </w:r>
      <w:r>
        <w:rPr>
          <w:rFonts w:ascii="Calibri"/>
          <w:spacing w:val="-1"/>
          <w:sz w:val="22"/>
        </w:rPr>
        <w:t> </w:t>
      </w:r>
      <w:r>
        <w:rPr>
          <w:rFonts w:ascii="Calibri"/>
          <w:sz w:val="22"/>
        </w:rPr>
        <w:t>percentage</w:t>
      </w:r>
      <w:r>
        <w:rPr>
          <w:rFonts w:ascii="Calibri"/>
          <w:spacing w:val="-4"/>
          <w:sz w:val="22"/>
        </w:rPr>
        <w:t> </w:t>
      </w:r>
      <w:r>
        <w:rPr>
          <w:rFonts w:ascii="Calibri"/>
          <w:sz w:val="22"/>
        </w:rPr>
        <w:t>of</w:t>
      </w:r>
      <w:r>
        <w:rPr>
          <w:rFonts w:ascii="Calibri"/>
          <w:spacing w:val="-2"/>
          <w:sz w:val="22"/>
        </w:rPr>
        <w:t> </w:t>
      </w:r>
      <w:r>
        <w:rPr>
          <w:rFonts w:ascii="Calibri"/>
          <w:sz w:val="22"/>
        </w:rPr>
        <w:t>people</w:t>
      </w:r>
      <w:r>
        <w:rPr>
          <w:rFonts w:ascii="Calibri"/>
          <w:spacing w:val="-5"/>
          <w:sz w:val="22"/>
        </w:rPr>
        <w:t> </w:t>
      </w:r>
      <w:r>
        <w:rPr>
          <w:rFonts w:ascii="Calibri"/>
          <w:sz w:val="22"/>
        </w:rPr>
        <w:t>relying</w:t>
      </w:r>
      <w:r>
        <w:rPr>
          <w:rFonts w:ascii="Calibri"/>
          <w:spacing w:val="-5"/>
          <w:sz w:val="22"/>
        </w:rPr>
        <w:t> </w:t>
      </w:r>
      <w:r>
        <w:rPr>
          <w:rFonts w:ascii="Calibri"/>
          <w:sz w:val="22"/>
        </w:rPr>
        <w:t>on the</w:t>
      </w:r>
      <w:r>
        <w:rPr>
          <w:rFonts w:ascii="Calibri"/>
          <w:spacing w:val="-1"/>
          <w:sz w:val="22"/>
        </w:rPr>
        <w:t> </w:t>
      </w:r>
      <w:r>
        <w:rPr>
          <w:rFonts w:ascii="Calibri"/>
          <w:sz w:val="22"/>
        </w:rPr>
        <w:t>different</w:t>
      </w:r>
      <w:r>
        <w:rPr>
          <w:rFonts w:ascii="Calibri"/>
          <w:spacing w:val="-2"/>
          <w:sz w:val="22"/>
        </w:rPr>
        <w:t> </w:t>
      </w:r>
      <w:r>
        <w:rPr>
          <w:rFonts w:ascii="Calibri"/>
          <w:sz w:val="22"/>
        </w:rPr>
        <w:t>types</w:t>
      </w:r>
      <w:r>
        <w:rPr>
          <w:rFonts w:ascii="Calibri"/>
          <w:spacing w:val="-2"/>
          <w:sz w:val="22"/>
        </w:rPr>
        <w:t> </w:t>
      </w:r>
      <w:r>
        <w:rPr>
          <w:rFonts w:ascii="Calibri"/>
          <w:sz w:val="22"/>
        </w:rPr>
        <w:t>of</w:t>
      </w:r>
      <w:r>
        <w:rPr>
          <w:rFonts w:ascii="Calibri"/>
          <w:spacing w:val="-2"/>
          <w:sz w:val="22"/>
        </w:rPr>
        <w:t> </w:t>
      </w:r>
      <w:r>
        <w:rPr>
          <w:rFonts w:ascii="Calibri"/>
          <w:sz w:val="22"/>
        </w:rPr>
        <w:t>biomass</w:t>
      </w:r>
      <w:r>
        <w:rPr>
          <w:rFonts w:ascii="Calibri"/>
          <w:spacing w:val="-5"/>
          <w:sz w:val="22"/>
        </w:rPr>
        <w:t> </w:t>
      </w:r>
      <w:r>
        <w:rPr>
          <w:rFonts w:ascii="Calibri"/>
          <w:sz w:val="22"/>
        </w:rPr>
        <w:t>fuels</w:t>
      </w:r>
      <w:r>
        <w:rPr>
          <w:rFonts w:ascii="Calibri"/>
          <w:spacing w:val="-2"/>
          <w:sz w:val="22"/>
        </w:rPr>
        <w:t> </w:t>
      </w:r>
      <w:r>
        <w:rPr>
          <w:rFonts w:ascii="Calibri"/>
          <w:sz w:val="22"/>
        </w:rPr>
        <w:t>and</w:t>
      </w:r>
      <w:r>
        <w:rPr>
          <w:rFonts w:ascii="Calibri"/>
          <w:spacing w:val="-2"/>
          <w:sz w:val="22"/>
        </w:rPr>
        <w:t> </w:t>
      </w:r>
      <w:r>
        <w:rPr>
          <w:rFonts w:ascii="Calibri"/>
          <w:sz w:val="22"/>
        </w:rPr>
        <w:t>their regions (</w:t>
      </w:r>
      <w:r>
        <w:rPr>
          <w:rFonts w:ascii="Calibri"/>
          <w:i/>
          <w:sz w:val="20"/>
        </w:rPr>
        <w:t>Credit: UNPD, 2007; WHO, 2009).</w:t>
      </w:r>
    </w:p>
    <w:p>
      <w:pPr>
        <w:pStyle w:val="BodyText"/>
        <w:rPr>
          <w:rFonts w:ascii="Calibri"/>
          <w:i/>
          <w:sz w:val="22"/>
        </w:rPr>
      </w:pPr>
    </w:p>
    <w:p>
      <w:pPr>
        <w:pStyle w:val="BodyText"/>
        <w:spacing w:before="215"/>
        <w:rPr>
          <w:rFonts w:ascii="Calibri"/>
          <w:i/>
          <w:sz w:val="22"/>
        </w:rPr>
      </w:pPr>
    </w:p>
    <w:p>
      <w:pPr>
        <w:spacing w:before="0"/>
        <w:ind w:left="588" w:right="0" w:firstLine="0"/>
        <w:jc w:val="left"/>
        <w:rPr>
          <w:i/>
          <w:sz w:val="24"/>
        </w:rPr>
      </w:pPr>
      <w:r>
        <w:rPr>
          <w:i/>
          <w:sz w:val="24"/>
        </w:rPr>
        <w:t>Health</w:t>
      </w:r>
      <w:r>
        <w:rPr>
          <w:i/>
          <w:spacing w:val="-4"/>
          <w:sz w:val="24"/>
        </w:rPr>
        <w:t> </w:t>
      </w:r>
      <w:r>
        <w:rPr>
          <w:i/>
          <w:sz w:val="24"/>
        </w:rPr>
        <w:t>impacts</w:t>
      </w:r>
      <w:r>
        <w:rPr>
          <w:i/>
          <w:spacing w:val="-1"/>
          <w:sz w:val="24"/>
        </w:rPr>
        <w:t> </w:t>
      </w:r>
      <w:r>
        <w:rPr>
          <w:i/>
          <w:sz w:val="24"/>
        </w:rPr>
        <w:t>related</w:t>
      </w:r>
      <w:r>
        <w:rPr>
          <w:i/>
          <w:spacing w:val="-2"/>
          <w:sz w:val="24"/>
        </w:rPr>
        <w:t> </w:t>
      </w:r>
      <w:r>
        <w:rPr>
          <w:i/>
          <w:sz w:val="24"/>
        </w:rPr>
        <w:t>to</w:t>
      </w:r>
      <w:r>
        <w:rPr>
          <w:i/>
          <w:spacing w:val="-1"/>
          <w:sz w:val="24"/>
        </w:rPr>
        <w:t> </w:t>
      </w:r>
      <w:r>
        <w:rPr>
          <w:i/>
          <w:spacing w:val="-5"/>
          <w:sz w:val="24"/>
        </w:rPr>
        <w:t>IAP</w:t>
      </w:r>
    </w:p>
    <w:p>
      <w:pPr>
        <w:pStyle w:val="BodyText"/>
        <w:rPr>
          <w:i/>
        </w:rPr>
      </w:pPr>
    </w:p>
    <w:p>
      <w:pPr>
        <w:pStyle w:val="BodyText"/>
        <w:spacing w:line="480" w:lineRule="auto"/>
        <w:ind w:left="588" w:right="215"/>
      </w:pPr>
      <w:r>
        <w:rPr/>
        <w:t>Exposure to pollutants emitted from biomass fuels cause respiratory diseases, miscarriages, and some cancers. Globally, non-communicable diseases including stroke, ischemic heart diseases, chronic obstructive pulmonary, lung cancer, and acute lower respiratory diseases in children resulting from IAP, cause 4 million premature</w:t>
      </w:r>
      <w:r>
        <w:rPr>
          <w:spacing w:val="-4"/>
        </w:rPr>
        <w:t> </w:t>
      </w:r>
      <w:r>
        <w:rPr/>
        <w:t>deaths</w:t>
      </w:r>
      <w:r>
        <w:rPr>
          <w:spacing w:val="-2"/>
        </w:rPr>
        <w:t> </w:t>
      </w:r>
      <w:r>
        <w:rPr/>
        <w:t>(WHO,</w:t>
      </w:r>
      <w:r>
        <w:rPr>
          <w:spacing w:val="-2"/>
        </w:rPr>
        <w:t> </w:t>
      </w:r>
      <w:r>
        <w:rPr/>
        <w:t>2016).</w:t>
      </w:r>
      <w:r>
        <w:rPr>
          <w:spacing w:val="-3"/>
        </w:rPr>
        <w:t> </w:t>
      </w:r>
      <w:r>
        <w:rPr/>
        <w:t>For</w:t>
      </w:r>
      <w:r>
        <w:rPr>
          <w:spacing w:val="-2"/>
        </w:rPr>
        <w:t> </w:t>
      </w:r>
      <w:r>
        <w:rPr/>
        <w:t>example,</w:t>
      </w:r>
      <w:r>
        <w:rPr>
          <w:spacing w:val="-3"/>
        </w:rPr>
        <w:t> </w:t>
      </w:r>
      <w:r>
        <w:rPr/>
        <w:t>acute</w:t>
      </w:r>
      <w:r>
        <w:rPr>
          <w:spacing w:val="-3"/>
        </w:rPr>
        <w:t> </w:t>
      </w:r>
      <w:r>
        <w:rPr/>
        <w:t>lower</w:t>
      </w:r>
      <w:r>
        <w:rPr>
          <w:spacing w:val="-3"/>
        </w:rPr>
        <w:t> </w:t>
      </w:r>
      <w:r>
        <w:rPr/>
        <w:t>respiratory</w:t>
      </w:r>
      <w:r>
        <w:rPr>
          <w:spacing w:val="-8"/>
        </w:rPr>
        <w:t> </w:t>
      </w:r>
      <w:r>
        <w:rPr/>
        <w:t>infections</w:t>
      </w:r>
      <w:r>
        <w:rPr>
          <w:spacing w:val="-2"/>
        </w:rPr>
        <w:t> </w:t>
      </w:r>
      <w:r>
        <w:rPr/>
        <w:t>kill over 2 million children every year (Bruce, Perez-Padilla, &amp; Albalak, 2000). IAP is also the third largest cause of deaths in the world aside from heart disease. In addition, upper respiratory tract infections, which are common in children under 5 years; chronic pulmonary disorder; and lung cancer in women are all caused by</w:t>
      </w:r>
    </w:p>
    <w:p>
      <w:pPr>
        <w:spacing w:after="0" w:line="480" w:lineRule="auto"/>
        <w:sectPr>
          <w:pgSz w:w="11910" w:h="16840"/>
          <w:pgMar w:header="0" w:footer="1012" w:top="1840" w:bottom="1200" w:left="1680" w:right="1240"/>
        </w:sectPr>
      </w:pPr>
    </w:p>
    <w:p>
      <w:pPr>
        <w:pStyle w:val="BodyText"/>
        <w:spacing w:line="480" w:lineRule="auto" w:before="62"/>
        <w:ind w:left="588" w:right="215"/>
      </w:pPr>
      <w:r>
        <w:rPr/>
        <w:t>indoor</w:t>
      </w:r>
      <w:r>
        <w:rPr>
          <w:spacing w:val="-4"/>
        </w:rPr>
        <w:t> </w:t>
      </w:r>
      <w:r>
        <w:rPr/>
        <w:t>pollution.</w:t>
      </w:r>
      <w:r>
        <w:rPr>
          <w:spacing w:val="-4"/>
        </w:rPr>
        <w:t> </w:t>
      </w:r>
      <w:r>
        <w:rPr/>
        <w:t>Smoke</w:t>
      </w:r>
      <w:r>
        <w:rPr>
          <w:spacing w:val="-6"/>
        </w:rPr>
        <w:t> </w:t>
      </w:r>
      <w:r>
        <w:rPr/>
        <w:t>exposure</w:t>
      </w:r>
      <w:r>
        <w:rPr>
          <w:spacing w:val="-5"/>
        </w:rPr>
        <w:t> </w:t>
      </w:r>
      <w:r>
        <w:rPr/>
        <w:t>from</w:t>
      </w:r>
      <w:r>
        <w:rPr>
          <w:spacing w:val="-4"/>
        </w:rPr>
        <w:t> </w:t>
      </w:r>
      <w:r>
        <w:rPr/>
        <w:t>wood</w:t>
      </w:r>
      <w:r>
        <w:rPr>
          <w:spacing w:val="-2"/>
        </w:rPr>
        <w:t> </w:t>
      </w:r>
      <w:r>
        <w:rPr/>
        <w:t>also</w:t>
      </w:r>
      <w:r>
        <w:rPr>
          <w:spacing w:val="-1"/>
        </w:rPr>
        <w:t> </w:t>
      </w:r>
      <w:r>
        <w:rPr/>
        <w:t>causes</w:t>
      </w:r>
      <w:r>
        <w:rPr>
          <w:spacing w:val="-4"/>
        </w:rPr>
        <w:t> </w:t>
      </w:r>
      <w:r>
        <w:rPr/>
        <w:t>inflammation</w:t>
      </w:r>
      <w:r>
        <w:rPr>
          <w:spacing w:val="-4"/>
        </w:rPr>
        <w:t> </w:t>
      </w:r>
      <w:r>
        <w:rPr/>
        <w:t>of</w:t>
      </w:r>
      <w:r>
        <w:rPr>
          <w:spacing w:val="-4"/>
        </w:rPr>
        <w:t> </w:t>
      </w:r>
      <w:r>
        <w:rPr/>
        <w:t>the</w:t>
      </w:r>
      <w:r>
        <w:rPr>
          <w:spacing w:val="-5"/>
        </w:rPr>
        <w:t> </w:t>
      </w:r>
      <w:r>
        <w:rPr/>
        <w:t>lungs and fibrosis (Bruce, et al., 2000; WHO, 2012).</w:t>
      </w:r>
    </w:p>
    <w:p>
      <w:pPr>
        <w:pStyle w:val="BodyText"/>
      </w:pPr>
    </w:p>
    <w:p>
      <w:pPr>
        <w:pStyle w:val="BodyText"/>
      </w:pPr>
    </w:p>
    <w:p>
      <w:pPr>
        <w:pStyle w:val="BodyText"/>
        <w:spacing w:line="480" w:lineRule="auto" w:before="1"/>
        <w:ind w:left="588" w:right="215"/>
      </w:pPr>
      <w:r>
        <w:rPr/>
        <w:t>In Africa, an estimated 41,000 deaths from chronic obstructive pulmonary diseases and 350,000 from acute lower respiratory infections due to IAP were recorded in 2000</w:t>
      </w:r>
      <w:r>
        <w:rPr>
          <w:spacing w:val="-3"/>
        </w:rPr>
        <w:t> </w:t>
      </w:r>
      <w:r>
        <w:rPr/>
        <w:t>(WHO,</w:t>
      </w:r>
      <w:r>
        <w:rPr>
          <w:spacing w:val="-3"/>
        </w:rPr>
        <w:t> </w:t>
      </w:r>
      <w:r>
        <w:rPr/>
        <w:t>2012).</w:t>
      </w:r>
      <w:r>
        <w:rPr>
          <w:spacing w:val="-1"/>
        </w:rPr>
        <w:t> </w:t>
      </w:r>
      <w:r>
        <w:rPr/>
        <w:t>In</w:t>
      </w:r>
      <w:r>
        <w:rPr>
          <w:spacing w:val="-3"/>
        </w:rPr>
        <w:t> </w:t>
      </w:r>
      <w:r>
        <w:rPr/>
        <w:t>addition,</w:t>
      </w:r>
      <w:r>
        <w:rPr>
          <w:spacing w:val="-3"/>
        </w:rPr>
        <w:t> </w:t>
      </w:r>
      <w:r>
        <w:rPr/>
        <w:t>the</w:t>
      </w:r>
      <w:r>
        <w:rPr>
          <w:spacing w:val="-4"/>
        </w:rPr>
        <w:t> </w:t>
      </w:r>
      <w:r>
        <w:rPr/>
        <w:t>risk</w:t>
      </w:r>
      <w:r>
        <w:rPr>
          <w:spacing w:val="-3"/>
        </w:rPr>
        <w:t> </w:t>
      </w:r>
      <w:r>
        <w:rPr/>
        <w:t>of</w:t>
      </w:r>
      <w:r>
        <w:rPr>
          <w:spacing w:val="-4"/>
        </w:rPr>
        <w:t> </w:t>
      </w:r>
      <w:r>
        <w:rPr/>
        <w:t>having</w:t>
      </w:r>
      <w:r>
        <w:rPr>
          <w:spacing w:val="-5"/>
        </w:rPr>
        <w:t> </w:t>
      </w:r>
      <w:r>
        <w:rPr/>
        <w:t>pneumonia</w:t>
      </w:r>
      <w:r>
        <w:rPr>
          <w:spacing w:val="-4"/>
        </w:rPr>
        <w:t> </w:t>
      </w:r>
      <w:r>
        <w:rPr/>
        <w:t>doubles</w:t>
      </w:r>
      <w:r>
        <w:rPr>
          <w:spacing w:val="-3"/>
        </w:rPr>
        <w:t> </w:t>
      </w:r>
      <w:r>
        <w:rPr/>
        <w:t>in</w:t>
      </w:r>
      <w:r>
        <w:rPr>
          <w:spacing w:val="-3"/>
        </w:rPr>
        <w:t> </w:t>
      </w:r>
      <w:r>
        <w:rPr/>
        <w:t>individuals who are exposed to indoor pollution. Every year, 2 million children in developing nations die from pneumonia and 900,000 of the deaths cases are caused by indoor pollution (WHO, 2016).</w:t>
      </w:r>
    </w:p>
    <w:p>
      <w:pPr>
        <w:pStyle w:val="BodyText"/>
      </w:pPr>
    </w:p>
    <w:p>
      <w:pPr>
        <w:pStyle w:val="BodyText"/>
      </w:pPr>
    </w:p>
    <w:p>
      <w:pPr>
        <w:pStyle w:val="BodyText"/>
        <w:spacing w:line="480" w:lineRule="auto" w:before="1"/>
        <w:ind w:left="588" w:right="215"/>
      </w:pPr>
      <w:r>
        <w:rPr/>
        <w:t>IAP kills approximately 700,000 women every year in Africa every year (WHO, 2012).</w:t>
      </w:r>
      <w:r>
        <w:rPr>
          <w:spacing w:val="-1"/>
        </w:rPr>
        <w:t> </w:t>
      </w:r>
      <w:r>
        <w:rPr/>
        <w:t>In</w:t>
      </w:r>
      <w:r>
        <w:rPr>
          <w:spacing w:val="-3"/>
        </w:rPr>
        <w:t> </w:t>
      </w:r>
      <w:r>
        <w:rPr/>
        <w:t>some</w:t>
      </w:r>
      <w:r>
        <w:rPr>
          <w:spacing w:val="-4"/>
        </w:rPr>
        <w:t> </w:t>
      </w:r>
      <w:r>
        <w:rPr/>
        <w:t>parts</w:t>
      </w:r>
      <w:r>
        <w:rPr>
          <w:spacing w:val="-3"/>
        </w:rPr>
        <w:t> </w:t>
      </w:r>
      <w:r>
        <w:rPr/>
        <w:t>of</w:t>
      </w:r>
      <w:r>
        <w:rPr>
          <w:spacing w:val="-3"/>
        </w:rPr>
        <w:t> </w:t>
      </w:r>
      <w:r>
        <w:rPr/>
        <w:t>China,</w:t>
      </w:r>
      <w:r>
        <w:rPr>
          <w:spacing w:val="-3"/>
        </w:rPr>
        <w:t> </w:t>
      </w:r>
      <w:r>
        <w:rPr/>
        <w:t>women</w:t>
      </w:r>
      <w:r>
        <w:rPr>
          <w:spacing w:val="-4"/>
        </w:rPr>
        <w:t> </w:t>
      </w:r>
      <w:r>
        <w:rPr/>
        <w:t>exposed</w:t>
      </w:r>
      <w:r>
        <w:rPr>
          <w:spacing w:val="-3"/>
        </w:rPr>
        <w:t> </w:t>
      </w:r>
      <w:r>
        <w:rPr/>
        <w:t>to</w:t>
      </w:r>
      <w:r>
        <w:rPr>
          <w:spacing w:val="-3"/>
        </w:rPr>
        <w:t> </w:t>
      </w:r>
      <w:r>
        <w:rPr/>
        <w:t>IAP</w:t>
      </w:r>
      <w:r>
        <w:rPr>
          <w:spacing w:val="-2"/>
        </w:rPr>
        <w:t> </w:t>
      </w:r>
      <w:r>
        <w:rPr/>
        <w:t>have</w:t>
      </w:r>
      <w:r>
        <w:rPr>
          <w:spacing w:val="-4"/>
        </w:rPr>
        <w:t> </w:t>
      </w:r>
      <w:r>
        <w:rPr/>
        <w:t>developed</w:t>
      </w:r>
      <w:r>
        <w:rPr>
          <w:spacing w:val="-3"/>
        </w:rPr>
        <w:t> </w:t>
      </w:r>
      <w:r>
        <w:rPr/>
        <w:t>lung</w:t>
      </w:r>
      <w:r>
        <w:rPr>
          <w:spacing w:val="-3"/>
        </w:rPr>
        <w:t> </w:t>
      </w:r>
      <w:r>
        <w:rPr/>
        <w:t>cancer, even though they were not smokers (Smith, Mehta, &amp; Maeusezahl-Feuz, 2004).</w:t>
      </w:r>
    </w:p>
    <w:p>
      <w:pPr>
        <w:pStyle w:val="BodyText"/>
        <w:spacing w:line="480" w:lineRule="auto"/>
        <w:ind w:left="588" w:right="396"/>
      </w:pPr>
      <w:r>
        <w:rPr/>
        <w:t>Indoor</w:t>
      </w:r>
      <w:r>
        <w:rPr>
          <w:spacing w:val="-4"/>
        </w:rPr>
        <w:t> </w:t>
      </w:r>
      <w:r>
        <w:rPr/>
        <w:t>air</w:t>
      </w:r>
      <w:r>
        <w:rPr>
          <w:spacing w:val="-4"/>
        </w:rPr>
        <w:t> </w:t>
      </w:r>
      <w:r>
        <w:rPr/>
        <w:t>pollution</w:t>
      </w:r>
      <w:r>
        <w:rPr>
          <w:spacing w:val="-3"/>
        </w:rPr>
        <w:t> </w:t>
      </w:r>
      <w:r>
        <w:rPr/>
        <w:t>is</w:t>
      </w:r>
      <w:r>
        <w:rPr>
          <w:spacing w:val="-3"/>
        </w:rPr>
        <w:t> </w:t>
      </w:r>
      <w:r>
        <w:rPr/>
        <w:t>responsible</w:t>
      </w:r>
      <w:r>
        <w:rPr>
          <w:spacing w:val="-3"/>
        </w:rPr>
        <w:t> </w:t>
      </w:r>
      <w:r>
        <w:rPr/>
        <w:t>for</w:t>
      </w:r>
      <w:r>
        <w:rPr>
          <w:spacing w:val="-3"/>
        </w:rPr>
        <w:t> </w:t>
      </w:r>
      <w:r>
        <w:rPr/>
        <w:t>1.5%</w:t>
      </w:r>
      <w:r>
        <w:rPr>
          <w:spacing w:val="-4"/>
        </w:rPr>
        <w:t> </w:t>
      </w:r>
      <w:r>
        <w:rPr/>
        <w:t>of</w:t>
      </w:r>
      <w:r>
        <w:rPr>
          <w:spacing w:val="-3"/>
        </w:rPr>
        <w:t> </w:t>
      </w:r>
      <w:r>
        <w:rPr/>
        <w:t>deaths</w:t>
      </w:r>
      <w:r>
        <w:rPr>
          <w:spacing w:val="-3"/>
        </w:rPr>
        <w:t> </w:t>
      </w:r>
      <w:r>
        <w:rPr/>
        <w:t>in</w:t>
      </w:r>
      <w:r>
        <w:rPr>
          <w:spacing w:val="-3"/>
        </w:rPr>
        <w:t> </w:t>
      </w:r>
      <w:r>
        <w:rPr/>
        <w:t>China</w:t>
      </w:r>
      <w:r>
        <w:rPr>
          <w:spacing w:val="-4"/>
        </w:rPr>
        <w:t> </w:t>
      </w:r>
      <w:r>
        <w:rPr/>
        <w:t>annually (Baumgartner, et al., 2011).</w:t>
      </w:r>
    </w:p>
    <w:p>
      <w:pPr>
        <w:pStyle w:val="BodyText"/>
        <w:spacing w:before="274"/>
      </w:pPr>
    </w:p>
    <w:p>
      <w:pPr>
        <w:pStyle w:val="BodyText"/>
        <w:spacing w:line="480" w:lineRule="auto"/>
        <w:ind w:left="588" w:right="215"/>
      </w:pPr>
      <w:r>
        <w:rPr/>
        <w:t>People who have bronchitis due to tobacco smoking have similar symptoms to those exposed</w:t>
      </w:r>
      <w:r>
        <w:rPr>
          <w:spacing w:val="-3"/>
        </w:rPr>
        <w:t> </w:t>
      </w:r>
      <w:r>
        <w:rPr/>
        <w:t>to</w:t>
      </w:r>
      <w:r>
        <w:rPr>
          <w:spacing w:val="-3"/>
        </w:rPr>
        <w:t> </w:t>
      </w:r>
      <w:r>
        <w:rPr/>
        <w:t>biomass</w:t>
      </w:r>
      <w:r>
        <w:rPr>
          <w:spacing w:val="-3"/>
        </w:rPr>
        <w:t> </w:t>
      </w:r>
      <w:r>
        <w:rPr/>
        <w:t>smoke.</w:t>
      </w:r>
      <w:r>
        <w:rPr>
          <w:spacing w:val="-3"/>
        </w:rPr>
        <w:t> </w:t>
      </w:r>
      <w:r>
        <w:rPr/>
        <w:t>A</w:t>
      </w:r>
      <w:r>
        <w:rPr>
          <w:spacing w:val="-3"/>
        </w:rPr>
        <w:t> </w:t>
      </w:r>
      <w:r>
        <w:rPr/>
        <w:t>person</w:t>
      </w:r>
      <w:r>
        <w:rPr>
          <w:spacing w:val="-2"/>
        </w:rPr>
        <w:t> </w:t>
      </w:r>
      <w:r>
        <w:rPr/>
        <w:t>exposed</w:t>
      </w:r>
      <w:r>
        <w:rPr>
          <w:spacing w:val="-3"/>
        </w:rPr>
        <w:t> </w:t>
      </w:r>
      <w:r>
        <w:rPr/>
        <w:t>to IAP</w:t>
      </w:r>
      <w:r>
        <w:rPr>
          <w:spacing w:val="-3"/>
        </w:rPr>
        <w:t> </w:t>
      </w:r>
      <w:r>
        <w:rPr/>
        <w:t>from</w:t>
      </w:r>
      <w:r>
        <w:rPr>
          <w:spacing w:val="-3"/>
        </w:rPr>
        <w:t> </w:t>
      </w:r>
      <w:r>
        <w:rPr/>
        <w:t>solid-fuel</w:t>
      </w:r>
      <w:r>
        <w:rPr>
          <w:spacing w:val="-2"/>
        </w:rPr>
        <w:t> </w:t>
      </w:r>
      <w:r>
        <w:rPr/>
        <w:t>burning</w:t>
      </w:r>
      <w:r>
        <w:rPr>
          <w:spacing w:val="-6"/>
        </w:rPr>
        <w:t> </w:t>
      </w:r>
      <w:r>
        <w:rPr/>
        <w:t>equally has a high risk of having lung cancer as those cigarette smokers. The level of exposure to IAP in some developing countries is equivalent to smoking a pack of cigarettes a day (Bruce, et al., 2000).</w:t>
      </w:r>
    </w:p>
    <w:p>
      <w:pPr>
        <w:pStyle w:val="BodyText"/>
      </w:pPr>
    </w:p>
    <w:p>
      <w:pPr>
        <w:pStyle w:val="BodyText"/>
      </w:pPr>
    </w:p>
    <w:p>
      <w:pPr>
        <w:spacing w:before="1"/>
        <w:ind w:left="588" w:right="0" w:firstLine="0"/>
        <w:jc w:val="left"/>
        <w:rPr>
          <w:i/>
          <w:sz w:val="24"/>
        </w:rPr>
      </w:pPr>
      <w:r>
        <w:rPr>
          <w:i/>
          <w:sz w:val="24"/>
        </w:rPr>
        <w:t>Vulnerable</w:t>
      </w:r>
      <w:r>
        <w:rPr>
          <w:i/>
          <w:spacing w:val="-2"/>
          <w:sz w:val="24"/>
        </w:rPr>
        <w:t> populations</w:t>
      </w:r>
    </w:p>
    <w:p>
      <w:pPr>
        <w:pStyle w:val="BodyText"/>
        <w:spacing w:line="480" w:lineRule="auto" w:before="276"/>
        <w:ind w:left="588" w:right="257"/>
      </w:pPr>
      <w:r>
        <w:rPr/>
        <w:t>Women and children get the most share of burden from indoor air pollution (Baumgartner,</w:t>
      </w:r>
      <w:r>
        <w:rPr>
          <w:spacing w:val="-2"/>
        </w:rPr>
        <w:t> </w:t>
      </w:r>
      <w:r>
        <w:rPr/>
        <w:t>et</w:t>
      </w:r>
      <w:r>
        <w:rPr>
          <w:spacing w:val="-3"/>
        </w:rPr>
        <w:t> </w:t>
      </w:r>
      <w:r>
        <w:rPr/>
        <w:t>al.,</w:t>
      </w:r>
      <w:r>
        <w:rPr>
          <w:spacing w:val="-3"/>
        </w:rPr>
        <w:t> </w:t>
      </w:r>
      <w:r>
        <w:rPr/>
        <w:t>2011).</w:t>
      </w:r>
      <w:r>
        <w:rPr>
          <w:spacing w:val="-3"/>
        </w:rPr>
        <w:t> </w:t>
      </w:r>
      <w:r>
        <w:rPr/>
        <w:t>This</w:t>
      </w:r>
      <w:r>
        <w:rPr>
          <w:spacing w:val="-3"/>
        </w:rPr>
        <w:t> </w:t>
      </w:r>
      <w:r>
        <w:rPr/>
        <w:t>is</w:t>
      </w:r>
      <w:r>
        <w:rPr>
          <w:spacing w:val="-3"/>
        </w:rPr>
        <w:t> </w:t>
      </w:r>
      <w:r>
        <w:rPr/>
        <w:t>because</w:t>
      </w:r>
      <w:r>
        <w:rPr>
          <w:spacing w:val="-2"/>
        </w:rPr>
        <w:t> </w:t>
      </w:r>
      <w:r>
        <w:rPr/>
        <w:t>women</w:t>
      </w:r>
      <w:r>
        <w:rPr>
          <w:spacing w:val="-2"/>
        </w:rPr>
        <w:t> </w:t>
      </w:r>
      <w:r>
        <w:rPr/>
        <w:t>and</w:t>
      </w:r>
      <w:r>
        <w:rPr>
          <w:spacing w:val="-3"/>
        </w:rPr>
        <w:t> </w:t>
      </w:r>
      <w:r>
        <w:rPr/>
        <w:t>their</w:t>
      </w:r>
      <w:r>
        <w:rPr>
          <w:spacing w:val="-4"/>
        </w:rPr>
        <w:t> </w:t>
      </w:r>
      <w:r>
        <w:rPr/>
        <w:t>daughters</w:t>
      </w:r>
      <w:r>
        <w:rPr>
          <w:spacing w:val="-3"/>
        </w:rPr>
        <w:t> </w:t>
      </w:r>
      <w:r>
        <w:rPr/>
        <w:t>often</w:t>
      </w:r>
      <w:r>
        <w:rPr>
          <w:spacing w:val="-3"/>
        </w:rPr>
        <w:t> </w:t>
      </w:r>
      <w:r>
        <w:rPr/>
        <w:t>do</w:t>
      </w:r>
      <w:r>
        <w:rPr>
          <w:spacing w:val="-3"/>
        </w:rPr>
        <w:t> </w:t>
      </w:r>
      <w:r>
        <w:rPr/>
        <w:t>the</w:t>
      </w:r>
    </w:p>
    <w:p>
      <w:pPr>
        <w:spacing w:after="0" w:line="480" w:lineRule="auto"/>
        <w:sectPr>
          <w:pgSz w:w="11910" w:h="16840"/>
          <w:pgMar w:header="0" w:footer="1012" w:top="1620" w:bottom="1200" w:left="1680" w:right="1240"/>
        </w:sectPr>
      </w:pPr>
    </w:p>
    <w:p>
      <w:pPr>
        <w:pStyle w:val="BodyText"/>
        <w:spacing w:line="480" w:lineRule="auto" w:before="62"/>
        <w:ind w:left="588" w:right="215"/>
      </w:pPr>
      <w:r>
        <w:rPr/>
        <w:t>cooking in the house (Fig. 2), which exposes them to smoke from burning biomass. In Bengal, India, about 50% of women use biomass fuel to cook at least once a day, and about 65% of the women spend two to three hours cooking every day (Chakaraboty,</w:t>
      </w:r>
      <w:r>
        <w:rPr>
          <w:spacing w:val="-3"/>
        </w:rPr>
        <w:t> </w:t>
      </w:r>
      <w:r>
        <w:rPr/>
        <w:t>Mondal,</w:t>
      </w:r>
      <w:r>
        <w:rPr>
          <w:spacing w:val="-3"/>
        </w:rPr>
        <w:t> </w:t>
      </w:r>
      <w:r>
        <w:rPr/>
        <w:t>&amp;</w:t>
      </w:r>
      <w:r>
        <w:rPr>
          <w:spacing w:val="-5"/>
        </w:rPr>
        <w:t> </w:t>
      </w:r>
      <w:r>
        <w:rPr/>
        <w:t>Datta,</w:t>
      </w:r>
      <w:r>
        <w:rPr>
          <w:spacing w:val="-3"/>
        </w:rPr>
        <w:t> </w:t>
      </w:r>
      <w:r>
        <w:rPr/>
        <w:t>2004).</w:t>
      </w:r>
      <w:r>
        <w:rPr>
          <w:spacing w:val="-3"/>
        </w:rPr>
        <w:t> </w:t>
      </w:r>
      <w:r>
        <w:rPr/>
        <w:t>The</w:t>
      </w:r>
      <w:r>
        <w:rPr>
          <w:spacing w:val="-4"/>
        </w:rPr>
        <w:t> </w:t>
      </w:r>
      <w:r>
        <w:rPr/>
        <w:t>same</w:t>
      </w:r>
      <w:r>
        <w:rPr>
          <w:spacing w:val="-4"/>
        </w:rPr>
        <w:t> </w:t>
      </w:r>
      <w:r>
        <w:rPr/>
        <w:t>study</w:t>
      </w:r>
      <w:r>
        <w:rPr>
          <w:spacing w:val="-8"/>
        </w:rPr>
        <w:t> </w:t>
      </w:r>
      <w:r>
        <w:rPr/>
        <w:t>reported</w:t>
      </w:r>
      <w:r>
        <w:rPr>
          <w:spacing w:val="-3"/>
        </w:rPr>
        <w:t> </w:t>
      </w:r>
      <w:r>
        <w:rPr/>
        <w:t>that</w:t>
      </w:r>
      <w:r>
        <w:rPr>
          <w:spacing w:val="-3"/>
        </w:rPr>
        <w:t> </w:t>
      </w:r>
      <w:r>
        <w:rPr/>
        <w:t>70%</w:t>
      </w:r>
      <w:r>
        <w:rPr>
          <w:spacing w:val="-4"/>
        </w:rPr>
        <w:t> </w:t>
      </w:r>
      <w:r>
        <w:rPr/>
        <w:t>of</w:t>
      </w:r>
      <w:r>
        <w:rPr>
          <w:spacing w:val="-3"/>
        </w:rPr>
        <w:t> </w:t>
      </w:r>
      <w:r>
        <w:rPr/>
        <w:t>women cook in the same room in which they sleep. Women who cook with solid fuels (e.g. biomass and charcoal) are three times more likely to acquire chronic respiratory diseases than those who cook with gas and electricity (WHO, 2012). IAP increases respiratory illness such as pneumonia, especially in young children under 5 years of age (Fullerton, Bruce, &amp; Gordon, 2008). More than 75% of children die every year due to IAP in Africa (WHO, 2012).</w:t>
      </w:r>
    </w:p>
    <w:p>
      <w:pPr>
        <w:pStyle w:val="BodyText"/>
      </w:pPr>
    </w:p>
    <w:p>
      <w:pPr>
        <w:pStyle w:val="BodyText"/>
        <w:spacing w:before="1"/>
      </w:pPr>
    </w:p>
    <w:p>
      <w:pPr>
        <w:pStyle w:val="BodyText"/>
        <w:spacing w:line="480" w:lineRule="auto" w:before="1"/>
        <w:ind w:left="588" w:right="215"/>
      </w:pPr>
      <w:r>
        <w:rPr/>
        <w:t>Aside from women and young children, elderly people; pregnant women; fetuses; infants; and people with anemia, cardiovascular, or pulmonary diseases are particularly vulnerable and susceptible to the effects of pollutants emitted from biomass combustion indoors. In one study, adults who are 45 years above were diagnosed,</w:t>
      </w:r>
      <w:r>
        <w:rPr>
          <w:spacing w:val="-3"/>
        </w:rPr>
        <w:t> </w:t>
      </w:r>
      <w:r>
        <w:rPr/>
        <w:t>and</w:t>
      </w:r>
      <w:r>
        <w:rPr>
          <w:spacing w:val="-3"/>
        </w:rPr>
        <w:t> </w:t>
      </w:r>
      <w:r>
        <w:rPr/>
        <w:t>20%</w:t>
      </w:r>
      <w:r>
        <w:rPr>
          <w:spacing w:val="-4"/>
        </w:rPr>
        <w:t> </w:t>
      </w:r>
      <w:r>
        <w:rPr/>
        <w:t>of</w:t>
      </w:r>
      <w:r>
        <w:rPr>
          <w:spacing w:val="-3"/>
        </w:rPr>
        <w:t> </w:t>
      </w:r>
      <w:r>
        <w:rPr/>
        <w:t>men</w:t>
      </w:r>
      <w:r>
        <w:rPr>
          <w:spacing w:val="-3"/>
        </w:rPr>
        <w:t> </w:t>
      </w:r>
      <w:r>
        <w:rPr/>
        <w:t>and</w:t>
      </w:r>
      <w:r>
        <w:rPr>
          <w:spacing w:val="-3"/>
        </w:rPr>
        <w:t> </w:t>
      </w:r>
      <w:r>
        <w:rPr/>
        <w:t>10%</w:t>
      </w:r>
      <w:r>
        <w:rPr>
          <w:spacing w:val="-4"/>
        </w:rPr>
        <w:t> </w:t>
      </w:r>
      <w:r>
        <w:rPr/>
        <w:t>of</w:t>
      </w:r>
      <w:r>
        <w:rPr>
          <w:spacing w:val="-2"/>
        </w:rPr>
        <w:t> </w:t>
      </w:r>
      <w:r>
        <w:rPr/>
        <w:t>women</w:t>
      </w:r>
      <w:r>
        <w:rPr>
          <w:spacing w:val="-2"/>
        </w:rPr>
        <w:t> </w:t>
      </w:r>
      <w:r>
        <w:rPr/>
        <w:t>were</w:t>
      </w:r>
      <w:r>
        <w:rPr>
          <w:spacing w:val="-5"/>
        </w:rPr>
        <w:t> </w:t>
      </w:r>
      <w:r>
        <w:rPr/>
        <w:t>at</w:t>
      </w:r>
      <w:r>
        <w:rPr>
          <w:spacing w:val="-1"/>
        </w:rPr>
        <w:t> </w:t>
      </w:r>
      <w:r>
        <w:rPr/>
        <w:t>risk</w:t>
      </w:r>
      <w:r>
        <w:rPr>
          <w:spacing w:val="-3"/>
        </w:rPr>
        <w:t> </w:t>
      </w:r>
      <w:r>
        <w:rPr/>
        <w:t>having</w:t>
      </w:r>
      <w:r>
        <w:rPr>
          <w:spacing w:val="-3"/>
        </w:rPr>
        <w:t> </w:t>
      </w:r>
      <w:r>
        <w:rPr/>
        <w:t>an</w:t>
      </w:r>
      <w:r>
        <w:rPr>
          <w:spacing w:val="-3"/>
        </w:rPr>
        <w:t> </w:t>
      </w:r>
      <w:r>
        <w:rPr/>
        <w:t>obstructive</w:t>
      </w:r>
      <w:r>
        <w:rPr>
          <w:spacing w:val="-4"/>
        </w:rPr>
        <w:t> </w:t>
      </w:r>
      <w:r>
        <w:rPr/>
        <w:t>or restrictive lung disease. (Baumgartner, et al., 2011).</w:t>
      </w:r>
    </w:p>
    <w:p>
      <w:pPr>
        <w:pStyle w:val="BodyText"/>
        <w:spacing w:before="274"/>
      </w:pPr>
    </w:p>
    <w:p>
      <w:pPr>
        <w:spacing w:before="0"/>
        <w:ind w:left="588" w:right="0" w:firstLine="0"/>
        <w:jc w:val="left"/>
        <w:rPr>
          <w:i/>
          <w:sz w:val="24"/>
        </w:rPr>
      </w:pPr>
      <w:r>
        <w:rPr>
          <w:i/>
          <w:sz w:val="24"/>
        </w:rPr>
        <w:t>Incomplete</w:t>
      </w:r>
      <w:r>
        <w:rPr>
          <w:i/>
          <w:spacing w:val="-1"/>
          <w:sz w:val="24"/>
        </w:rPr>
        <w:t> </w:t>
      </w:r>
      <w:r>
        <w:rPr>
          <w:i/>
          <w:sz w:val="24"/>
        </w:rPr>
        <w:t>combustion</w:t>
      </w:r>
      <w:r>
        <w:rPr>
          <w:i/>
          <w:spacing w:val="-1"/>
          <w:sz w:val="24"/>
        </w:rPr>
        <w:t> </w:t>
      </w:r>
      <w:r>
        <w:rPr>
          <w:i/>
          <w:sz w:val="24"/>
        </w:rPr>
        <w:t>and</w:t>
      </w:r>
      <w:r>
        <w:rPr>
          <w:i/>
          <w:spacing w:val="-1"/>
          <w:sz w:val="24"/>
        </w:rPr>
        <w:t> </w:t>
      </w:r>
      <w:r>
        <w:rPr>
          <w:i/>
          <w:spacing w:val="-2"/>
          <w:sz w:val="24"/>
        </w:rPr>
        <w:t>pollutants</w:t>
      </w:r>
    </w:p>
    <w:p>
      <w:pPr>
        <w:pStyle w:val="BodyText"/>
        <w:rPr>
          <w:i/>
        </w:rPr>
      </w:pPr>
    </w:p>
    <w:p>
      <w:pPr>
        <w:pStyle w:val="BodyText"/>
        <w:spacing w:line="480" w:lineRule="auto" w:before="1"/>
        <w:ind w:left="588" w:right="396"/>
      </w:pPr>
      <w:r>
        <w:rPr/>
        <w:t>Although many pollutants are released when biomass is burned, carbon monoxide (CO)</w:t>
      </w:r>
      <w:r>
        <w:rPr>
          <w:spacing w:val="-2"/>
        </w:rPr>
        <w:t> </w:t>
      </w:r>
      <w:r>
        <w:rPr/>
        <w:t>and particulate matter</w:t>
      </w:r>
      <w:r>
        <w:rPr>
          <w:spacing w:val="-2"/>
        </w:rPr>
        <w:t> </w:t>
      </w:r>
      <w:r>
        <w:rPr/>
        <w:t>are</w:t>
      </w:r>
      <w:r>
        <w:rPr>
          <w:spacing w:val="-1"/>
        </w:rPr>
        <w:t> </w:t>
      </w:r>
      <w:r>
        <w:rPr/>
        <w:t>the</w:t>
      </w:r>
      <w:r>
        <w:rPr>
          <w:spacing w:val="-1"/>
        </w:rPr>
        <w:t> </w:t>
      </w:r>
      <w:r>
        <w:rPr/>
        <w:t>key</w:t>
      </w:r>
      <w:r>
        <w:rPr>
          <w:spacing w:val="-5"/>
        </w:rPr>
        <w:t> </w:t>
      </w:r>
      <w:r>
        <w:rPr/>
        <w:t>pollutants that are</w:t>
      </w:r>
      <w:r>
        <w:rPr>
          <w:spacing w:val="-2"/>
        </w:rPr>
        <w:t> </w:t>
      </w:r>
      <w:r>
        <w:rPr/>
        <w:t>tested for</w:t>
      </w:r>
      <w:r>
        <w:rPr>
          <w:spacing w:val="-2"/>
        </w:rPr>
        <w:t> </w:t>
      </w:r>
      <w:r>
        <w:rPr/>
        <w:t>and monitored due</w:t>
      </w:r>
      <w:r>
        <w:rPr>
          <w:spacing w:val="-4"/>
        </w:rPr>
        <w:t> </w:t>
      </w:r>
      <w:r>
        <w:rPr/>
        <w:t>to</w:t>
      </w:r>
      <w:r>
        <w:rPr>
          <w:spacing w:val="-3"/>
        </w:rPr>
        <w:t> </w:t>
      </w:r>
      <w:r>
        <w:rPr/>
        <w:t>the</w:t>
      </w:r>
      <w:r>
        <w:rPr>
          <w:spacing w:val="-3"/>
        </w:rPr>
        <w:t> </w:t>
      </w:r>
      <w:r>
        <w:rPr/>
        <w:t>level</w:t>
      </w:r>
      <w:r>
        <w:rPr>
          <w:spacing w:val="-3"/>
        </w:rPr>
        <w:t> </w:t>
      </w:r>
      <w:r>
        <w:rPr/>
        <w:t>of</w:t>
      </w:r>
      <w:r>
        <w:rPr>
          <w:spacing w:val="-3"/>
        </w:rPr>
        <w:t> </w:t>
      </w:r>
      <w:r>
        <w:rPr/>
        <w:t>indoor</w:t>
      </w:r>
      <w:r>
        <w:rPr>
          <w:spacing w:val="-1"/>
        </w:rPr>
        <w:t> </w:t>
      </w:r>
      <w:r>
        <w:rPr/>
        <w:t>air</w:t>
      </w:r>
      <w:r>
        <w:rPr>
          <w:spacing w:val="-4"/>
        </w:rPr>
        <w:t> </w:t>
      </w:r>
      <w:r>
        <w:rPr/>
        <w:t>pollution</w:t>
      </w:r>
      <w:r>
        <w:rPr>
          <w:spacing w:val="-3"/>
        </w:rPr>
        <w:t> </w:t>
      </w:r>
      <w:r>
        <w:rPr/>
        <w:t>they</w:t>
      </w:r>
      <w:r>
        <w:rPr>
          <w:spacing w:val="-8"/>
        </w:rPr>
        <w:t> </w:t>
      </w:r>
      <w:r>
        <w:rPr/>
        <w:t>cause</w:t>
      </w:r>
      <w:r>
        <w:rPr>
          <w:spacing w:val="-2"/>
        </w:rPr>
        <w:t> </w:t>
      </w:r>
      <w:r>
        <w:rPr/>
        <w:t>and</w:t>
      </w:r>
      <w:r>
        <w:rPr>
          <w:spacing w:val="-3"/>
        </w:rPr>
        <w:t> </w:t>
      </w:r>
      <w:r>
        <w:rPr/>
        <w:t>their</w:t>
      </w:r>
      <w:r>
        <w:rPr>
          <w:spacing w:val="-4"/>
        </w:rPr>
        <w:t> </w:t>
      </w:r>
      <w:r>
        <w:rPr/>
        <w:t>potential</w:t>
      </w:r>
      <w:r>
        <w:rPr>
          <w:spacing w:val="-3"/>
        </w:rPr>
        <w:t> </w:t>
      </w:r>
      <w:r>
        <w:rPr/>
        <w:t>health</w:t>
      </w:r>
      <w:r>
        <w:rPr>
          <w:spacing w:val="-1"/>
        </w:rPr>
        <w:t> </w:t>
      </w:r>
      <w:r>
        <w:rPr/>
        <w:t>impacts (WHO, 2012). Both are</w:t>
      </w:r>
      <w:r>
        <w:rPr>
          <w:spacing w:val="-2"/>
        </w:rPr>
        <w:t> </w:t>
      </w:r>
      <w:r>
        <w:rPr/>
        <w:t>emitted as a</w:t>
      </w:r>
      <w:r>
        <w:rPr>
          <w:spacing w:val="-1"/>
        </w:rPr>
        <w:t> </w:t>
      </w:r>
      <w:r>
        <w:rPr/>
        <w:t>result of incomplete combustion of</w:t>
      </w:r>
      <w:r>
        <w:rPr>
          <w:spacing w:val="-1"/>
        </w:rPr>
        <w:t> </w:t>
      </w:r>
      <w:r>
        <w:rPr/>
        <w:t>solid fuels such as wood.</w:t>
      </w:r>
    </w:p>
    <w:p>
      <w:pPr>
        <w:spacing w:after="0" w:line="480" w:lineRule="auto"/>
        <w:sectPr>
          <w:pgSz w:w="11910" w:h="16840"/>
          <w:pgMar w:header="0" w:footer="1012" w:top="1620" w:bottom="1200" w:left="1680" w:right="1240"/>
        </w:sectPr>
      </w:pPr>
    </w:p>
    <w:p>
      <w:pPr>
        <w:pStyle w:val="BodyText"/>
        <w:ind w:left="588"/>
        <w:rPr>
          <w:sz w:val="20"/>
        </w:rPr>
      </w:pPr>
      <w:r>
        <w:rPr>
          <w:sz w:val="20"/>
        </w:rPr>
        <w:drawing>
          <wp:inline distT="0" distB="0" distL="0" distR="0">
            <wp:extent cx="5206075" cy="4500562"/>
            <wp:effectExtent l="0" t="0" r="0" b="0"/>
            <wp:docPr id="12" name="Image 12"/>
            <wp:cNvGraphicFramePr>
              <a:graphicFrameLocks/>
            </wp:cNvGraphicFramePr>
            <a:graphic>
              <a:graphicData uri="http://schemas.openxmlformats.org/drawingml/2006/picture">
                <pic:pic>
                  <pic:nvPicPr>
                    <pic:cNvPr id="12" name="Image 12"/>
                    <pic:cNvPicPr/>
                  </pic:nvPicPr>
                  <pic:blipFill>
                    <a:blip r:embed="rId8" cstate="print"/>
                    <a:stretch>
                      <a:fillRect/>
                    </a:stretch>
                  </pic:blipFill>
                  <pic:spPr>
                    <a:xfrm>
                      <a:off x="0" y="0"/>
                      <a:ext cx="5206075" cy="4500562"/>
                    </a:xfrm>
                    <a:prstGeom prst="rect">
                      <a:avLst/>
                    </a:prstGeom>
                  </pic:spPr>
                </pic:pic>
              </a:graphicData>
            </a:graphic>
          </wp:inline>
        </w:drawing>
      </w:r>
      <w:r>
        <w:rPr>
          <w:sz w:val="20"/>
        </w:rPr>
      </w:r>
    </w:p>
    <w:p>
      <w:pPr>
        <w:spacing w:before="252"/>
        <w:ind w:left="588" w:right="257" w:firstLine="0"/>
        <w:jc w:val="left"/>
        <w:rPr>
          <w:rFonts w:ascii="Calibri"/>
          <w:sz w:val="22"/>
        </w:rPr>
      </w:pPr>
      <w:r>
        <w:rPr>
          <w:rFonts w:ascii="Calibri"/>
          <w:b/>
          <w:sz w:val="22"/>
        </w:rPr>
        <w:t>Fig.</w:t>
      </w:r>
      <w:r>
        <w:rPr>
          <w:rFonts w:ascii="Calibri"/>
          <w:b/>
          <w:spacing w:val="-3"/>
          <w:sz w:val="22"/>
        </w:rPr>
        <w:t> </w:t>
      </w:r>
      <w:r>
        <w:rPr>
          <w:rFonts w:ascii="Calibri"/>
          <w:b/>
          <w:sz w:val="22"/>
        </w:rPr>
        <w:t>2.</w:t>
      </w:r>
      <w:r>
        <w:rPr>
          <w:rFonts w:ascii="Calibri"/>
          <w:b/>
          <w:spacing w:val="-3"/>
          <w:sz w:val="22"/>
        </w:rPr>
        <w:t> </w:t>
      </w:r>
      <w:r>
        <w:rPr>
          <w:rFonts w:ascii="Calibri"/>
          <w:sz w:val="22"/>
        </w:rPr>
        <w:t>Woman</w:t>
      </w:r>
      <w:r>
        <w:rPr>
          <w:rFonts w:ascii="Calibri"/>
          <w:spacing w:val="-3"/>
          <w:sz w:val="22"/>
        </w:rPr>
        <w:t> </w:t>
      </w:r>
      <w:r>
        <w:rPr>
          <w:rFonts w:ascii="Calibri"/>
          <w:sz w:val="22"/>
        </w:rPr>
        <w:t>in</w:t>
      </w:r>
      <w:r>
        <w:rPr>
          <w:rFonts w:ascii="Calibri"/>
          <w:spacing w:val="-2"/>
          <w:sz w:val="22"/>
        </w:rPr>
        <w:t> </w:t>
      </w:r>
      <w:r>
        <w:rPr>
          <w:rFonts w:ascii="Calibri"/>
          <w:sz w:val="22"/>
        </w:rPr>
        <w:t>Bole</w:t>
      </w:r>
      <w:r>
        <w:rPr>
          <w:rFonts w:ascii="Calibri"/>
          <w:spacing w:val="-5"/>
          <w:sz w:val="22"/>
        </w:rPr>
        <w:t> </w:t>
      </w:r>
      <w:r>
        <w:rPr>
          <w:rFonts w:ascii="Calibri"/>
          <w:sz w:val="22"/>
        </w:rPr>
        <w:t>Community,</w:t>
      </w:r>
      <w:r>
        <w:rPr>
          <w:rFonts w:ascii="Calibri"/>
          <w:spacing w:val="-5"/>
          <w:sz w:val="22"/>
        </w:rPr>
        <w:t> </w:t>
      </w:r>
      <w:r>
        <w:rPr>
          <w:rFonts w:ascii="Calibri"/>
          <w:sz w:val="22"/>
        </w:rPr>
        <w:t>Adamawa</w:t>
      </w:r>
      <w:r>
        <w:rPr>
          <w:rFonts w:ascii="Calibri"/>
          <w:spacing w:val="-2"/>
          <w:sz w:val="22"/>
        </w:rPr>
        <w:t> </w:t>
      </w:r>
      <w:r>
        <w:rPr>
          <w:rFonts w:ascii="Calibri"/>
          <w:sz w:val="22"/>
        </w:rPr>
        <w:t>Northeastern</w:t>
      </w:r>
      <w:r>
        <w:rPr>
          <w:rFonts w:ascii="Calibri"/>
          <w:spacing w:val="-3"/>
          <w:sz w:val="22"/>
        </w:rPr>
        <w:t> </w:t>
      </w:r>
      <w:r>
        <w:rPr>
          <w:rFonts w:ascii="Calibri"/>
          <w:sz w:val="22"/>
        </w:rPr>
        <w:t>Nigeria</w:t>
      </w:r>
      <w:r>
        <w:rPr>
          <w:rFonts w:ascii="Calibri"/>
          <w:spacing w:val="-5"/>
          <w:sz w:val="22"/>
        </w:rPr>
        <w:t> </w:t>
      </w:r>
      <w:r>
        <w:rPr>
          <w:rFonts w:ascii="Calibri"/>
          <w:sz w:val="22"/>
        </w:rPr>
        <w:t>cooking</w:t>
      </w:r>
      <w:r>
        <w:rPr>
          <w:rFonts w:ascii="Calibri"/>
          <w:spacing w:val="-5"/>
          <w:sz w:val="22"/>
        </w:rPr>
        <w:t> </w:t>
      </w:r>
      <w:r>
        <w:rPr>
          <w:rFonts w:ascii="Calibri"/>
          <w:sz w:val="22"/>
        </w:rPr>
        <w:t>with</w:t>
      </w:r>
      <w:r>
        <w:rPr>
          <w:rFonts w:ascii="Calibri"/>
          <w:spacing w:val="-4"/>
          <w:sz w:val="22"/>
        </w:rPr>
        <w:t> </w:t>
      </w:r>
      <w:r>
        <w:rPr>
          <w:rFonts w:ascii="Calibri"/>
          <w:sz w:val="22"/>
        </w:rPr>
        <w:t>an</w:t>
      </w:r>
      <w:r>
        <w:rPr>
          <w:rFonts w:ascii="Calibri"/>
          <w:spacing w:val="-3"/>
          <w:sz w:val="22"/>
        </w:rPr>
        <w:t> </w:t>
      </w:r>
      <w:r>
        <w:rPr>
          <w:rFonts w:ascii="Calibri"/>
          <w:sz w:val="22"/>
        </w:rPr>
        <w:t>open fire stove </w:t>
      </w:r>
      <w:r>
        <w:rPr>
          <w:rFonts w:ascii="Calibri"/>
          <w:i/>
          <w:sz w:val="20"/>
        </w:rPr>
        <w:t>(Credit: Lynne R. Baker)</w:t>
      </w:r>
      <w:r>
        <w:rPr>
          <w:rFonts w:ascii="Calibri"/>
          <w:sz w:val="22"/>
        </w:rPr>
        <w:t>.</w:t>
      </w:r>
    </w:p>
    <w:p>
      <w:pPr>
        <w:pStyle w:val="BodyText"/>
        <w:rPr>
          <w:rFonts w:ascii="Calibri"/>
          <w:sz w:val="22"/>
        </w:rPr>
      </w:pPr>
    </w:p>
    <w:p>
      <w:pPr>
        <w:pStyle w:val="BodyText"/>
        <w:rPr>
          <w:rFonts w:ascii="Calibri"/>
          <w:sz w:val="22"/>
        </w:rPr>
      </w:pPr>
    </w:p>
    <w:p>
      <w:pPr>
        <w:pStyle w:val="BodyText"/>
        <w:rPr>
          <w:rFonts w:ascii="Calibri"/>
          <w:sz w:val="22"/>
        </w:rPr>
      </w:pPr>
    </w:p>
    <w:p>
      <w:pPr>
        <w:pStyle w:val="BodyText"/>
        <w:spacing w:before="27"/>
        <w:rPr>
          <w:rFonts w:ascii="Calibri"/>
          <w:sz w:val="22"/>
        </w:rPr>
      </w:pPr>
    </w:p>
    <w:p>
      <w:pPr>
        <w:pStyle w:val="BodyText"/>
        <w:spacing w:line="480" w:lineRule="auto"/>
        <w:ind w:left="588" w:right="257"/>
      </w:pPr>
      <w:r>
        <w:rPr/>
        <w:t>Incomplete combustion occurs when there is partial burning of wood due to insufficient oxygen or low temperatures. Complete combustion of produces only water</w:t>
      </w:r>
      <w:r>
        <w:rPr>
          <w:spacing w:val="-5"/>
        </w:rPr>
        <w:t> </w:t>
      </w:r>
      <w:r>
        <w:rPr/>
        <w:t>and</w:t>
      </w:r>
      <w:r>
        <w:rPr>
          <w:spacing w:val="-1"/>
        </w:rPr>
        <w:t> </w:t>
      </w:r>
      <w:r>
        <w:rPr/>
        <w:t>carbon</w:t>
      </w:r>
      <w:r>
        <w:rPr>
          <w:spacing w:val="-4"/>
        </w:rPr>
        <w:t> </w:t>
      </w:r>
      <w:r>
        <w:rPr/>
        <w:t>dioxide</w:t>
      </w:r>
      <w:r>
        <w:rPr>
          <w:spacing w:val="-3"/>
        </w:rPr>
        <w:t> </w:t>
      </w:r>
      <w:r>
        <w:rPr/>
        <w:t>as</w:t>
      </w:r>
      <w:r>
        <w:rPr>
          <w:spacing w:val="-3"/>
        </w:rPr>
        <w:t> </w:t>
      </w:r>
      <w:r>
        <w:rPr/>
        <w:t>byproducts,</w:t>
      </w:r>
      <w:r>
        <w:rPr>
          <w:spacing w:val="-4"/>
        </w:rPr>
        <w:t> </w:t>
      </w:r>
      <w:r>
        <w:rPr/>
        <w:t>but</w:t>
      </w:r>
      <w:r>
        <w:rPr>
          <w:spacing w:val="-3"/>
        </w:rPr>
        <w:t> </w:t>
      </w:r>
      <w:r>
        <w:rPr/>
        <w:t>in</w:t>
      </w:r>
      <w:r>
        <w:rPr>
          <w:spacing w:val="-3"/>
        </w:rPr>
        <w:t> </w:t>
      </w:r>
      <w:r>
        <w:rPr/>
        <w:t>the</w:t>
      </w:r>
      <w:r>
        <w:rPr>
          <w:spacing w:val="-4"/>
        </w:rPr>
        <w:t> </w:t>
      </w:r>
      <w:r>
        <w:rPr/>
        <w:t>case</w:t>
      </w:r>
      <w:r>
        <w:rPr>
          <w:spacing w:val="-4"/>
        </w:rPr>
        <w:t> </w:t>
      </w:r>
      <w:r>
        <w:rPr/>
        <w:t>of</w:t>
      </w:r>
      <w:r>
        <w:rPr>
          <w:spacing w:val="-3"/>
        </w:rPr>
        <w:t> </w:t>
      </w:r>
      <w:r>
        <w:rPr/>
        <w:t>incomplete</w:t>
      </w:r>
      <w:r>
        <w:rPr>
          <w:spacing w:val="-3"/>
        </w:rPr>
        <w:t> </w:t>
      </w:r>
      <w:r>
        <w:rPr/>
        <w:t>combustion, CO is also released (Fig. 3). Other pollutants caused by incomplete combustion </w:t>
      </w:r>
      <w:r>
        <w:rPr>
          <w:position w:val="2"/>
        </w:rPr>
        <w:t>include</w:t>
      </w:r>
      <w:r>
        <w:rPr>
          <w:spacing w:val="-6"/>
          <w:position w:val="2"/>
        </w:rPr>
        <w:t> </w:t>
      </w:r>
      <w:r>
        <w:rPr>
          <w:position w:val="2"/>
        </w:rPr>
        <w:t>particulate</w:t>
      </w:r>
      <w:r>
        <w:rPr>
          <w:spacing w:val="-6"/>
          <w:position w:val="2"/>
        </w:rPr>
        <w:t> </w:t>
      </w:r>
      <w:r>
        <w:rPr>
          <w:position w:val="2"/>
        </w:rPr>
        <w:t>matter,</w:t>
      </w:r>
      <w:r>
        <w:rPr>
          <w:spacing w:val="-4"/>
          <w:position w:val="2"/>
        </w:rPr>
        <w:t> </w:t>
      </w:r>
      <w:r>
        <w:rPr>
          <w:position w:val="2"/>
        </w:rPr>
        <w:t>NO</w:t>
      </w:r>
      <w:r>
        <w:rPr>
          <w:sz w:val="16"/>
        </w:rPr>
        <w:t>2</w:t>
      </w:r>
      <w:r>
        <w:rPr>
          <w:position w:val="2"/>
        </w:rPr>
        <w:t>,</w:t>
      </w:r>
      <w:r>
        <w:rPr>
          <w:spacing w:val="-5"/>
          <w:position w:val="2"/>
        </w:rPr>
        <w:t> </w:t>
      </w:r>
      <w:r>
        <w:rPr>
          <w:position w:val="2"/>
        </w:rPr>
        <w:t>formaldehyde,</w:t>
      </w:r>
      <w:r>
        <w:rPr>
          <w:spacing w:val="-3"/>
          <w:position w:val="2"/>
        </w:rPr>
        <w:t> </w:t>
      </w:r>
      <w:r>
        <w:rPr>
          <w:position w:val="2"/>
        </w:rPr>
        <w:t>acrolein,</w:t>
      </w:r>
      <w:r>
        <w:rPr>
          <w:spacing w:val="-5"/>
          <w:position w:val="2"/>
        </w:rPr>
        <w:t> </w:t>
      </w:r>
      <w:r>
        <w:rPr>
          <w:position w:val="2"/>
        </w:rPr>
        <w:t>benzene,</w:t>
      </w:r>
      <w:r>
        <w:rPr>
          <w:spacing w:val="-5"/>
          <w:position w:val="2"/>
        </w:rPr>
        <w:t> </w:t>
      </w:r>
      <w:r>
        <w:rPr>
          <w:position w:val="2"/>
        </w:rPr>
        <w:t>toluene,</w:t>
      </w:r>
      <w:r>
        <w:rPr>
          <w:spacing w:val="-5"/>
          <w:position w:val="2"/>
        </w:rPr>
        <w:t> </w:t>
      </w:r>
      <w:r>
        <w:rPr>
          <w:position w:val="2"/>
        </w:rPr>
        <w:t>styrene, </w:t>
      </w:r>
      <w:r>
        <w:rPr/>
        <w:t>and 1,3 butadiene (WHO, 2016).</w:t>
      </w:r>
    </w:p>
    <w:p>
      <w:pPr>
        <w:spacing w:after="0" w:line="480" w:lineRule="auto"/>
        <w:sectPr>
          <w:pgSz w:w="11910" w:h="16840"/>
          <w:pgMar w:header="0" w:footer="1012" w:top="1700" w:bottom="1200" w:left="1680" w:right="1240"/>
        </w:sectPr>
      </w:pPr>
    </w:p>
    <w:p>
      <w:pPr>
        <w:pStyle w:val="BodyText"/>
        <w:ind w:left="633"/>
        <w:rPr>
          <w:sz w:val="20"/>
        </w:rPr>
      </w:pPr>
      <w:r>
        <w:rPr>
          <w:sz w:val="20"/>
        </w:rPr>
        <w:drawing>
          <wp:inline distT="0" distB="0" distL="0" distR="0">
            <wp:extent cx="5154436" cy="3333750"/>
            <wp:effectExtent l="0" t="0" r="0" b="0"/>
            <wp:docPr id="13" name="Image 13"/>
            <wp:cNvGraphicFramePr>
              <a:graphicFrameLocks/>
            </wp:cNvGraphicFramePr>
            <a:graphic>
              <a:graphicData uri="http://schemas.openxmlformats.org/drawingml/2006/picture">
                <pic:pic>
                  <pic:nvPicPr>
                    <pic:cNvPr id="13" name="Image 13"/>
                    <pic:cNvPicPr/>
                  </pic:nvPicPr>
                  <pic:blipFill>
                    <a:blip r:embed="rId9" cstate="print"/>
                    <a:stretch>
                      <a:fillRect/>
                    </a:stretch>
                  </pic:blipFill>
                  <pic:spPr>
                    <a:xfrm>
                      <a:off x="0" y="0"/>
                      <a:ext cx="5154436" cy="3333750"/>
                    </a:xfrm>
                    <a:prstGeom prst="rect">
                      <a:avLst/>
                    </a:prstGeom>
                  </pic:spPr>
                </pic:pic>
              </a:graphicData>
            </a:graphic>
          </wp:inline>
        </w:drawing>
      </w:r>
      <w:r>
        <w:rPr>
          <w:sz w:val="20"/>
        </w:rPr>
      </w:r>
    </w:p>
    <w:p>
      <w:pPr>
        <w:spacing w:before="86"/>
        <w:ind w:left="643" w:right="0" w:firstLine="0"/>
        <w:jc w:val="left"/>
        <w:rPr>
          <w:rFonts w:ascii="Calibri"/>
          <w:sz w:val="22"/>
        </w:rPr>
      </w:pPr>
      <w:r>
        <w:rPr>
          <w:rFonts w:ascii="Calibri"/>
          <w:b/>
          <w:sz w:val="22"/>
        </w:rPr>
        <w:t>Fig.</w:t>
      </w:r>
      <w:r>
        <w:rPr>
          <w:rFonts w:ascii="Calibri"/>
          <w:b/>
          <w:spacing w:val="-7"/>
          <w:sz w:val="22"/>
        </w:rPr>
        <w:t> </w:t>
      </w:r>
      <w:r>
        <w:rPr>
          <w:rFonts w:ascii="Calibri"/>
          <w:b/>
          <w:sz w:val="22"/>
        </w:rPr>
        <w:t>3.</w:t>
      </w:r>
      <w:r>
        <w:rPr>
          <w:rFonts w:ascii="Calibri"/>
          <w:b/>
          <w:spacing w:val="-5"/>
          <w:sz w:val="22"/>
        </w:rPr>
        <w:t> </w:t>
      </w:r>
      <w:r>
        <w:rPr>
          <w:rFonts w:ascii="Calibri"/>
          <w:sz w:val="22"/>
        </w:rPr>
        <w:t>Process</w:t>
      </w:r>
      <w:r>
        <w:rPr>
          <w:rFonts w:ascii="Calibri"/>
          <w:spacing w:val="-6"/>
          <w:sz w:val="22"/>
        </w:rPr>
        <w:t> </w:t>
      </w:r>
      <w:r>
        <w:rPr>
          <w:rFonts w:ascii="Calibri"/>
          <w:sz w:val="22"/>
        </w:rPr>
        <w:t>of</w:t>
      </w:r>
      <w:r>
        <w:rPr>
          <w:rFonts w:ascii="Calibri"/>
          <w:spacing w:val="-7"/>
          <w:sz w:val="22"/>
        </w:rPr>
        <w:t> </w:t>
      </w:r>
      <w:r>
        <w:rPr>
          <w:rFonts w:ascii="Calibri"/>
          <w:sz w:val="22"/>
        </w:rPr>
        <w:t>incomplete</w:t>
      </w:r>
      <w:r>
        <w:rPr>
          <w:rFonts w:ascii="Calibri"/>
          <w:spacing w:val="-4"/>
          <w:sz w:val="22"/>
        </w:rPr>
        <w:t> </w:t>
      </w:r>
      <w:r>
        <w:rPr>
          <w:rFonts w:ascii="Calibri"/>
          <w:sz w:val="22"/>
        </w:rPr>
        <w:t>combustion</w:t>
      </w:r>
      <w:r>
        <w:rPr>
          <w:rFonts w:ascii="Calibri"/>
          <w:spacing w:val="-6"/>
          <w:sz w:val="22"/>
        </w:rPr>
        <w:t> </w:t>
      </w:r>
      <w:r>
        <w:rPr>
          <w:rFonts w:ascii="Calibri"/>
          <w:sz w:val="22"/>
        </w:rPr>
        <w:t>yields</w:t>
      </w:r>
      <w:r>
        <w:rPr>
          <w:rFonts w:ascii="Calibri"/>
          <w:spacing w:val="-6"/>
          <w:sz w:val="22"/>
        </w:rPr>
        <w:t> </w:t>
      </w:r>
      <w:r>
        <w:rPr>
          <w:rFonts w:ascii="Calibri"/>
          <w:sz w:val="22"/>
        </w:rPr>
        <w:t>the</w:t>
      </w:r>
      <w:r>
        <w:rPr>
          <w:rFonts w:ascii="Calibri"/>
          <w:spacing w:val="-4"/>
          <w:sz w:val="22"/>
        </w:rPr>
        <w:t> </w:t>
      </w:r>
      <w:r>
        <w:rPr>
          <w:rFonts w:ascii="Calibri"/>
          <w:sz w:val="22"/>
        </w:rPr>
        <w:t>poisonous</w:t>
      </w:r>
      <w:r>
        <w:rPr>
          <w:rFonts w:ascii="Calibri"/>
          <w:spacing w:val="-6"/>
          <w:sz w:val="22"/>
        </w:rPr>
        <w:t> </w:t>
      </w:r>
      <w:r>
        <w:rPr>
          <w:rFonts w:ascii="Calibri"/>
          <w:sz w:val="22"/>
        </w:rPr>
        <w:t>gas,</w:t>
      </w:r>
      <w:r>
        <w:rPr>
          <w:rFonts w:ascii="Calibri"/>
          <w:spacing w:val="-4"/>
          <w:sz w:val="22"/>
        </w:rPr>
        <w:t> </w:t>
      </w:r>
      <w:r>
        <w:rPr>
          <w:rFonts w:ascii="Calibri"/>
          <w:sz w:val="22"/>
        </w:rPr>
        <w:t>carbon</w:t>
      </w:r>
      <w:r>
        <w:rPr>
          <w:rFonts w:ascii="Calibri"/>
          <w:spacing w:val="-6"/>
          <w:sz w:val="22"/>
        </w:rPr>
        <w:t> </w:t>
      </w:r>
      <w:r>
        <w:rPr>
          <w:rFonts w:ascii="Calibri"/>
          <w:spacing w:val="-2"/>
          <w:sz w:val="22"/>
        </w:rPr>
        <w:t>monoxide</w:t>
      </w:r>
    </w:p>
    <w:p>
      <w:pPr>
        <w:pStyle w:val="BodyText"/>
        <w:rPr>
          <w:rFonts w:ascii="Calibri"/>
        </w:rPr>
      </w:pPr>
    </w:p>
    <w:p>
      <w:pPr>
        <w:pStyle w:val="BodyText"/>
        <w:spacing w:before="161"/>
        <w:rPr>
          <w:rFonts w:ascii="Calibri"/>
        </w:rPr>
      </w:pPr>
    </w:p>
    <w:p>
      <w:pPr>
        <w:pStyle w:val="BodyText"/>
        <w:spacing w:line="480" w:lineRule="auto"/>
        <w:ind w:left="588" w:right="180"/>
      </w:pPr>
      <w:r>
        <w:rPr/>
        <w:t>Some of these pollutants are tiny and respirable, and hence why they can cause respiratory diseases when inhaled. The severity of impact of these pollutants on human health depends on three key factors: 1) level of exposure (Bruce, et al., 2015; Smith</w:t>
      </w:r>
      <w:r>
        <w:rPr>
          <w:spacing w:val="-3"/>
        </w:rPr>
        <w:t> </w:t>
      </w:r>
      <w:r>
        <w:rPr/>
        <w:t>et</w:t>
      </w:r>
      <w:r>
        <w:rPr>
          <w:spacing w:val="-3"/>
        </w:rPr>
        <w:t> </w:t>
      </w:r>
      <w:r>
        <w:rPr/>
        <w:t>al.,</w:t>
      </w:r>
      <w:r>
        <w:rPr>
          <w:spacing w:val="-3"/>
        </w:rPr>
        <w:t> </w:t>
      </w:r>
      <w:r>
        <w:rPr/>
        <w:t>2000;</w:t>
      </w:r>
      <w:r>
        <w:rPr>
          <w:spacing w:val="-1"/>
        </w:rPr>
        <w:t> </w:t>
      </w:r>
      <w:r>
        <w:rPr/>
        <w:t>Chakaraboty</w:t>
      </w:r>
      <w:r>
        <w:rPr>
          <w:spacing w:val="-6"/>
        </w:rPr>
        <w:t> </w:t>
      </w:r>
      <w:r>
        <w:rPr/>
        <w:t>et</w:t>
      </w:r>
      <w:r>
        <w:rPr>
          <w:spacing w:val="-3"/>
        </w:rPr>
        <w:t> </w:t>
      </w:r>
      <w:r>
        <w:rPr/>
        <w:t>al.,</w:t>
      </w:r>
      <w:r>
        <w:rPr>
          <w:spacing w:val="-3"/>
        </w:rPr>
        <w:t> </w:t>
      </w:r>
      <w:r>
        <w:rPr/>
        <w:t>2004;</w:t>
      </w:r>
      <w:r>
        <w:rPr>
          <w:spacing w:val="-3"/>
        </w:rPr>
        <w:t> </w:t>
      </w:r>
      <w:r>
        <w:rPr/>
        <w:t>W.H.O.,</w:t>
      </w:r>
      <w:r>
        <w:rPr>
          <w:spacing w:val="-2"/>
        </w:rPr>
        <w:t> </w:t>
      </w:r>
      <w:r>
        <w:rPr/>
        <w:t>2016.)2)</w:t>
      </w:r>
      <w:r>
        <w:rPr>
          <w:spacing w:val="-4"/>
        </w:rPr>
        <w:t> </w:t>
      </w:r>
      <w:r>
        <w:rPr/>
        <w:t>amount</w:t>
      </w:r>
      <w:r>
        <w:rPr>
          <w:spacing w:val="-3"/>
        </w:rPr>
        <w:t> </w:t>
      </w:r>
      <w:r>
        <w:rPr/>
        <w:t>of</w:t>
      </w:r>
      <w:r>
        <w:rPr>
          <w:spacing w:val="-3"/>
        </w:rPr>
        <w:t> </w:t>
      </w:r>
      <w:r>
        <w:rPr/>
        <w:t>ventilation, and 3) type of biomass used (Smith et al., 2000 and Ezzakati et al., 2000).</w:t>
      </w:r>
    </w:p>
    <w:p>
      <w:pPr>
        <w:pStyle w:val="BodyText"/>
        <w:spacing w:before="273"/>
      </w:pPr>
    </w:p>
    <w:p>
      <w:pPr>
        <w:pStyle w:val="BodyText"/>
        <w:spacing w:line="480" w:lineRule="auto" w:before="1"/>
        <w:ind w:left="588" w:right="257"/>
      </w:pPr>
      <w:r>
        <w:rPr>
          <w:position w:val="2"/>
        </w:rPr>
        <w:t>Particulate matter of 10 µg in diameter (PM</w:t>
      </w:r>
      <w:r>
        <w:rPr>
          <w:sz w:val="16"/>
        </w:rPr>
        <w:t>10</w:t>
      </w:r>
      <w:r>
        <w:rPr>
          <w:position w:val="2"/>
        </w:rPr>
        <w:t>) and smaller are respirable and can penetrate deep into the lungs, especially particulate matter less than 2.5µg (PM</w:t>
      </w:r>
      <w:r>
        <w:rPr>
          <w:sz w:val="16"/>
        </w:rPr>
        <w:t>2.5</w:t>
      </w:r>
      <w:r>
        <w:rPr>
          <w:position w:val="2"/>
        </w:rPr>
        <w:t>) </w:t>
      </w:r>
      <w:r>
        <w:rPr/>
        <w:t>(Ezzati</w:t>
      </w:r>
      <w:r>
        <w:rPr>
          <w:spacing w:val="-3"/>
        </w:rPr>
        <w:t> </w:t>
      </w:r>
      <w:r>
        <w:rPr/>
        <w:t>&amp;</w:t>
      </w:r>
      <w:r>
        <w:rPr>
          <w:spacing w:val="-5"/>
        </w:rPr>
        <w:t> </w:t>
      </w:r>
      <w:r>
        <w:rPr/>
        <w:t>Kammen,</w:t>
      </w:r>
      <w:r>
        <w:rPr>
          <w:spacing w:val="-3"/>
        </w:rPr>
        <w:t> </w:t>
      </w:r>
      <w:r>
        <w:rPr/>
        <w:t>2002).</w:t>
      </w:r>
      <w:r>
        <w:rPr>
          <w:spacing w:val="-3"/>
        </w:rPr>
        <w:t> </w:t>
      </w:r>
      <w:r>
        <w:rPr/>
        <w:t>Therefore,</w:t>
      </w:r>
      <w:r>
        <w:rPr>
          <w:spacing w:val="-1"/>
        </w:rPr>
        <w:t> </w:t>
      </w:r>
      <w:r>
        <w:rPr/>
        <w:t>can cause</w:t>
      </w:r>
      <w:r>
        <w:rPr>
          <w:spacing w:val="-4"/>
        </w:rPr>
        <w:t> </w:t>
      </w:r>
      <w:r>
        <w:rPr/>
        <w:t>lung</w:t>
      </w:r>
      <w:r>
        <w:rPr>
          <w:spacing w:val="-6"/>
        </w:rPr>
        <w:t> </w:t>
      </w:r>
      <w:r>
        <w:rPr/>
        <w:t>diseases.</w:t>
      </w:r>
      <w:r>
        <w:rPr>
          <w:spacing w:val="-3"/>
        </w:rPr>
        <w:t> </w:t>
      </w:r>
      <w:r>
        <w:rPr/>
        <w:t>Frequent exposure</w:t>
      </w:r>
      <w:r>
        <w:rPr>
          <w:spacing w:val="-5"/>
        </w:rPr>
        <w:t> </w:t>
      </w:r>
      <w:r>
        <w:rPr/>
        <w:t>to smoke from burning biomass is associated with lung diseases, such as acute lower respiratory</w:t>
      </w:r>
      <w:r>
        <w:rPr>
          <w:spacing w:val="-1"/>
        </w:rPr>
        <w:t> </w:t>
      </w:r>
      <w:r>
        <w:rPr/>
        <w:t>disease, lung fibrosis, chronic bronchitis, and lung cancer (WHO, 2016).</w:t>
      </w:r>
    </w:p>
    <w:p>
      <w:pPr>
        <w:spacing w:after="0" w:line="480" w:lineRule="auto"/>
        <w:sectPr>
          <w:pgSz w:w="11910" w:h="16840"/>
          <w:pgMar w:header="0" w:footer="1012" w:top="1680" w:bottom="1200" w:left="1680" w:right="1240"/>
        </w:sectPr>
      </w:pPr>
    </w:p>
    <w:p>
      <w:pPr>
        <w:pStyle w:val="BodyText"/>
        <w:spacing w:line="480" w:lineRule="auto" w:before="62"/>
        <w:ind w:left="588" w:right="207"/>
      </w:pPr>
      <w:r>
        <w:rPr>
          <w:position w:val="2"/>
        </w:rPr>
        <w:t>The mean concentrations of PM</w:t>
      </w:r>
      <w:r>
        <w:rPr>
          <w:sz w:val="16"/>
        </w:rPr>
        <w:t>2.5 </w:t>
      </w:r>
      <w:r>
        <w:rPr>
          <w:position w:val="2"/>
        </w:rPr>
        <w:t>measured in Nepal households when women are </w:t>
      </w:r>
      <w:r>
        <w:rPr/>
        <w:t>cooking</w:t>
      </w:r>
      <w:r>
        <w:rPr>
          <w:spacing w:val="-14"/>
        </w:rPr>
        <w:t> </w:t>
      </w:r>
      <w:r>
        <w:rPr/>
        <w:t>with biomass</w:t>
      </w:r>
      <w:r>
        <w:rPr>
          <w:spacing w:val="-11"/>
        </w:rPr>
        <w:t> </w:t>
      </w:r>
      <w:r>
        <w:rPr/>
        <w:t>fuel was as high as 30,000 µg/m</w:t>
      </w:r>
      <w:r>
        <w:rPr>
          <w:vertAlign w:val="superscript"/>
        </w:rPr>
        <w:t>3.</w:t>
      </w:r>
      <w:r>
        <w:rPr>
          <w:spacing w:val="-11"/>
          <w:vertAlign w:val="baseline"/>
        </w:rPr>
        <w:t> </w:t>
      </w:r>
      <w:r>
        <w:rPr>
          <w:vertAlign w:val="baseline"/>
        </w:rPr>
        <w:t>Thus, the reason why chronic bronchitis is found to be the same for both men smokers and women non- smokers (Ranabhat, et al., 2015) . This concentration far exceeded the permissible </w:t>
      </w:r>
      <w:r>
        <w:rPr>
          <w:position w:val="2"/>
          <w:vertAlign w:val="baseline"/>
        </w:rPr>
        <w:t>maximum</w:t>
      </w:r>
      <w:r>
        <w:rPr>
          <w:spacing w:val="-1"/>
          <w:position w:val="2"/>
          <w:vertAlign w:val="baseline"/>
        </w:rPr>
        <w:t> </w:t>
      </w:r>
      <w:r>
        <w:rPr>
          <w:position w:val="2"/>
          <w:vertAlign w:val="baseline"/>
        </w:rPr>
        <w:t>of</w:t>
      </w:r>
      <w:r>
        <w:rPr>
          <w:spacing w:val="-2"/>
          <w:position w:val="2"/>
          <w:vertAlign w:val="baseline"/>
        </w:rPr>
        <w:t> </w:t>
      </w:r>
      <w:r>
        <w:rPr>
          <w:position w:val="2"/>
          <w:vertAlign w:val="baseline"/>
        </w:rPr>
        <w:t>no</w:t>
      </w:r>
      <w:r>
        <w:rPr>
          <w:spacing w:val="-3"/>
          <w:position w:val="2"/>
          <w:vertAlign w:val="baseline"/>
        </w:rPr>
        <w:t> </w:t>
      </w:r>
      <w:r>
        <w:rPr>
          <w:position w:val="2"/>
          <w:vertAlign w:val="baseline"/>
        </w:rPr>
        <w:t>more</w:t>
      </w:r>
      <w:r>
        <w:rPr>
          <w:spacing w:val="-4"/>
          <w:position w:val="2"/>
          <w:vertAlign w:val="baseline"/>
        </w:rPr>
        <w:t> </w:t>
      </w:r>
      <w:r>
        <w:rPr>
          <w:position w:val="2"/>
          <w:vertAlign w:val="baseline"/>
        </w:rPr>
        <w:t>than</w:t>
      </w:r>
      <w:r>
        <w:rPr>
          <w:spacing w:val="-2"/>
          <w:position w:val="2"/>
          <w:vertAlign w:val="baseline"/>
        </w:rPr>
        <w:t> </w:t>
      </w:r>
      <w:r>
        <w:rPr>
          <w:position w:val="2"/>
          <w:vertAlign w:val="baseline"/>
        </w:rPr>
        <w:t>3,000</w:t>
      </w:r>
      <w:r>
        <w:rPr>
          <w:spacing w:val="-2"/>
          <w:position w:val="2"/>
          <w:vertAlign w:val="baseline"/>
        </w:rPr>
        <w:t> </w:t>
      </w:r>
      <w:r>
        <w:rPr>
          <w:position w:val="2"/>
          <w:vertAlign w:val="baseline"/>
        </w:rPr>
        <w:t>µg</w:t>
      </w:r>
      <w:r>
        <w:rPr>
          <w:spacing w:val="-5"/>
          <w:position w:val="2"/>
          <w:vertAlign w:val="baseline"/>
        </w:rPr>
        <w:t> </w:t>
      </w:r>
      <w:r>
        <w:rPr>
          <w:position w:val="2"/>
          <w:vertAlign w:val="baseline"/>
        </w:rPr>
        <w:t>PM</w:t>
      </w:r>
      <w:r>
        <w:rPr>
          <w:sz w:val="16"/>
          <w:vertAlign w:val="baseline"/>
        </w:rPr>
        <w:t>2.5</w:t>
      </w:r>
      <w:r>
        <w:rPr>
          <w:spacing w:val="-2"/>
          <w:sz w:val="16"/>
          <w:vertAlign w:val="baseline"/>
        </w:rPr>
        <w:t> </w:t>
      </w:r>
      <w:r>
        <w:rPr>
          <w:position w:val="2"/>
          <w:vertAlign w:val="baseline"/>
        </w:rPr>
        <w:t>over</w:t>
      </w:r>
      <w:r>
        <w:rPr>
          <w:spacing w:val="-2"/>
          <w:position w:val="2"/>
          <w:vertAlign w:val="baseline"/>
        </w:rPr>
        <w:t> </w:t>
      </w:r>
      <w:r>
        <w:rPr>
          <w:position w:val="2"/>
          <w:vertAlign w:val="baseline"/>
        </w:rPr>
        <w:t>a</w:t>
      </w:r>
      <w:r>
        <w:rPr>
          <w:spacing w:val="-4"/>
          <w:position w:val="2"/>
          <w:vertAlign w:val="baseline"/>
        </w:rPr>
        <w:t> </w:t>
      </w:r>
      <w:r>
        <w:rPr>
          <w:position w:val="2"/>
          <w:vertAlign w:val="baseline"/>
        </w:rPr>
        <w:t>24-hour</w:t>
      </w:r>
      <w:r>
        <w:rPr>
          <w:spacing w:val="-3"/>
          <w:position w:val="2"/>
          <w:vertAlign w:val="baseline"/>
        </w:rPr>
        <w:t> </w:t>
      </w:r>
      <w:r>
        <w:rPr>
          <w:position w:val="2"/>
          <w:vertAlign w:val="baseline"/>
        </w:rPr>
        <w:t>period, according</w:t>
      </w:r>
      <w:r>
        <w:rPr>
          <w:spacing w:val="-5"/>
          <w:position w:val="2"/>
          <w:vertAlign w:val="baseline"/>
        </w:rPr>
        <w:t> </w:t>
      </w:r>
      <w:r>
        <w:rPr>
          <w:position w:val="2"/>
          <w:vertAlign w:val="baseline"/>
        </w:rPr>
        <w:t>to</w:t>
      </w:r>
      <w:r>
        <w:rPr>
          <w:spacing w:val="-1"/>
          <w:position w:val="2"/>
          <w:vertAlign w:val="baseline"/>
        </w:rPr>
        <w:t> </w:t>
      </w:r>
      <w:r>
        <w:rPr>
          <w:position w:val="2"/>
          <w:vertAlign w:val="baseline"/>
        </w:rPr>
        <w:t>World </w:t>
      </w:r>
      <w:r>
        <w:rPr>
          <w:vertAlign w:val="baseline"/>
        </w:rPr>
        <w:t>Health Organization (WHO) (WHO, 2016).In another study, children in a Navajo community seen at Public Health Service Indian Hospital, who lived in households </w:t>
      </w:r>
      <w:r>
        <w:rPr>
          <w:position w:val="2"/>
          <w:vertAlign w:val="baseline"/>
        </w:rPr>
        <w:t>that use biomass fuel were exposed to PM</w:t>
      </w:r>
      <w:r>
        <w:rPr>
          <w:sz w:val="16"/>
          <w:vertAlign w:val="baseline"/>
        </w:rPr>
        <w:t>10</w:t>
      </w:r>
      <w:r>
        <w:rPr>
          <w:spacing w:val="32"/>
          <w:sz w:val="16"/>
          <w:vertAlign w:val="baseline"/>
        </w:rPr>
        <w:t> </w:t>
      </w:r>
      <w:r>
        <w:rPr>
          <w:position w:val="2"/>
          <w:vertAlign w:val="baseline"/>
        </w:rPr>
        <w:t>levels of 65µg and above. These</w:t>
      </w:r>
      <w:r>
        <w:rPr>
          <w:spacing w:val="40"/>
          <w:position w:val="2"/>
          <w:vertAlign w:val="baseline"/>
        </w:rPr>
        <w:t> </w:t>
      </w:r>
      <w:r>
        <w:rPr>
          <w:vertAlign w:val="baseline"/>
        </w:rPr>
        <w:t>children thus have a seven-times greater risk of developing lung disease (Robin, </w:t>
      </w:r>
      <w:r>
        <w:rPr>
          <w:spacing w:val="-2"/>
          <w:vertAlign w:val="baseline"/>
        </w:rPr>
        <w:t>1996).</w:t>
      </w:r>
    </w:p>
    <w:p>
      <w:pPr>
        <w:pStyle w:val="BodyText"/>
        <w:spacing w:before="269"/>
      </w:pPr>
    </w:p>
    <w:p>
      <w:pPr>
        <w:spacing w:before="0"/>
        <w:ind w:left="588" w:right="0" w:firstLine="0"/>
        <w:jc w:val="left"/>
        <w:rPr>
          <w:i/>
          <w:sz w:val="24"/>
        </w:rPr>
      </w:pPr>
      <w:r>
        <w:rPr>
          <w:i/>
          <w:sz w:val="24"/>
        </w:rPr>
        <w:t>Carbon </w:t>
      </w:r>
      <w:r>
        <w:rPr>
          <w:i/>
          <w:spacing w:val="-2"/>
          <w:sz w:val="24"/>
        </w:rPr>
        <w:t>monoxide</w:t>
      </w:r>
    </w:p>
    <w:p>
      <w:pPr>
        <w:pStyle w:val="BodyText"/>
        <w:spacing w:before="1"/>
        <w:rPr>
          <w:i/>
        </w:rPr>
      </w:pPr>
    </w:p>
    <w:p>
      <w:pPr>
        <w:pStyle w:val="BodyText"/>
        <w:spacing w:line="480" w:lineRule="auto"/>
        <w:ind w:left="588" w:right="215"/>
      </w:pPr>
      <w:r>
        <w:rPr/>
        <w:t>Along with particulate matter, CO poses a notable threat to human health when it is released indoors. CO is a tasteless gas that has no color or odor, and it is slightly soluble in water. It has lower density than air and binds easily with blood hemoglobin.</w:t>
      </w:r>
      <w:r>
        <w:rPr>
          <w:spacing w:val="-3"/>
        </w:rPr>
        <w:t> </w:t>
      </w:r>
      <w:r>
        <w:rPr/>
        <w:t>CO</w:t>
      </w:r>
      <w:r>
        <w:rPr>
          <w:spacing w:val="-3"/>
        </w:rPr>
        <w:t> </w:t>
      </w:r>
      <w:r>
        <w:rPr/>
        <w:t>has</w:t>
      </w:r>
      <w:r>
        <w:rPr>
          <w:spacing w:val="-3"/>
        </w:rPr>
        <w:t> </w:t>
      </w:r>
      <w:r>
        <w:rPr/>
        <w:t>higher</w:t>
      </w:r>
      <w:r>
        <w:rPr>
          <w:spacing w:val="-3"/>
        </w:rPr>
        <w:t> </w:t>
      </w:r>
      <w:r>
        <w:rPr/>
        <w:t>affinity</w:t>
      </w:r>
      <w:r>
        <w:rPr>
          <w:spacing w:val="-8"/>
        </w:rPr>
        <w:t> </w:t>
      </w:r>
      <w:r>
        <w:rPr/>
        <w:t>for</w:t>
      </w:r>
      <w:r>
        <w:rPr>
          <w:spacing w:val="-3"/>
        </w:rPr>
        <w:t> </w:t>
      </w:r>
      <w:r>
        <w:rPr/>
        <w:t>hemoglobin</w:t>
      </w:r>
      <w:r>
        <w:rPr>
          <w:spacing w:val="-3"/>
        </w:rPr>
        <w:t> </w:t>
      </w:r>
      <w:r>
        <w:rPr/>
        <w:t>than</w:t>
      </w:r>
      <w:r>
        <w:rPr>
          <w:spacing w:val="-3"/>
        </w:rPr>
        <w:t> </w:t>
      </w:r>
      <w:r>
        <w:rPr/>
        <w:t>oxygen</w:t>
      </w:r>
      <w:r>
        <w:rPr>
          <w:spacing w:val="-1"/>
        </w:rPr>
        <w:t> </w:t>
      </w:r>
      <w:r>
        <w:rPr/>
        <w:t>(Cullis</w:t>
      </w:r>
      <w:r>
        <w:rPr>
          <w:spacing w:val="-3"/>
        </w:rPr>
        <w:t> </w:t>
      </w:r>
      <w:r>
        <w:rPr/>
        <w:t>&amp;</w:t>
      </w:r>
      <w:r>
        <w:rPr>
          <w:spacing w:val="-5"/>
        </w:rPr>
        <w:t> </w:t>
      </w:r>
      <w:r>
        <w:rPr/>
        <w:t>Hirschler, </w:t>
      </w:r>
      <w:r>
        <w:rPr>
          <w:spacing w:val="-2"/>
        </w:rPr>
        <w:t>1989).</w:t>
      </w:r>
    </w:p>
    <w:p>
      <w:pPr>
        <w:pStyle w:val="BodyText"/>
        <w:spacing w:before="274"/>
      </w:pPr>
    </w:p>
    <w:p>
      <w:pPr>
        <w:pStyle w:val="BodyText"/>
        <w:spacing w:line="480" w:lineRule="auto"/>
        <w:ind w:left="588" w:right="179"/>
      </w:pPr>
      <w:r>
        <w:rPr/>
        <w:t>When CO enters the body, it forms carboxyhemoglobin (COHb) with blood hemoglobin, which reduces the oxygen-carrying capacity and causes hypoplasia- </w:t>
      </w:r>
      <w:r>
        <w:rPr>
          <w:sz w:val="22"/>
        </w:rPr>
        <w:t>dis order that leads to </w:t>
      </w:r>
      <w:r>
        <w:rPr/>
        <w:t>underdevelopment or incomplete development of a tissue or organ. Hypoplasia</w:t>
      </w:r>
      <w:r>
        <w:rPr>
          <w:spacing w:val="-4"/>
        </w:rPr>
        <w:t> </w:t>
      </w:r>
      <w:r>
        <w:rPr/>
        <w:t>can</w:t>
      </w:r>
      <w:r>
        <w:rPr>
          <w:spacing w:val="-3"/>
        </w:rPr>
        <w:t> </w:t>
      </w:r>
      <w:r>
        <w:rPr/>
        <w:t>in</w:t>
      </w:r>
      <w:r>
        <w:rPr>
          <w:spacing w:val="-3"/>
        </w:rPr>
        <w:t> </w:t>
      </w:r>
      <w:r>
        <w:rPr/>
        <w:t>turn</w:t>
      </w:r>
      <w:r>
        <w:rPr>
          <w:spacing w:val="-3"/>
        </w:rPr>
        <w:t> </w:t>
      </w:r>
      <w:r>
        <w:rPr/>
        <w:t>lead</w:t>
      </w:r>
      <w:r>
        <w:rPr>
          <w:spacing w:val="-3"/>
        </w:rPr>
        <w:t> </w:t>
      </w:r>
      <w:r>
        <w:rPr/>
        <w:t>to</w:t>
      </w:r>
      <w:r>
        <w:rPr>
          <w:spacing w:val="-2"/>
        </w:rPr>
        <w:t> </w:t>
      </w:r>
      <w:r>
        <w:rPr/>
        <w:t>brain</w:t>
      </w:r>
      <w:r>
        <w:rPr>
          <w:spacing w:val="-3"/>
        </w:rPr>
        <w:t> </w:t>
      </w:r>
      <w:r>
        <w:rPr/>
        <w:t>and</w:t>
      </w:r>
      <w:r>
        <w:rPr>
          <w:spacing w:val="-3"/>
        </w:rPr>
        <w:t> </w:t>
      </w:r>
      <w:r>
        <w:rPr/>
        <w:t>heart</w:t>
      </w:r>
      <w:r>
        <w:rPr>
          <w:spacing w:val="-3"/>
        </w:rPr>
        <w:t> </w:t>
      </w:r>
      <w:r>
        <w:rPr/>
        <w:t>disorders</w:t>
      </w:r>
      <w:r>
        <w:rPr>
          <w:spacing w:val="-3"/>
        </w:rPr>
        <w:t> </w:t>
      </w:r>
      <w:r>
        <w:rPr/>
        <w:t>depending</w:t>
      </w:r>
      <w:r>
        <w:rPr>
          <w:spacing w:val="-6"/>
        </w:rPr>
        <w:t> </w:t>
      </w:r>
      <w:r>
        <w:rPr/>
        <w:t>on</w:t>
      </w:r>
      <w:r>
        <w:rPr>
          <w:spacing w:val="-3"/>
        </w:rPr>
        <w:t> </w:t>
      </w:r>
      <w:r>
        <w:rPr/>
        <w:t>the</w:t>
      </w:r>
      <w:r>
        <w:rPr>
          <w:spacing w:val="-3"/>
        </w:rPr>
        <w:t> </w:t>
      </w:r>
      <w:r>
        <w:rPr/>
        <w:t>level</w:t>
      </w:r>
      <w:r>
        <w:rPr>
          <w:spacing w:val="-3"/>
        </w:rPr>
        <w:t> </w:t>
      </w:r>
      <w:r>
        <w:rPr/>
        <w:t>of</w:t>
      </w:r>
      <w:r>
        <w:rPr>
          <w:spacing w:val="-3"/>
        </w:rPr>
        <w:t> </w:t>
      </w:r>
      <w:r>
        <w:rPr/>
        <w:t>CO poisoning (Prockop &amp; Chichkova, 2007). Frequent use of wood without completely burning it can cause acute or chronic CO poisoning (Prockop &amp; Chichkova, 2007).</w:t>
      </w:r>
    </w:p>
    <w:p>
      <w:pPr>
        <w:spacing w:after="0" w:line="480" w:lineRule="auto"/>
        <w:sectPr>
          <w:pgSz w:w="11910" w:h="16840"/>
          <w:pgMar w:header="0" w:footer="1012" w:top="1620" w:bottom="1200" w:left="1680" w:right="1240"/>
        </w:sectPr>
      </w:pPr>
    </w:p>
    <w:p>
      <w:pPr>
        <w:pStyle w:val="BodyText"/>
        <w:spacing w:before="62"/>
        <w:ind w:left="588"/>
      </w:pPr>
      <w:r>
        <w:rPr/>
        <w:t>Safe</w:t>
      </w:r>
      <w:r>
        <w:rPr>
          <w:spacing w:val="-3"/>
        </w:rPr>
        <w:t> </w:t>
      </w:r>
      <w:r>
        <w:rPr/>
        <w:t>level of</w:t>
      </w:r>
      <w:r>
        <w:rPr>
          <w:spacing w:val="1"/>
        </w:rPr>
        <w:t> </w:t>
      </w:r>
      <w:r>
        <w:rPr/>
        <w:t>carbon</w:t>
      </w:r>
      <w:r>
        <w:rPr>
          <w:spacing w:val="-2"/>
        </w:rPr>
        <w:t> </w:t>
      </w:r>
      <w:r>
        <w:rPr/>
        <w:t>monoxide</w:t>
      </w:r>
      <w:r>
        <w:rPr>
          <w:spacing w:val="1"/>
        </w:rPr>
        <w:t> </w:t>
      </w:r>
      <w:r>
        <w:rPr/>
        <w:t>for</w:t>
      </w:r>
      <w:r>
        <w:rPr>
          <w:spacing w:val="-2"/>
        </w:rPr>
        <w:t> </w:t>
      </w:r>
      <w:r>
        <w:rPr/>
        <w:t>15minutes, 1hour</w:t>
      </w:r>
      <w:r>
        <w:rPr>
          <w:spacing w:val="-1"/>
        </w:rPr>
        <w:t> </w:t>
      </w:r>
      <w:r>
        <w:rPr/>
        <w:t>and 8 and</w:t>
      </w:r>
      <w:r>
        <w:rPr>
          <w:spacing w:val="-1"/>
        </w:rPr>
        <w:t> </w:t>
      </w:r>
      <w:r>
        <w:rPr/>
        <w:t>per day</w:t>
      </w:r>
      <w:r>
        <w:rPr>
          <w:spacing w:val="-5"/>
        </w:rPr>
        <w:t> </w:t>
      </w:r>
      <w:r>
        <w:rPr/>
        <w:t>is </w:t>
      </w:r>
      <w:r>
        <w:rPr>
          <w:spacing w:val="-2"/>
        </w:rPr>
        <w:t>81.1ppm,</w:t>
      </w:r>
    </w:p>
    <w:p>
      <w:pPr>
        <w:pStyle w:val="BodyText"/>
      </w:pPr>
    </w:p>
    <w:p>
      <w:pPr>
        <w:pStyle w:val="BodyText"/>
        <w:spacing w:line="480" w:lineRule="auto"/>
        <w:ind w:left="588" w:right="255"/>
      </w:pPr>
      <w:r>
        <w:rPr/>
        <w:t>28.4</w:t>
      </w:r>
      <w:r>
        <w:rPr>
          <w:spacing w:val="-3"/>
        </w:rPr>
        <w:t> </w:t>
      </w:r>
      <w:r>
        <w:rPr/>
        <w:t>ppm,</w:t>
      </w:r>
      <w:r>
        <w:rPr>
          <w:spacing w:val="-3"/>
        </w:rPr>
        <w:t> </w:t>
      </w:r>
      <w:r>
        <w:rPr/>
        <w:t>8.11ppm</w:t>
      </w:r>
      <w:r>
        <w:rPr>
          <w:spacing w:val="-3"/>
        </w:rPr>
        <w:t> </w:t>
      </w:r>
      <w:r>
        <w:rPr/>
        <w:t>and</w:t>
      </w:r>
      <w:r>
        <w:rPr>
          <w:spacing w:val="-3"/>
        </w:rPr>
        <w:t> </w:t>
      </w:r>
      <w:r>
        <w:rPr/>
        <w:t>5.68ppm</w:t>
      </w:r>
      <w:r>
        <w:rPr>
          <w:spacing w:val="-3"/>
        </w:rPr>
        <w:t> </w:t>
      </w:r>
      <w:r>
        <w:rPr/>
        <w:t>respectively</w:t>
      </w:r>
      <w:r>
        <w:rPr>
          <w:spacing w:val="-6"/>
        </w:rPr>
        <w:t> </w:t>
      </w:r>
      <w:r>
        <w:rPr/>
        <w:t>(WHO,</w:t>
      </w:r>
      <w:r>
        <w:rPr>
          <w:spacing w:val="-3"/>
        </w:rPr>
        <w:t> </w:t>
      </w:r>
      <w:r>
        <w:rPr/>
        <w:t>2000).</w:t>
      </w:r>
      <w:r>
        <w:rPr>
          <w:spacing w:val="-3"/>
        </w:rPr>
        <w:t> </w:t>
      </w:r>
      <w:r>
        <w:rPr/>
        <w:t>However,</w:t>
      </w:r>
      <w:r>
        <w:rPr>
          <w:spacing w:val="-3"/>
        </w:rPr>
        <w:t> </w:t>
      </w:r>
      <w:r>
        <w:rPr/>
        <w:t>levels</w:t>
      </w:r>
      <w:r>
        <w:rPr>
          <w:spacing w:val="-3"/>
        </w:rPr>
        <w:t> </w:t>
      </w:r>
      <w:r>
        <w:rPr/>
        <w:t>of</w:t>
      </w:r>
      <w:r>
        <w:rPr>
          <w:spacing w:val="-3"/>
        </w:rPr>
        <w:t> </w:t>
      </w:r>
      <w:r>
        <w:rPr/>
        <w:t>20</w:t>
      </w:r>
      <w:r>
        <w:rPr/>
        <w:t>- 50 ppm and higher are measured during cooking with biomass, thereby increasing the COHb levels between 1.2% and 2.5% (Bruce, Perez-Padilla, &amp; Albalak, 2000). Severity</w:t>
      </w:r>
      <w:r>
        <w:rPr>
          <w:spacing w:val="-3"/>
        </w:rPr>
        <w:t> </w:t>
      </w:r>
      <w:r>
        <w:rPr/>
        <w:t>of COHb damage depends on the amount of exposure to carbon monoxide; the alveoli ventilation, which is the exchange of gas between alveoli; the external environment, and the duration of exposure. Carbon monoxide poisoning also causes brain disturbances – any abnormality in the function or structure of the brain; heart infections; headache; vomiting; nausea; and, at higher levels, fatal coma and death (Prockop &amp; Chichkova, 2007).</w:t>
      </w:r>
    </w:p>
    <w:p>
      <w:pPr>
        <w:pStyle w:val="BodyText"/>
      </w:pPr>
    </w:p>
    <w:p>
      <w:pPr>
        <w:pStyle w:val="BodyText"/>
        <w:spacing w:before="1"/>
      </w:pPr>
    </w:p>
    <w:p>
      <w:pPr>
        <w:pStyle w:val="BodyText"/>
        <w:spacing w:line="480" w:lineRule="auto" w:before="1"/>
        <w:ind w:left="588"/>
      </w:pPr>
      <w:r>
        <w:rPr/>
        <w:t>Carbon monoxide exposure that results to COHb levels of 5.1–8.2 % can slow down thoughts and impair movement of the body. This include, reduced coordination, tracking and driving ability, and impaired vigilance and detection of small environmental changes (Benignus, 1994). In addition, COHb levels of 5-20% can interfere with cognitive performance. COHb level of 2-13% in a fetus can cause reduced</w:t>
      </w:r>
      <w:r>
        <w:rPr>
          <w:spacing w:val="-3"/>
        </w:rPr>
        <w:t> </w:t>
      </w:r>
      <w:r>
        <w:rPr/>
        <w:t>birth</w:t>
      </w:r>
      <w:r>
        <w:rPr>
          <w:spacing w:val="-3"/>
        </w:rPr>
        <w:t> </w:t>
      </w:r>
      <w:r>
        <w:rPr/>
        <w:t>weight</w:t>
      </w:r>
      <w:r>
        <w:rPr>
          <w:spacing w:val="-2"/>
        </w:rPr>
        <w:t> </w:t>
      </w:r>
      <w:r>
        <w:rPr/>
        <w:t>(Bruce</w:t>
      </w:r>
      <w:r>
        <w:rPr>
          <w:spacing w:val="-4"/>
        </w:rPr>
        <w:t> </w:t>
      </w:r>
      <w:r>
        <w:rPr/>
        <w:t>et</w:t>
      </w:r>
      <w:r>
        <w:rPr>
          <w:spacing w:val="-3"/>
        </w:rPr>
        <w:t> </w:t>
      </w:r>
      <w:r>
        <w:rPr/>
        <w:t>al,</w:t>
      </w:r>
      <w:r>
        <w:rPr>
          <w:spacing w:val="-3"/>
        </w:rPr>
        <w:t> </w:t>
      </w:r>
      <w:r>
        <w:rPr/>
        <w:t>2000).</w:t>
      </w:r>
      <w:r>
        <w:rPr>
          <w:spacing w:val="-1"/>
        </w:rPr>
        <w:t> </w:t>
      </w:r>
      <w:r>
        <w:rPr/>
        <w:t>These</w:t>
      </w:r>
      <w:r>
        <w:rPr>
          <w:spacing w:val="-2"/>
        </w:rPr>
        <w:t> </w:t>
      </w:r>
      <w:r>
        <w:rPr/>
        <w:t>authors</w:t>
      </w:r>
      <w:r>
        <w:rPr>
          <w:spacing w:val="-3"/>
        </w:rPr>
        <w:t> </w:t>
      </w:r>
      <w:r>
        <w:rPr/>
        <w:t>also</w:t>
      </w:r>
      <w:r>
        <w:rPr>
          <w:spacing w:val="-3"/>
        </w:rPr>
        <w:t> </w:t>
      </w:r>
      <w:r>
        <w:rPr/>
        <w:t>reported</w:t>
      </w:r>
      <w:r>
        <w:rPr>
          <w:spacing w:val="-2"/>
        </w:rPr>
        <w:t> </w:t>
      </w:r>
      <w:r>
        <w:rPr/>
        <w:t>that</w:t>
      </w:r>
      <w:r>
        <w:rPr>
          <w:spacing w:val="-1"/>
        </w:rPr>
        <w:t> </w:t>
      </w:r>
      <w:r>
        <w:rPr/>
        <w:t>exposure</w:t>
      </w:r>
      <w:r>
        <w:rPr>
          <w:spacing w:val="-5"/>
        </w:rPr>
        <w:t> </w:t>
      </w:r>
      <w:r>
        <w:rPr/>
        <w:t>to biomass smoke during pregnancy can result in impaired lung formation in infants.</w:t>
      </w:r>
    </w:p>
    <w:p>
      <w:pPr>
        <w:pStyle w:val="BodyText"/>
        <w:spacing w:before="274"/>
      </w:pPr>
    </w:p>
    <w:p>
      <w:pPr>
        <w:pStyle w:val="BodyText"/>
        <w:spacing w:line="480" w:lineRule="auto" w:before="1"/>
        <w:ind w:left="588"/>
      </w:pPr>
      <w:r>
        <w:rPr/>
        <w:t>People who have heart diseases are very sensitive to CO. Elevated levels of COHb causes</w:t>
      </w:r>
      <w:r>
        <w:rPr>
          <w:spacing w:val="-3"/>
        </w:rPr>
        <w:t> </w:t>
      </w:r>
      <w:r>
        <w:rPr/>
        <w:t>atherosclerotic</w:t>
      </w:r>
      <w:r>
        <w:rPr>
          <w:spacing w:val="-4"/>
        </w:rPr>
        <w:t> </w:t>
      </w:r>
      <w:r>
        <w:rPr/>
        <w:t>narrowing</w:t>
      </w:r>
      <w:r>
        <w:rPr>
          <w:spacing w:val="-6"/>
        </w:rPr>
        <w:t> </w:t>
      </w:r>
      <w:r>
        <w:rPr/>
        <w:t>of</w:t>
      </w:r>
      <w:r>
        <w:rPr>
          <w:spacing w:val="-3"/>
        </w:rPr>
        <w:t> </w:t>
      </w:r>
      <w:r>
        <w:rPr/>
        <w:t>coronary</w:t>
      </w:r>
      <w:r>
        <w:rPr>
          <w:spacing w:val="-6"/>
        </w:rPr>
        <w:t> </w:t>
      </w:r>
      <w:r>
        <w:rPr/>
        <w:t>arteries.</w:t>
      </w:r>
      <w:r>
        <w:rPr>
          <w:spacing w:val="-3"/>
        </w:rPr>
        <w:t> </w:t>
      </w:r>
      <w:r>
        <w:rPr/>
        <w:t>This</w:t>
      </w:r>
      <w:r>
        <w:rPr>
          <w:spacing w:val="-3"/>
        </w:rPr>
        <w:t> </w:t>
      </w:r>
      <w:r>
        <w:rPr/>
        <w:t>restricts</w:t>
      </w:r>
      <w:r>
        <w:rPr>
          <w:spacing w:val="-3"/>
        </w:rPr>
        <w:t> </w:t>
      </w:r>
      <w:r>
        <w:rPr/>
        <w:t>blood</w:t>
      </w:r>
      <w:r>
        <w:rPr>
          <w:spacing w:val="-3"/>
        </w:rPr>
        <w:t> </w:t>
      </w:r>
      <w:r>
        <w:rPr/>
        <w:t>flow</w:t>
      </w:r>
      <w:r>
        <w:rPr>
          <w:spacing w:val="-3"/>
        </w:rPr>
        <w:t> </w:t>
      </w:r>
      <w:r>
        <w:rPr/>
        <w:t>to</w:t>
      </w:r>
      <w:r>
        <w:rPr>
          <w:spacing w:val="-3"/>
        </w:rPr>
        <w:t> </w:t>
      </w:r>
      <w:r>
        <w:rPr/>
        <w:t>the myocardium,</w:t>
      </w:r>
      <w:r>
        <w:rPr>
          <w:spacing w:val="-3"/>
        </w:rPr>
        <w:t> </w:t>
      </w:r>
      <w:r>
        <w:rPr/>
        <w:t>and</w:t>
      </w:r>
      <w:r>
        <w:rPr>
          <w:spacing w:val="-3"/>
        </w:rPr>
        <w:t> </w:t>
      </w:r>
      <w:r>
        <w:rPr/>
        <w:t>prevents</w:t>
      </w:r>
      <w:r>
        <w:rPr>
          <w:spacing w:val="-3"/>
        </w:rPr>
        <w:t> </w:t>
      </w:r>
      <w:r>
        <w:rPr/>
        <w:t>physiological</w:t>
      </w:r>
      <w:r>
        <w:rPr>
          <w:spacing w:val="-3"/>
        </w:rPr>
        <w:t> </w:t>
      </w:r>
      <w:r>
        <w:rPr/>
        <w:t>compensation</w:t>
      </w:r>
      <w:r>
        <w:rPr>
          <w:spacing w:val="-3"/>
        </w:rPr>
        <w:t> </w:t>
      </w:r>
      <w:r>
        <w:rPr/>
        <w:t>for</w:t>
      </w:r>
      <w:r>
        <w:rPr>
          <w:spacing w:val="-3"/>
        </w:rPr>
        <w:t> </w:t>
      </w:r>
      <w:r>
        <w:rPr/>
        <w:t>lowered</w:t>
      </w:r>
      <w:r>
        <w:rPr>
          <w:spacing w:val="-3"/>
        </w:rPr>
        <w:t> </w:t>
      </w:r>
      <w:r>
        <w:rPr/>
        <w:t>oxygen</w:t>
      </w:r>
      <w:r>
        <w:rPr>
          <w:spacing w:val="-1"/>
        </w:rPr>
        <w:t> </w:t>
      </w:r>
      <w:r>
        <w:rPr/>
        <w:t>delivery. Again, COHb levels of 2.5–3.0% shorten time of onset of exercise in patients with angina pectoris (WHO, 2000).</w:t>
      </w:r>
    </w:p>
    <w:p>
      <w:pPr>
        <w:spacing w:after="0" w:line="480" w:lineRule="auto"/>
        <w:sectPr>
          <w:pgSz w:w="11910" w:h="16840"/>
          <w:pgMar w:header="0" w:footer="1012" w:top="1620" w:bottom="1200" w:left="1680" w:right="1240"/>
        </w:sectPr>
      </w:pPr>
    </w:p>
    <w:p>
      <w:pPr>
        <w:spacing w:before="62"/>
        <w:ind w:left="588" w:right="0" w:firstLine="0"/>
        <w:jc w:val="left"/>
        <w:rPr>
          <w:i/>
          <w:sz w:val="24"/>
        </w:rPr>
      </w:pPr>
      <w:r>
        <w:rPr>
          <w:i/>
          <w:sz w:val="24"/>
        </w:rPr>
        <w:t>Case</w:t>
      </w:r>
      <w:r>
        <w:rPr>
          <w:i/>
          <w:spacing w:val="-1"/>
          <w:sz w:val="24"/>
        </w:rPr>
        <w:t> </w:t>
      </w:r>
      <w:r>
        <w:rPr>
          <w:i/>
          <w:sz w:val="24"/>
        </w:rPr>
        <w:t>of </w:t>
      </w:r>
      <w:r>
        <w:rPr>
          <w:i/>
          <w:spacing w:val="-2"/>
          <w:sz w:val="24"/>
        </w:rPr>
        <w:t>Nigeria</w:t>
      </w:r>
    </w:p>
    <w:p>
      <w:pPr>
        <w:pStyle w:val="BodyText"/>
        <w:rPr>
          <w:i/>
        </w:rPr>
      </w:pPr>
    </w:p>
    <w:p>
      <w:pPr>
        <w:pStyle w:val="BodyText"/>
        <w:spacing w:line="480" w:lineRule="auto"/>
        <w:ind w:left="588" w:right="180"/>
      </w:pPr>
      <w:r>
        <w:rPr/>
        <w:t>As</w:t>
      </w:r>
      <w:r>
        <w:rPr>
          <w:spacing w:val="-3"/>
        </w:rPr>
        <w:t> </w:t>
      </w:r>
      <w:r>
        <w:rPr/>
        <w:t>the</w:t>
      </w:r>
      <w:r>
        <w:rPr>
          <w:spacing w:val="-4"/>
        </w:rPr>
        <w:t> </w:t>
      </w:r>
      <w:r>
        <w:rPr/>
        <w:t>most</w:t>
      </w:r>
      <w:r>
        <w:rPr>
          <w:spacing w:val="-3"/>
        </w:rPr>
        <w:t> </w:t>
      </w:r>
      <w:r>
        <w:rPr/>
        <w:t>populous</w:t>
      </w:r>
      <w:r>
        <w:rPr>
          <w:spacing w:val="-3"/>
        </w:rPr>
        <w:t> </w:t>
      </w:r>
      <w:r>
        <w:rPr/>
        <w:t>nation</w:t>
      </w:r>
      <w:r>
        <w:rPr>
          <w:spacing w:val="-3"/>
        </w:rPr>
        <w:t> </w:t>
      </w:r>
      <w:r>
        <w:rPr/>
        <w:t>in</w:t>
      </w:r>
      <w:r>
        <w:rPr>
          <w:spacing w:val="-3"/>
        </w:rPr>
        <w:t> </w:t>
      </w:r>
      <w:r>
        <w:rPr/>
        <w:t>Africa,</w:t>
      </w:r>
      <w:r>
        <w:rPr>
          <w:spacing w:val="-2"/>
        </w:rPr>
        <w:t> </w:t>
      </w:r>
      <w:r>
        <w:rPr/>
        <w:t>the</w:t>
      </w:r>
      <w:r>
        <w:rPr>
          <w:spacing w:val="-4"/>
        </w:rPr>
        <w:t> </w:t>
      </w:r>
      <w:r>
        <w:rPr/>
        <w:t>West</w:t>
      </w:r>
      <w:r>
        <w:rPr>
          <w:spacing w:val="-3"/>
        </w:rPr>
        <w:t> </w:t>
      </w:r>
      <w:r>
        <w:rPr/>
        <w:t>African</w:t>
      </w:r>
      <w:r>
        <w:rPr>
          <w:spacing w:val="-1"/>
        </w:rPr>
        <w:t> </w:t>
      </w:r>
      <w:r>
        <w:rPr/>
        <w:t>country,</w:t>
      </w:r>
      <w:r>
        <w:rPr>
          <w:spacing w:val="-3"/>
        </w:rPr>
        <w:t> </w:t>
      </w:r>
      <w:r>
        <w:rPr/>
        <w:t>Nigeria,</w:t>
      </w:r>
      <w:r>
        <w:rPr>
          <w:spacing w:val="-3"/>
        </w:rPr>
        <w:t> </w:t>
      </w:r>
      <w:r>
        <w:rPr/>
        <w:t>has</w:t>
      </w:r>
      <w:r>
        <w:rPr>
          <w:spacing w:val="-3"/>
        </w:rPr>
        <w:t> </w:t>
      </w:r>
      <w:r>
        <w:rPr/>
        <w:t>a</w:t>
      </w:r>
      <w:r>
        <w:rPr>
          <w:spacing w:val="-4"/>
        </w:rPr>
        <w:t> </w:t>
      </w:r>
      <w:r>
        <w:rPr/>
        <w:t>large number of people living in rural areas (NPC &amp; ICF, 2014). In 2013, 37.9% urban population and 83.3% of rural population in Nigeria relies on solid fuels for cooking and heating (NPC &amp; ICF, 2014). Fewer than 5% of Nigerians have access to clean household fuel such as liquid gas electricity that does not emit pollutants (WHO, 2014). Many</w:t>
      </w:r>
      <w:r>
        <w:rPr>
          <w:spacing w:val="-1"/>
        </w:rPr>
        <w:t> </w:t>
      </w:r>
      <w:r>
        <w:rPr/>
        <w:t>people who use solid fuels in the rural parts of Nigeria have little or no knowledge of the health impacts of burning these fuels indoors. revealed that most people who cook indoors with solid fuel use unvented stoves with no chimney (NPC &amp; ICF, 2014). These stoves lead to the emission of pollutants, such as particulate matter and CO, because there is little or no ventilation.</w:t>
      </w:r>
    </w:p>
    <w:p>
      <w:pPr>
        <w:pStyle w:val="BodyText"/>
      </w:pPr>
    </w:p>
    <w:p>
      <w:pPr>
        <w:pStyle w:val="BodyText"/>
        <w:spacing w:before="2"/>
      </w:pPr>
    </w:p>
    <w:p>
      <w:pPr>
        <w:pStyle w:val="BodyText"/>
        <w:spacing w:line="480" w:lineRule="auto"/>
        <w:ind w:left="588" w:right="215"/>
      </w:pPr>
      <w:r>
        <w:rPr/>
        <w:t>Although there are many</w:t>
      </w:r>
      <w:r>
        <w:rPr>
          <w:spacing w:val="-1"/>
        </w:rPr>
        <w:t> </w:t>
      </w:r>
      <w:r>
        <w:rPr/>
        <w:t>studies on biomass and indoor air pollution in developing countries,</w:t>
      </w:r>
      <w:r>
        <w:rPr>
          <w:spacing w:val="-3"/>
        </w:rPr>
        <w:t> </w:t>
      </w:r>
      <w:r>
        <w:rPr/>
        <w:t>this</w:t>
      </w:r>
      <w:r>
        <w:rPr>
          <w:spacing w:val="-3"/>
        </w:rPr>
        <w:t> </w:t>
      </w:r>
      <w:r>
        <w:rPr/>
        <w:t>topic</w:t>
      </w:r>
      <w:r>
        <w:rPr>
          <w:spacing w:val="-4"/>
        </w:rPr>
        <w:t> </w:t>
      </w:r>
      <w:r>
        <w:rPr/>
        <w:t>is</w:t>
      </w:r>
      <w:r>
        <w:rPr>
          <w:spacing w:val="-3"/>
        </w:rPr>
        <w:t> </w:t>
      </w:r>
      <w:r>
        <w:rPr/>
        <w:t>critically</w:t>
      </w:r>
      <w:r>
        <w:rPr>
          <w:spacing w:val="-8"/>
        </w:rPr>
        <w:t> </w:t>
      </w:r>
      <w:r>
        <w:rPr/>
        <w:t>important</w:t>
      </w:r>
      <w:r>
        <w:rPr>
          <w:spacing w:val="-3"/>
        </w:rPr>
        <w:t> </w:t>
      </w:r>
      <w:r>
        <w:rPr/>
        <w:t>for</w:t>
      </w:r>
      <w:r>
        <w:rPr>
          <w:spacing w:val="-2"/>
        </w:rPr>
        <w:t> </w:t>
      </w:r>
      <w:r>
        <w:rPr/>
        <w:t>Nigeria</w:t>
      </w:r>
      <w:r>
        <w:rPr>
          <w:spacing w:val="-3"/>
        </w:rPr>
        <w:t> </w:t>
      </w:r>
      <w:r>
        <w:rPr/>
        <w:t>given</w:t>
      </w:r>
      <w:r>
        <w:rPr>
          <w:spacing w:val="-3"/>
        </w:rPr>
        <w:t> </w:t>
      </w:r>
      <w:r>
        <w:rPr/>
        <w:t>the</w:t>
      </w:r>
      <w:r>
        <w:rPr>
          <w:spacing w:val="-4"/>
        </w:rPr>
        <w:t> </w:t>
      </w:r>
      <w:r>
        <w:rPr/>
        <w:t>large</w:t>
      </w:r>
      <w:r>
        <w:rPr>
          <w:spacing w:val="-4"/>
        </w:rPr>
        <w:t> </w:t>
      </w:r>
      <w:r>
        <w:rPr/>
        <w:t>rural Nigerian population that relies on biomass for energy.</w:t>
      </w:r>
      <w:r>
        <w:rPr>
          <w:spacing w:val="80"/>
        </w:rPr>
        <w:t> </w:t>
      </w:r>
      <w:r>
        <w:rPr/>
        <w:t>In this study, I assessed the level of indoor pollution in households in a rural dryland community of Adamawa State, northeastern Nigeria, by measuring carbon monoxide levels in households with indoor kitchens. I also investigated the amount ventilation of these indoor spaces, household cooking habits, and who within these households was most affected by </w:t>
      </w:r>
      <w:r>
        <w:rPr>
          <w:spacing w:val="-4"/>
        </w:rPr>
        <w:t>IAP.</w:t>
      </w:r>
    </w:p>
    <w:p>
      <w:pPr>
        <w:spacing w:after="0" w:line="480" w:lineRule="auto"/>
        <w:sectPr>
          <w:pgSz w:w="11910" w:h="16840"/>
          <w:pgMar w:header="0" w:footer="1012" w:top="1620" w:bottom="1200" w:left="1680" w:right="1240"/>
        </w:sectPr>
      </w:pPr>
    </w:p>
    <w:p>
      <w:pPr>
        <w:pStyle w:val="Heading1"/>
      </w:pPr>
      <w:r>
        <w:rPr/>
        <w:t>HYPOTHESES,</w:t>
      </w:r>
      <w:r>
        <w:rPr>
          <w:spacing w:val="-3"/>
        </w:rPr>
        <w:t> </w:t>
      </w:r>
      <w:r>
        <w:rPr/>
        <w:t>AIMS</w:t>
      </w:r>
      <w:r>
        <w:rPr>
          <w:spacing w:val="-3"/>
        </w:rPr>
        <w:t> </w:t>
      </w:r>
      <w:r>
        <w:rPr/>
        <w:t>AND</w:t>
      </w:r>
      <w:r>
        <w:rPr>
          <w:spacing w:val="-2"/>
        </w:rPr>
        <w:t> OBJECTIVES</w:t>
      </w:r>
    </w:p>
    <w:p>
      <w:pPr>
        <w:pStyle w:val="BodyText"/>
        <w:rPr>
          <w:b/>
        </w:rPr>
      </w:pPr>
    </w:p>
    <w:p>
      <w:pPr>
        <w:pStyle w:val="BodyText"/>
        <w:spacing w:before="180"/>
        <w:rPr>
          <w:b/>
        </w:rPr>
      </w:pPr>
    </w:p>
    <w:p>
      <w:pPr>
        <w:pStyle w:val="BodyText"/>
        <w:spacing w:line="480" w:lineRule="auto" w:before="1"/>
        <w:ind w:left="588" w:right="396"/>
      </w:pPr>
      <w:r>
        <w:rPr>
          <w:b/>
        </w:rPr>
        <w:t>Null</w:t>
      </w:r>
      <w:r>
        <w:rPr>
          <w:b/>
          <w:spacing w:val="-4"/>
        </w:rPr>
        <w:t> </w:t>
      </w:r>
      <w:r>
        <w:rPr>
          <w:b/>
        </w:rPr>
        <w:t>Hypotheses:</w:t>
      </w:r>
      <w:r>
        <w:rPr>
          <w:b/>
          <w:spacing w:val="-4"/>
        </w:rPr>
        <w:t> </w:t>
      </w:r>
      <w:r>
        <w:rPr/>
        <w:t>Carbon</w:t>
      </w:r>
      <w:r>
        <w:rPr>
          <w:spacing w:val="-5"/>
        </w:rPr>
        <w:t> </w:t>
      </w:r>
      <w:r>
        <w:rPr/>
        <w:t>monoxide</w:t>
      </w:r>
      <w:r>
        <w:rPr>
          <w:spacing w:val="-4"/>
        </w:rPr>
        <w:t> </w:t>
      </w:r>
      <w:r>
        <w:rPr/>
        <w:t>levels</w:t>
      </w:r>
      <w:r>
        <w:rPr>
          <w:spacing w:val="-4"/>
        </w:rPr>
        <w:t> </w:t>
      </w:r>
      <w:r>
        <w:rPr/>
        <w:t>do</w:t>
      </w:r>
      <w:r>
        <w:rPr>
          <w:spacing w:val="-4"/>
        </w:rPr>
        <w:t> </w:t>
      </w:r>
      <w:r>
        <w:rPr/>
        <w:t>not</w:t>
      </w:r>
      <w:r>
        <w:rPr>
          <w:spacing w:val="-6"/>
        </w:rPr>
        <w:t> </w:t>
      </w:r>
      <w:r>
        <w:rPr/>
        <w:t>exceed</w:t>
      </w:r>
      <w:r>
        <w:rPr>
          <w:spacing w:val="-4"/>
        </w:rPr>
        <w:t> </w:t>
      </w:r>
      <w:r>
        <w:rPr/>
        <w:t>harmful</w:t>
      </w:r>
      <w:r>
        <w:rPr>
          <w:spacing w:val="-4"/>
        </w:rPr>
        <w:t> </w:t>
      </w:r>
      <w:r>
        <w:rPr/>
        <w:t>levels</w:t>
      </w:r>
      <w:r>
        <w:rPr>
          <w:spacing w:val="-4"/>
        </w:rPr>
        <w:t> </w:t>
      </w:r>
      <w:r>
        <w:rPr/>
        <w:t>in</w:t>
      </w:r>
      <w:r>
        <w:rPr>
          <w:spacing w:val="-4"/>
        </w:rPr>
        <w:t> </w:t>
      </w:r>
      <w:r>
        <w:rPr/>
        <w:t>rural households in Adamawa State, northeastern Nigeria.</w:t>
      </w:r>
    </w:p>
    <w:p>
      <w:pPr>
        <w:pStyle w:val="BodyText"/>
        <w:spacing w:before="275"/>
      </w:pPr>
    </w:p>
    <w:p>
      <w:pPr>
        <w:pStyle w:val="BodyText"/>
        <w:spacing w:line="480" w:lineRule="auto" w:before="1"/>
        <w:ind w:left="588" w:right="396"/>
      </w:pPr>
      <w:r>
        <w:rPr>
          <w:b/>
        </w:rPr>
        <w:t>Research</w:t>
      </w:r>
      <w:r>
        <w:rPr>
          <w:b/>
          <w:spacing w:val="-4"/>
        </w:rPr>
        <w:t> </w:t>
      </w:r>
      <w:r>
        <w:rPr>
          <w:b/>
        </w:rPr>
        <w:t>Hypothesis:</w:t>
      </w:r>
      <w:r>
        <w:rPr>
          <w:b/>
          <w:spacing w:val="-4"/>
        </w:rPr>
        <w:t> </w:t>
      </w:r>
      <w:r>
        <w:rPr/>
        <w:t>Carbon</w:t>
      </w:r>
      <w:r>
        <w:rPr>
          <w:spacing w:val="-5"/>
        </w:rPr>
        <w:t> </w:t>
      </w:r>
      <w:r>
        <w:rPr/>
        <w:t>monoxide</w:t>
      </w:r>
      <w:r>
        <w:rPr>
          <w:spacing w:val="-4"/>
        </w:rPr>
        <w:t> </w:t>
      </w:r>
      <w:r>
        <w:rPr/>
        <w:t>levels</w:t>
      </w:r>
      <w:r>
        <w:rPr>
          <w:spacing w:val="-4"/>
        </w:rPr>
        <w:t> </w:t>
      </w:r>
      <w:r>
        <w:rPr/>
        <w:t>exceed</w:t>
      </w:r>
      <w:r>
        <w:rPr>
          <w:spacing w:val="-4"/>
        </w:rPr>
        <w:t> </w:t>
      </w:r>
      <w:r>
        <w:rPr/>
        <w:t>harmful</w:t>
      </w:r>
      <w:r>
        <w:rPr>
          <w:spacing w:val="-4"/>
        </w:rPr>
        <w:t> </w:t>
      </w:r>
      <w:r>
        <w:rPr/>
        <w:t>levels</w:t>
      </w:r>
      <w:r>
        <w:rPr>
          <w:spacing w:val="-4"/>
        </w:rPr>
        <w:t> </w:t>
      </w:r>
      <w:r>
        <w:rPr/>
        <w:t>in</w:t>
      </w:r>
      <w:r>
        <w:rPr>
          <w:spacing w:val="-4"/>
        </w:rPr>
        <w:t> </w:t>
      </w:r>
      <w:r>
        <w:rPr/>
        <w:t>rural households in Adamawa State, northeastern Nigeria.</w:t>
      </w:r>
    </w:p>
    <w:p>
      <w:pPr>
        <w:pStyle w:val="BodyText"/>
      </w:pPr>
    </w:p>
    <w:p>
      <w:pPr>
        <w:pStyle w:val="BodyText"/>
      </w:pPr>
    </w:p>
    <w:p>
      <w:pPr>
        <w:pStyle w:val="Heading2"/>
      </w:pPr>
      <w:r>
        <w:rPr>
          <w:spacing w:val="-4"/>
        </w:rPr>
        <w:t>Aim:</w:t>
      </w:r>
    </w:p>
    <w:p>
      <w:pPr>
        <w:pStyle w:val="BodyText"/>
        <w:rPr>
          <w:b/>
        </w:rPr>
      </w:pPr>
    </w:p>
    <w:p>
      <w:pPr>
        <w:pStyle w:val="BodyText"/>
        <w:spacing w:line="480" w:lineRule="auto"/>
        <w:ind w:left="588" w:right="257"/>
      </w:pPr>
      <w:r>
        <w:rPr/>
        <w:t>To</w:t>
      </w:r>
      <w:r>
        <w:rPr>
          <w:spacing w:val="-3"/>
        </w:rPr>
        <w:t> </w:t>
      </w:r>
      <w:r>
        <w:rPr/>
        <w:t>assess</w:t>
      </w:r>
      <w:r>
        <w:rPr>
          <w:spacing w:val="-3"/>
        </w:rPr>
        <w:t> </w:t>
      </w:r>
      <w:r>
        <w:rPr/>
        <w:t>levels</w:t>
      </w:r>
      <w:r>
        <w:rPr>
          <w:spacing w:val="-3"/>
        </w:rPr>
        <w:t> </w:t>
      </w:r>
      <w:r>
        <w:rPr/>
        <w:t>of</w:t>
      </w:r>
      <w:r>
        <w:rPr>
          <w:spacing w:val="-2"/>
        </w:rPr>
        <w:t> </w:t>
      </w:r>
      <w:r>
        <w:rPr/>
        <w:t>exposure</w:t>
      </w:r>
      <w:r>
        <w:rPr>
          <w:spacing w:val="-5"/>
        </w:rPr>
        <w:t> </w:t>
      </w:r>
      <w:r>
        <w:rPr/>
        <w:t>to</w:t>
      </w:r>
      <w:r>
        <w:rPr>
          <w:spacing w:val="-3"/>
        </w:rPr>
        <w:t> </w:t>
      </w:r>
      <w:r>
        <w:rPr/>
        <w:t>indoor</w:t>
      </w:r>
      <w:r>
        <w:rPr>
          <w:spacing w:val="-4"/>
        </w:rPr>
        <w:t> </w:t>
      </w:r>
      <w:r>
        <w:rPr/>
        <w:t>air</w:t>
      </w:r>
      <w:r>
        <w:rPr>
          <w:spacing w:val="-3"/>
        </w:rPr>
        <w:t> </w:t>
      </w:r>
      <w:r>
        <w:rPr/>
        <w:t>pollution</w:t>
      </w:r>
      <w:r>
        <w:rPr>
          <w:spacing w:val="-3"/>
        </w:rPr>
        <w:t> </w:t>
      </w:r>
      <w:r>
        <w:rPr/>
        <w:t>from</w:t>
      </w:r>
      <w:r>
        <w:rPr>
          <w:spacing w:val="-3"/>
        </w:rPr>
        <w:t> </w:t>
      </w:r>
      <w:r>
        <w:rPr/>
        <w:t>biomass</w:t>
      </w:r>
      <w:r>
        <w:rPr>
          <w:spacing w:val="-3"/>
        </w:rPr>
        <w:t> </w:t>
      </w:r>
      <w:r>
        <w:rPr/>
        <w:t>burning</w:t>
      </w:r>
      <w:r>
        <w:rPr>
          <w:spacing w:val="-5"/>
        </w:rPr>
        <w:t> </w:t>
      </w:r>
      <w:r>
        <w:rPr/>
        <w:t>in</w:t>
      </w:r>
      <w:r>
        <w:rPr>
          <w:spacing w:val="-3"/>
        </w:rPr>
        <w:t> </w:t>
      </w:r>
      <w:r>
        <w:rPr/>
        <w:t>rural households in Bole community, Adamawa State, northeastern Nigeria.</w:t>
      </w:r>
    </w:p>
    <w:p>
      <w:pPr>
        <w:pStyle w:val="BodyText"/>
      </w:pPr>
    </w:p>
    <w:p>
      <w:pPr>
        <w:pStyle w:val="BodyText"/>
        <w:spacing w:before="1"/>
      </w:pPr>
    </w:p>
    <w:p>
      <w:pPr>
        <w:pStyle w:val="Heading2"/>
      </w:pPr>
      <w:r>
        <w:rPr>
          <w:spacing w:val="-2"/>
        </w:rPr>
        <w:t>Objectives:</w:t>
      </w:r>
    </w:p>
    <w:p>
      <w:pPr>
        <w:pStyle w:val="BodyText"/>
        <w:spacing w:before="2"/>
        <w:rPr>
          <w:b/>
        </w:rPr>
      </w:pPr>
    </w:p>
    <w:p>
      <w:pPr>
        <w:pStyle w:val="ListParagraph"/>
        <w:numPr>
          <w:ilvl w:val="0"/>
          <w:numId w:val="1"/>
        </w:numPr>
        <w:tabs>
          <w:tab w:pos="1308" w:val="left" w:leader="none"/>
        </w:tabs>
        <w:spacing w:line="463" w:lineRule="auto" w:before="0" w:after="0"/>
        <w:ind w:left="1308" w:right="1147" w:hanging="360"/>
        <w:jc w:val="left"/>
        <w:rPr>
          <w:sz w:val="24"/>
        </w:rPr>
      </w:pPr>
      <w:r>
        <w:rPr>
          <w:sz w:val="24"/>
        </w:rPr>
        <w:t>To</w:t>
      </w:r>
      <w:r>
        <w:rPr>
          <w:spacing w:val="-3"/>
          <w:sz w:val="24"/>
        </w:rPr>
        <w:t> </w:t>
      </w:r>
      <w:r>
        <w:rPr>
          <w:sz w:val="24"/>
        </w:rPr>
        <w:t>identify</w:t>
      </w:r>
      <w:r>
        <w:rPr>
          <w:spacing w:val="-8"/>
          <w:sz w:val="24"/>
        </w:rPr>
        <w:t> </w:t>
      </w:r>
      <w:r>
        <w:rPr>
          <w:sz w:val="24"/>
        </w:rPr>
        <w:t>the</w:t>
      </w:r>
      <w:r>
        <w:rPr>
          <w:spacing w:val="-3"/>
          <w:sz w:val="24"/>
        </w:rPr>
        <w:t> </w:t>
      </w:r>
      <w:r>
        <w:rPr>
          <w:sz w:val="24"/>
        </w:rPr>
        <w:t>main</w:t>
      </w:r>
      <w:r>
        <w:rPr>
          <w:spacing w:val="-3"/>
          <w:sz w:val="24"/>
        </w:rPr>
        <w:t> </w:t>
      </w:r>
      <w:r>
        <w:rPr>
          <w:sz w:val="24"/>
        </w:rPr>
        <w:t>sources</w:t>
      </w:r>
      <w:r>
        <w:rPr>
          <w:spacing w:val="-3"/>
          <w:sz w:val="24"/>
        </w:rPr>
        <w:t> </w:t>
      </w:r>
      <w:r>
        <w:rPr>
          <w:sz w:val="24"/>
        </w:rPr>
        <w:t>of</w:t>
      </w:r>
      <w:r>
        <w:rPr>
          <w:spacing w:val="-3"/>
          <w:sz w:val="24"/>
        </w:rPr>
        <w:t> </w:t>
      </w:r>
      <w:r>
        <w:rPr>
          <w:sz w:val="24"/>
        </w:rPr>
        <w:t>fuel</w:t>
      </w:r>
      <w:r>
        <w:rPr>
          <w:spacing w:val="-3"/>
          <w:sz w:val="24"/>
        </w:rPr>
        <w:t> </w:t>
      </w:r>
      <w:r>
        <w:rPr>
          <w:sz w:val="24"/>
        </w:rPr>
        <w:t>used</w:t>
      </w:r>
      <w:r>
        <w:rPr>
          <w:spacing w:val="-3"/>
          <w:sz w:val="24"/>
        </w:rPr>
        <w:t> </w:t>
      </w:r>
      <w:r>
        <w:rPr>
          <w:sz w:val="24"/>
        </w:rPr>
        <w:t>for</w:t>
      </w:r>
      <w:r>
        <w:rPr>
          <w:spacing w:val="-2"/>
          <w:sz w:val="24"/>
        </w:rPr>
        <w:t> </w:t>
      </w:r>
      <w:r>
        <w:rPr>
          <w:sz w:val="24"/>
        </w:rPr>
        <w:t>cooking</w:t>
      </w:r>
      <w:r>
        <w:rPr>
          <w:spacing w:val="-6"/>
          <w:sz w:val="24"/>
        </w:rPr>
        <w:t> </w:t>
      </w:r>
      <w:r>
        <w:rPr>
          <w:sz w:val="24"/>
        </w:rPr>
        <w:t>and</w:t>
      </w:r>
      <w:r>
        <w:rPr>
          <w:spacing w:val="-3"/>
          <w:sz w:val="24"/>
        </w:rPr>
        <w:t> </w:t>
      </w:r>
      <w:r>
        <w:rPr>
          <w:sz w:val="24"/>
        </w:rPr>
        <w:t>heating</w:t>
      </w:r>
      <w:r>
        <w:rPr>
          <w:spacing w:val="-6"/>
          <w:sz w:val="24"/>
        </w:rPr>
        <w:t> </w:t>
      </w:r>
      <w:r>
        <w:rPr>
          <w:sz w:val="24"/>
        </w:rPr>
        <w:t>in </w:t>
      </w:r>
      <w:r>
        <w:rPr>
          <w:spacing w:val="-2"/>
          <w:sz w:val="24"/>
        </w:rPr>
        <w:t>households.</w:t>
      </w:r>
    </w:p>
    <w:p>
      <w:pPr>
        <w:pStyle w:val="ListParagraph"/>
        <w:numPr>
          <w:ilvl w:val="0"/>
          <w:numId w:val="1"/>
        </w:numPr>
        <w:tabs>
          <w:tab w:pos="1308" w:val="left" w:leader="none"/>
        </w:tabs>
        <w:spacing w:line="240" w:lineRule="auto" w:before="21" w:after="0"/>
        <w:ind w:left="1308" w:right="0" w:hanging="360"/>
        <w:jc w:val="left"/>
        <w:rPr>
          <w:sz w:val="24"/>
        </w:rPr>
      </w:pPr>
      <w:r>
        <w:rPr>
          <w:sz w:val="24"/>
        </w:rPr>
        <w:t>To</w:t>
      </w:r>
      <w:r>
        <w:rPr>
          <w:spacing w:val="-3"/>
          <w:sz w:val="24"/>
        </w:rPr>
        <w:t> </w:t>
      </w:r>
      <w:r>
        <w:rPr>
          <w:sz w:val="24"/>
        </w:rPr>
        <w:t>evaluate</w:t>
      </w:r>
      <w:r>
        <w:rPr>
          <w:spacing w:val="-2"/>
          <w:sz w:val="24"/>
        </w:rPr>
        <w:t> </w:t>
      </w:r>
      <w:r>
        <w:rPr>
          <w:sz w:val="24"/>
        </w:rPr>
        <w:t>ventilation of</w:t>
      </w:r>
      <w:r>
        <w:rPr>
          <w:spacing w:val="-1"/>
          <w:sz w:val="24"/>
        </w:rPr>
        <w:t> </w:t>
      </w:r>
      <w:r>
        <w:rPr>
          <w:sz w:val="24"/>
        </w:rPr>
        <w:t>household</w:t>
      </w:r>
      <w:r>
        <w:rPr>
          <w:spacing w:val="-1"/>
          <w:sz w:val="24"/>
        </w:rPr>
        <w:t> </w:t>
      </w:r>
      <w:r>
        <w:rPr>
          <w:sz w:val="24"/>
        </w:rPr>
        <w:t>rooms where cooking</w:t>
      </w:r>
      <w:r>
        <w:rPr>
          <w:spacing w:val="-1"/>
          <w:sz w:val="24"/>
        </w:rPr>
        <w:t> </w:t>
      </w:r>
      <w:r>
        <w:rPr>
          <w:sz w:val="24"/>
        </w:rPr>
        <w:t>activities </w:t>
      </w:r>
      <w:r>
        <w:rPr>
          <w:spacing w:val="-2"/>
          <w:sz w:val="24"/>
        </w:rPr>
        <w:t>occur.</w:t>
      </w:r>
    </w:p>
    <w:p>
      <w:pPr>
        <w:pStyle w:val="BodyText"/>
        <w:spacing w:before="1"/>
      </w:pPr>
    </w:p>
    <w:p>
      <w:pPr>
        <w:pStyle w:val="ListParagraph"/>
        <w:numPr>
          <w:ilvl w:val="0"/>
          <w:numId w:val="1"/>
        </w:numPr>
        <w:tabs>
          <w:tab w:pos="1308" w:val="left" w:leader="none"/>
        </w:tabs>
        <w:spacing w:line="240" w:lineRule="auto" w:before="0" w:after="0"/>
        <w:ind w:left="1308" w:right="0" w:hanging="360"/>
        <w:jc w:val="left"/>
        <w:rPr>
          <w:sz w:val="24"/>
        </w:rPr>
      </w:pPr>
      <w:r>
        <w:rPr>
          <w:sz w:val="24"/>
        </w:rPr>
        <w:t>To measure carbon</w:t>
      </w:r>
      <w:r>
        <w:rPr>
          <w:spacing w:val="-1"/>
          <w:sz w:val="24"/>
        </w:rPr>
        <w:t> </w:t>
      </w:r>
      <w:r>
        <w:rPr>
          <w:sz w:val="24"/>
        </w:rPr>
        <w:t>monoxide exposure</w:t>
      </w:r>
      <w:r>
        <w:rPr>
          <w:spacing w:val="-2"/>
          <w:sz w:val="24"/>
        </w:rPr>
        <w:t> </w:t>
      </w:r>
      <w:r>
        <w:rPr>
          <w:sz w:val="24"/>
        </w:rPr>
        <w:t>in </w:t>
      </w:r>
      <w:r>
        <w:rPr>
          <w:spacing w:val="-2"/>
          <w:sz w:val="24"/>
        </w:rPr>
        <w:t>households.</w:t>
      </w:r>
    </w:p>
    <w:p>
      <w:pPr>
        <w:pStyle w:val="ListParagraph"/>
        <w:numPr>
          <w:ilvl w:val="0"/>
          <w:numId w:val="1"/>
        </w:numPr>
        <w:tabs>
          <w:tab w:pos="1308" w:val="left" w:leader="none"/>
        </w:tabs>
        <w:spacing w:line="463" w:lineRule="auto" w:before="275" w:after="0"/>
        <w:ind w:left="1308" w:right="517" w:hanging="360"/>
        <w:jc w:val="left"/>
        <w:rPr>
          <w:sz w:val="24"/>
        </w:rPr>
      </w:pPr>
      <w:r>
        <w:rPr>
          <w:sz w:val="24"/>
        </w:rPr>
        <w:t>To</w:t>
      </w:r>
      <w:r>
        <w:rPr>
          <w:spacing w:val="-4"/>
          <w:sz w:val="24"/>
        </w:rPr>
        <w:t> </w:t>
      </w:r>
      <w:r>
        <w:rPr>
          <w:sz w:val="24"/>
        </w:rPr>
        <w:t>compare</w:t>
      </w:r>
      <w:r>
        <w:rPr>
          <w:spacing w:val="-5"/>
          <w:sz w:val="24"/>
        </w:rPr>
        <w:t> </w:t>
      </w:r>
      <w:r>
        <w:rPr>
          <w:sz w:val="24"/>
        </w:rPr>
        <w:t>levels</w:t>
      </w:r>
      <w:r>
        <w:rPr>
          <w:spacing w:val="-4"/>
          <w:sz w:val="24"/>
        </w:rPr>
        <w:t> </w:t>
      </w:r>
      <w:r>
        <w:rPr>
          <w:sz w:val="24"/>
        </w:rPr>
        <w:t>of</w:t>
      </w:r>
      <w:r>
        <w:rPr>
          <w:spacing w:val="-3"/>
          <w:sz w:val="24"/>
        </w:rPr>
        <w:t> </w:t>
      </w:r>
      <w:r>
        <w:rPr>
          <w:sz w:val="24"/>
        </w:rPr>
        <w:t>carbon</w:t>
      </w:r>
      <w:r>
        <w:rPr>
          <w:spacing w:val="-4"/>
          <w:sz w:val="24"/>
        </w:rPr>
        <w:t> </w:t>
      </w:r>
      <w:r>
        <w:rPr>
          <w:sz w:val="24"/>
        </w:rPr>
        <w:t>monoxide</w:t>
      </w:r>
      <w:r>
        <w:rPr>
          <w:spacing w:val="-4"/>
          <w:sz w:val="24"/>
        </w:rPr>
        <w:t> </w:t>
      </w:r>
      <w:r>
        <w:rPr>
          <w:sz w:val="24"/>
        </w:rPr>
        <w:t>(CO)</w:t>
      </w:r>
      <w:r>
        <w:rPr>
          <w:spacing w:val="-5"/>
          <w:sz w:val="24"/>
        </w:rPr>
        <w:t> </w:t>
      </w:r>
      <w:r>
        <w:rPr>
          <w:sz w:val="24"/>
        </w:rPr>
        <w:t>measured</w:t>
      </w:r>
      <w:r>
        <w:rPr>
          <w:spacing w:val="-4"/>
          <w:sz w:val="24"/>
        </w:rPr>
        <w:t> </w:t>
      </w:r>
      <w:r>
        <w:rPr>
          <w:sz w:val="24"/>
        </w:rPr>
        <w:t>with</w:t>
      </w:r>
      <w:r>
        <w:rPr>
          <w:spacing w:val="-4"/>
          <w:sz w:val="24"/>
        </w:rPr>
        <w:t> </w:t>
      </w:r>
      <w:r>
        <w:rPr>
          <w:sz w:val="24"/>
        </w:rPr>
        <w:t>World</w:t>
      </w:r>
      <w:r>
        <w:rPr>
          <w:spacing w:val="-4"/>
          <w:sz w:val="24"/>
        </w:rPr>
        <w:t> </w:t>
      </w:r>
      <w:r>
        <w:rPr>
          <w:sz w:val="24"/>
        </w:rPr>
        <w:t>Health Organization’s CO exposure guidelines.</w:t>
      </w:r>
    </w:p>
    <w:p>
      <w:pPr>
        <w:pStyle w:val="ListParagraph"/>
        <w:numPr>
          <w:ilvl w:val="0"/>
          <w:numId w:val="1"/>
        </w:numPr>
        <w:tabs>
          <w:tab w:pos="1308" w:val="left" w:leader="none"/>
        </w:tabs>
        <w:spacing w:line="240" w:lineRule="auto" w:before="21" w:after="0"/>
        <w:ind w:left="1308" w:right="0" w:hanging="360"/>
        <w:jc w:val="left"/>
        <w:rPr>
          <w:sz w:val="24"/>
        </w:rPr>
      </w:pPr>
      <w:r>
        <w:rPr>
          <w:sz w:val="24"/>
        </w:rPr>
        <w:t>To</w:t>
      </w:r>
      <w:r>
        <w:rPr>
          <w:spacing w:val="-3"/>
          <w:sz w:val="24"/>
        </w:rPr>
        <w:t> </w:t>
      </w:r>
      <w:r>
        <w:rPr>
          <w:sz w:val="24"/>
        </w:rPr>
        <w:t>create</w:t>
      </w:r>
      <w:r>
        <w:rPr>
          <w:spacing w:val="-1"/>
          <w:sz w:val="24"/>
        </w:rPr>
        <w:t> </w:t>
      </w:r>
      <w:r>
        <w:rPr>
          <w:sz w:val="24"/>
        </w:rPr>
        <w:t>local awareness</w:t>
      </w:r>
      <w:r>
        <w:rPr>
          <w:spacing w:val="-1"/>
          <w:sz w:val="24"/>
        </w:rPr>
        <w:t> </w:t>
      </w:r>
      <w:r>
        <w:rPr>
          <w:sz w:val="24"/>
        </w:rPr>
        <w:t>about indoor</w:t>
      </w:r>
      <w:r>
        <w:rPr>
          <w:spacing w:val="-2"/>
          <w:sz w:val="24"/>
        </w:rPr>
        <w:t> </w:t>
      </w:r>
      <w:r>
        <w:rPr>
          <w:sz w:val="24"/>
        </w:rPr>
        <w:t>air </w:t>
      </w:r>
      <w:r>
        <w:rPr>
          <w:spacing w:val="-2"/>
          <w:sz w:val="24"/>
        </w:rPr>
        <w:t>pollution.</w:t>
      </w:r>
    </w:p>
    <w:p>
      <w:pPr>
        <w:pStyle w:val="ListParagraph"/>
        <w:numPr>
          <w:ilvl w:val="0"/>
          <w:numId w:val="1"/>
        </w:numPr>
        <w:tabs>
          <w:tab w:pos="1308" w:val="left" w:leader="none"/>
        </w:tabs>
        <w:spacing w:line="463" w:lineRule="auto" w:before="275" w:after="0"/>
        <w:ind w:left="1308" w:right="635" w:hanging="360"/>
        <w:jc w:val="left"/>
        <w:rPr>
          <w:sz w:val="24"/>
        </w:rPr>
      </w:pPr>
      <w:r>
        <w:rPr>
          <w:sz w:val="24"/>
        </w:rPr>
        <w:t>Based</w:t>
      </w:r>
      <w:r>
        <w:rPr>
          <w:spacing w:val="-4"/>
          <w:sz w:val="24"/>
        </w:rPr>
        <w:t> </w:t>
      </w:r>
      <w:r>
        <w:rPr>
          <w:sz w:val="24"/>
        </w:rPr>
        <w:t>on</w:t>
      </w:r>
      <w:r>
        <w:rPr>
          <w:spacing w:val="-4"/>
          <w:sz w:val="24"/>
        </w:rPr>
        <w:t> </w:t>
      </w:r>
      <w:r>
        <w:rPr>
          <w:sz w:val="24"/>
        </w:rPr>
        <w:t>the</w:t>
      </w:r>
      <w:r>
        <w:rPr>
          <w:spacing w:val="-5"/>
          <w:sz w:val="24"/>
        </w:rPr>
        <w:t> </w:t>
      </w:r>
      <w:r>
        <w:rPr>
          <w:sz w:val="24"/>
        </w:rPr>
        <w:t>results,</w:t>
      </w:r>
      <w:r>
        <w:rPr>
          <w:spacing w:val="-4"/>
          <w:sz w:val="24"/>
        </w:rPr>
        <w:t> </w:t>
      </w:r>
      <w:r>
        <w:rPr>
          <w:sz w:val="24"/>
        </w:rPr>
        <w:t>to</w:t>
      </w:r>
      <w:r>
        <w:rPr>
          <w:spacing w:val="-4"/>
          <w:sz w:val="24"/>
        </w:rPr>
        <w:t> </w:t>
      </w:r>
      <w:r>
        <w:rPr>
          <w:sz w:val="24"/>
        </w:rPr>
        <w:t>recommend</w:t>
      </w:r>
      <w:r>
        <w:rPr>
          <w:spacing w:val="-2"/>
          <w:sz w:val="24"/>
        </w:rPr>
        <w:t> </w:t>
      </w:r>
      <w:r>
        <w:rPr>
          <w:sz w:val="24"/>
        </w:rPr>
        <w:t>alternatives</w:t>
      </w:r>
      <w:r>
        <w:rPr>
          <w:spacing w:val="-3"/>
          <w:sz w:val="24"/>
        </w:rPr>
        <w:t> </w:t>
      </w:r>
      <w:r>
        <w:rPr>
          <w:sz w:val="24"/>
        </w:rPr>
        <w:t>to</w:t>
      </w:r>
      <w:r>
        <w:rPr>
          <w:spacing w:val="-4"/>
          <w:sz w:val="24"/>
        </w:rPr>
        <w:t> </w:t>
      </w:r>
      <w:r>
        <w:rPr>
          <w:sz w:val="24"/>
        </w:rPr>
        <w:t>whom?</w:t>
      </w:r>
      <w:r>
        <w:rPr>
          <w:spacing w:val="-1"/>
          <w:sz w:val="24"/>
        </w:rPr>
        <w:t> </w:t>
      </w:r>
      <w:r>
        <w:rPr>
          <w:sz w:val="24"/>
        </w:rPr>
        <w:t>to</w:t>
      </w:r>
      <w:r>
        <w:rPr>
          <w:spacing w:val="-4"/>
          <w:sz w:val="24"/>
        </w:rPr>
        <w:t> </w:t>
      </w:r>
      <w:r>
        <w:rPr>
          <w:sz w:val="24"/>
        </w:rPr>
        <w:t>biomass</w:t>
      </w:r>
      <w:r>
        <w:rPr>
          <w:spacing w:val="-4"/>
          <w:sz w:val="24"/>
        </w:rPr>
        <w:t> </w:t>
      </w:r>
      <w:r>
        <w:rPr>
          <w:sz w:val="24"/>
        </w:rPr>
        <w:t>for </w:t>
      </w:r>
      <w:r>
        <w:rPr>
          <w:spacing w:val="-2"/>
          <w:sz w:val="24"/>
        </w:rPr>
        <w:t>fuel.</w:t>
      </w:r>
    </w:p>
    <w:p>
      <w:pPr>
        <w:spacing w:after="0" w:line="463" w:lineRule="auto"/>
        <w:jc w:val="left"/>
        <w:rPr>
          <w:sz w:val="24"/>
        </w:rPr>
        <w:sectPr>
          <w:pgSz w:w="11910" w:h="16840"/>
          <w:pgMar w:header="0" w:footer="1012" w:top="1620" w:bottom="1200" w:left="1680" w:right="1240"/>
        </w:sectPr>
      </w:pPr>
    </w:p>
    <w:p>
      <w:pPr>
        <w:pStyle w:val="Heading1"/>
      </w:pPr>
      <w:bookmarkStart w:name="_TOC_250002" w:id="6"/>
      <w:r>
        <w:rPr/>
        <w:t>CHAPTER</w:t>
      </w:r>
      <w:r>
        <w:rPr>
          <w:spacing w:val="-4"/>
        </w:rPr>
        <w:t> </w:t>
      </w:r>
      <w:bookmarkEnd w:id="6"/>
      <w:r>
        <w:rPr>
          <w:spacing w:val="-10"/>
        </w:rPr>
        <w:t>2</w:t>
      </w:r>
    </w:p>
    <w:p>
      <w:pPr>
        <w:pStyle w:val="BodyText"/>
        <w:rPr>
          <w:b/>
        </w:rPr>
      </w:pPr>
    </w:p>
    <w:p>
      <w:pPr>
        <w:pStyle w:val="Heading1"/>
        <w:spacing w:before="0"/>
      </w:pPr>
      <w:bookmarkStart w:name="_TOC_250001" w:id="7"/>
      <w:r>
        <w:rPr/>
        <w:t>MATERIALS</w:t>
      </w:r>
      <w:r>
        <w:rPr>
          <w:spacing w:val="-1"/>
        </w:rPr>
        <w:t> </w:t>
      </w:r>
      <w:r>
        <w:rPr/>
        <w:t>&amp;</w:t>
      </w:r>
      <w:bookmarkEnd w:id="7"/>
      <w:r>
        <w:rPr>
          <w:spacing w:val="-2"/>
        </w:rPr>
        <w:t> METHODS</w:t>
      </w:r>
    </w:p>
    <w:p>
      <w:pPr>
        <w:pStyle w:val="BodyText"/>
        <w:rPr>
          <w:b/>
        </w:rPr>
      </w:pPr>
    </w:p>
    <w:p>
      <w:pPr>
        <w:spacing w:before="1"/>
        <w:ind w:left="588" w:right="0" w:firstLine="0"/>
        <w:jc w:val="left"/>
        <w:rPr>
          <w:i/>
          <w:sz w:val="24"/>
        </w:rPr>
      </w:pPr>
      <w:r>
        <w:rPr>
          <w:i/>
          <w:sz w:val="24"/>
        </w:rPr>
        <w:t>Study</w:t>
      </w:r>
      <w:r>
        <w:rPr>
          <w:i/>
          <w:spacing w:val="-1"/>
          <w:sz w:val="24"/>
        </w:rPr>
        <w:t> </w:t>
      </w:r>
      <w:r>
        <w:rPr>
          <w:i/>
          <w:spacing w:val="-4"/>
          <w:sz w:val="24"/>
        </w:rPr>
        <w:t>site</w:t>
      </w:r>
    </w:p>
    <w:p>
      <w:pPr>
        <w:pStyle w:val="BodyText"/>
        <w:spacing w:line="480" w:lineRule="auto" w:before="276"/>
        <w:ind w:left="588" w:right="185"/>
      </w:pPr>
      <w:r>
        <w:rPr/>
        <w:t>I conducted my study in September-October 2017 in Bole Community Adamawa State, northeastern Nigeria. The community consists of 33 wards, each of which is headed by a ward leader who reports to one chief (Baker, 2018). Residents of Bole are</w:t>
      </w:r>
      <w:r>
        <w:rPr>
          <w:spacing w:val="-4"/>
        </w:rPr>
        <w:t> </w:t>
      </w:r>
      <w:r>
        <w:rPr/>
        <w:t>mainly</w:t>
      </w:r>
      <w:r>
        <w:rPr>
          <w:spacing w:val="-7"/>
        </w:rPr>
        <w:t> </w:t>
      </w:r>
      <w:r>
        <w:rPr/>
        <w:t>farmers and</w:t>
      </w:r>
      <w:r>
        <w:rPr>
          <w:spacing w:val="-2"/>
        </w:rPr>
        <w:t> </w:t>
      </w:r>
      <w:r>
        <w:rPr/>
        <w:t>petty</w:t>
      </w:r>
      <w:r>
        <w:rPr>
          <w:spacing w:val="-7"/>
        </w:rPr>
        <w:t> </w:t>
      </w:r>
      <w:r>
        <w:rPr/>
        <w:t>traders</w:t>
      </w:r>
      <w:r>
        <w:rPr>
          <w:spacing w:val="-2"/>
        </w:rPr>
        <w:t> </w:t>
      </w:r>
      <w:r>
        <w:rPr/>
        <w:t>farm</w:t>
      </w:r>
      <w:r>
        <w:rPr>
          <w:spacing w:val="-2"/>
        </w:rPr>
        <w:t> </w:t>
      </w:r>
      <w:r>
        <w:rPr/>
        <w:t>during</w:t>
      </w:r>
      <w:r>
        <w:rPr>
          <w:spacing w:val="-5"/>
        </w:rPr>
        <w:t> </w:t>
      </w:r>
      <w:r>
        <w:rPr/>
        <w:t>raining</w:t>
      </w:r>
      <w:r>
        <w:rPr>
          <w:spacing w:val="-5"/>
        </w:rPr>
        <w:t> </w:t>
      </w:r>
      <w:r>
        <w:rPr/>
        <w:t>season and</w:t>
      </w:r>
      <w:r>
        <w:rPr>
          <w:spacing w:val="-2"/>
        </w:rPr>
        <w:t> </w:t>
      </w:r>
      <w:r>
        <w:rPr/>
        <w:t>fish</w:t>
      </w:r>
      <w:r>
        <w:rPr>
          <w:spacing w:val="-2"/>
        </w:rPr>
        <w:t> </w:t>
      </w:r>
      <w:r>
        <w:rPr/>
        <w:t>after</w:t>
      </w:r>
      <w:r>
        <w:rPr>
          <w:spacing w:val="-2"/>
        </w:rPr>
        <w:t> </w:t>
      </w:r>
      <w:r>
        <w:rPr/>
        <w:t>raining season has ended (Fig. 3).</w:t>
      </w:r>
    </w:p>
    <w:p>
      <w:pPr>
        <w:pStyle w:val="BodyText"/>
      </w:pPr>
    </w:p>
    <w:p>
      <w:pPr>
        <w:pStyle w:val="BodyText"/>
      </w:pPr>
    </w:p>
    <w:p>
      <w:pPr>
        <w:pStyle w:val="BodyText"/>
        <w:spacing w:line="480" w:lineRule="auto"/>
        <w:ind w:left="588" w:right="396"/>
      </w:pPr>
      <w:r>
        <w:rPr/>
        <w:t>Bole occurs in a tropical, dryland region, with a rainy season from about April to October and a dry season from November to March; temperatures generally get cooler</w:t>
      </w:r>
      <w:r>
        <w:rPr>
          <w:spacing w:val="-5"/>
        </w:rPr>
        <w:t> </w:t>
      </w:r>
      <w:r>
        <w:rPr/>
        <w:t>from</w:t>
      </w:r>
      <w:r>
        <w:rPr>
          <w:spacing w:val="-3"/>
        </w:rPr>
        <w:t> </w:t>
      </w:r>
      <w:r>
        <w:rPr/>
        <w:t>December</w:t>
      </w:r>
      <w:r>
        <w:rPr>
          <w:spacing w:val="-5"/>
        </w:rPr>
        <w:t> </w:t>
      </w:r>
      <w:r>
        <w:rPr/>
        <w:t>to</w:t>
      </w:r>
      <w:r>
        <w:rPr>
          <w:spacing w:val="-1"/>
        </w:rPr>
        <w:t> </w:t>
      </w:r>
      <w:r>
        <w:rPr/>
        <w:t>February</w:t>
      </w:r>
      <w:r>
        <w:rPr>
          <w:spacing w:val="-6"/>
        </w:rPr>
        <w:t> </w:t>
      </w:r>
      <w:r>
        <w:rPr/>
        <w:t>(Baker,</w:t>
      </w:r>
      <w:r>
        <w:rPr>
          <w:spacing w:val="-3"/>
        </w:rPr>
        <w:t> </w:t>
      </w:r>
      <w:r>
        <w:rPr/>
        <w:t>2018).</w:t>
      </w:r>
      <w:r>
        <w:rPr>
          <w:spacing w:val="-1"/>
        </w:rPr>
        <w:t> </w:t>
      </w:r>
      <w:r>
        <w:rPr/>
        <w:t>Having</w:t>
      </w:r>
      <w:r>
        <w:rPr>
          <w:spacing w:val="-5"/>
        </w:rPr>
        <w:t> </w:t>
      </w:r>
      <w:r>
        <w:rPr/>
        <w:t>no</w:t>
      </w:r>
      <w:r>
        <w:rPr>
          <w:spacing w:val="-1"/>
        </w:rPr>
        <w:t> </w:t>
      </w:r>
      <w:r>
        <w:rPr/>
        <w:t>electricity</w:t>
      </w:r>
      <w:r>
        <w:rPr>
          <w:spacing w:val="-8"/>
        </w:rPr>
        <w:t> </w:t>
      </w:r>
      <w:r>
        <w:rPr/>
        <w:t>or</w:t>
      </w:r>
      <w:r>
        <w:rPr>
          <w:spacing w:val="-2"/>
        </w:rPr>
        <w:t> </w:t>
      </w:r>
      <w:r>
        <w:rPr/>
        <w:t>running water, residents in the rural area of Bole often use biomass for cooking. Although many residents cook outdoors, they often cook indoors or under covered outdoor areas during the raining season and, at times, when it is late at night or in the afternoon when temperatures are high.</w:t>
      </w:r>
    </w:p>
    <w:p>
      <w:pPr>
        <w:pStyle w:val="BodyText"/>
        <w:spacing w:before="275"/>
      </w:pPr>
    </w:p>
    <w:p>
      <w:pPr>
        <w:spacing w:before="0"/>
        <w:ind w:left="588" w:right="0" w:firstLine="0"/>
        <w:jc w:val="left"/>
        <w:rPr>
          <w:i/>
          <w:sz w:val="24"/>
        </w:rPr>
      </w:pPr>
      <w:r>
        <w:rPr>
          <w:i/>
          <w:spacing w:val="-2"/>
          <w:sz w:val="24"/>
        </w:rPr>
        <w:t>Sampling</w:t>
      </w:r>
    </w:p>
    <w:p>
      <w:pPr>
        <w:pStyle w:val="BodyText"/>
        <w:rPr>
          <w:i/>
        </w:rPr>
      </w:pPr>
    </w:p>
    <w:p>
      <w:pPr>
        <w:pStyle w:val="BodyText"/>
        <w:spacing w:line="480" w:lineRule="auto"/>
        <w:ind w:left="588" w:right="255"/>
      </w:pPr>
      <w:r>
        <w:rPr/>
        <w:t>My sampling unit was the individual household. I used convenience sampling method to interview almost all the adult (≥18) heads-of-households (either men or women)</w:t>
      </w:r>
      <w:r>
        <w:rPr>
          <w:spacing w:val="-4"/>
        </w:rPr>
        <w:t> </w:t>
      </w:r>
      <w:r>
        <w:rPr/>
        <w:t>who</w:t>
      </w:r>
      <w:r>
        <w:rPr>
          <w:spacing w:val="-4"/>
        </w:rPr>
        <w:t> </w:t>
      </w:r>
      <w:r>
        <w:rPr/>
        <w:t>were</w:t>
      </w:r>
      <w:r>
        <w:rPr>
          <w:spacing w:val="-3"/>
        </w:rPr>
        <w:t> </w:t>
      </w:r>
      <w:r>
        <w:rPr/>
        <w:t>available</w:t>
      </w:r>
      <w:r>
        <w:rPr>
          <w:spacing w:val="-3"/>
        </w:rPr>
        <w:t> </w:t>
      </w:r>
      <w:r>
        <w:rPr/>
        <w:t>and</w:t>
      </w:r>
      <w:r>
        <w:rPr>
          <w:spacing w:val="-3"/>
        </w:rPr>
        <w:t> </w:t>
      </w:r>
      <w:r>
        <w:rPr/>
        <w:t>agreed</w:t>
      </w:r>
      <w:r>
        <w:rPr>
          <w:spacing w:val="-3"/>
        </w:rPr>
        <w:t> </w:t>
      </w:r>
      <w:r>
        <w:rPr/>
        <w:t>to</w:t>
      </w:r>
      <w:r>
        <w:rPr>
          <w:spacing w:val="-3"/>
        </w:rPr>
        <w:t> </w:t>
      </w:r>
      <w:r>
        <w:rPr/>
        <w:t>be</w:t>
      </w:r>
      <w:r>
        <w:rPr>
          <w:spacing w:val="-1"/>
        </w:rPr>
        <w:t> </w:t>
      </w:r>
      <w:r>
        <w:rPr/>
        <w:t>interviewed.</w:t>
      </w:r>
      <w:r>
        <w:rPr>
          <w:spacing w:val="-3"/>
        </w:rPr>
        <w:t> </w:t>
      </w:r>
      <w:r>
        <w:rPr/>
        <w:t>The</w:t>
      </w:r>
      <w:r>
        <w:rPr>
          <w:spacing w:val="-5"/>
        </w:rPr>
        <w:t> </w:t>
      </w:r>
      <w:r>
        <w:rPr/>
        <w:t>heads-of-household I interviewed lived in one of seven wards in the Bole community. I interviewed residents in 29 households in Lakare ward, 31 in Docochi, 25 in Bole 3, 29 in Bantaji, 5 in Alarba, 23 in Wuro Moddibo Raji, and 16 in Dakere. My total sample size was thus 158 households.</w:t>
      </w:r>
    </w:p>
    <w:p>
      <w:pPr>
        <w:spacing w:after="0" w:line="480" w:lineRule="auto"/>
        <w:sectPr>
          <w:pgSz w:w="11910" w:h="16840"/>
          <w:pgMar w:header="0" w:footer="1012" w:top="1620" w:bottom="1200" w:left="1680" w:right="1240"/>
        </w:sectPr>
      </w:pPr>
    </w:p>
    <w:p>
      <w:pPr>
        <w:pStyle w:val="BodyText"/>
        <w:ind w:left="692"/>
        <w:rPr>
          <w:sz w:val="20"/>
        </w:rPr>
      </w:pPr>
      <w:r>
        <w:rPr>
          <w:sz w:val="20"/>
        </w:rPr>
        <w:drawing>
          <wp:inline distT="0" distB="0" distL="0" distR="0">
            <wp:extent cx="4928105" cy="3755136"/>
            <wp:effectExtent l="0" t="0" r="0" b="0"/>
            <wp:docPr id="14" name="Image 14" descr="C:\Users\muhammad.yahaya\Downloads\Baker_Figure1 (1).jpg"/>
            <wp:cNvGraphicFramePr>
              <a:graphicFrameLocks/>
            </wp:cNvGraphicFramePr>
            <a:graphic>
              <a:graphicData uri="http://schemas.openxmlformats.org/drawingml/2006/picture">
                <pic:pic>
                  <pic:nvPicPr>
                    <pic:cNvPr id="14" name="Image 14" descr="C:\Users\muhammad.yahaya\Downloads\Baker_Figure1 (1).jpg"/>
                    <pic:cNvPicPr/>
                  </pic:nvPicPr>
                  <pic:blipFill>
                    <a:blip r:embed="rId10" cstate="print"/>
                    <a:stretch>
                      <a:fillRect/>
                    </a:stretch>
                  </pic:blipFill>
                  <pic:spPr>
                    <a:xfrm>
                      <a:off x="0" y="0"/>
                      <a:ext cx="4928105" cy="3755136"/>
                    </a:xfrm>
                    <a:prstGeom prst="rect">
                      <a:avLst/>
                    </a:prstGeom>
                  </pic:spPr>
                </pic:pic>
              </a:graphicData>
            </a:graphic>
          </wp:inline>
        </w:drawing>
      </w:r>
      <w:r>
        <w:rPr>
          <w:sz w:val="20"/>
        </w:rPr>
      </w:r>
    </w:p>
    <w:p>
      <w:pPr>
        <w:pStyle w:val="BodyText"/>
        <w:spacing w:before="5"/>
        <w:rPr>
          <w:sz w:val="22"/>
        </w:rPr>
      </w:pPr>
    </w:p>
    <w:p>
      <w:pPr>
        <w:spacing w:before="0"/>
        <w:ind w:left="588" w:right="0" w:firstLine="0"/>
        <w:jc w:val="left"/>
        <w:rPr>
          <w:rFonts w:ascii="Calibri"/>
          <w:i/>
          <w:sz w:val="22"/>
        </w:rPr>
      </w:pPr>
      <w:r>
        <w:rPr>
          <w:rFonts w:ascii="Calibri"/>
          <w:b/>
          <w:sz w:val="22"/>
        </w:rPr>
        <w:t>Fig.</w:t>
      </w:r>
      <w:r>
        <w:rPr>
          <w:rFonts w:ascii="Calibri"/>
          <w:b/>
          <w:spacing w:val="-3"/>
          <w:sz w:val="22"/>
        </w:rPr>
        <w:t> </w:t>
      </w:r>
      <w:r>
        <w:rPr>
          <w:rFonts w:ascii="Calibri"/>
          <w:b/>
          <w:sz w:val="22"/>
        </w:rPr>
        <w:t>4.</w:t>
      </w:r>
      <w:r>
        <w:rPr>
          <w:rFonts w:ascii="Calibri"/>
          <w:b/>
          <w:spacing w:val="-3"/>
          <w:sz w:val="22"/>
        </w:rPr>
        <w:t> </w:t>
      </w:r>
      <w:r>
        <w:rPr>
          <w:rFonts w:ascii="Calibri"/>
          <w:sz w:val="22"/>
        </w:rPr>
        <w:t>Map</w:t>
      </w:r>
      <w:r>
        <w:rPr>
          <w:rFonts w:ascii="Calibri"/>
          <w:spacing w:val="-5"/>
          <w:sz w:val="22"/>
        </w:rPr>
        <w:t> </w:t>
      </w:r>
      <w:r>
        <w:rPr>
          <w:rFonts w:ascii="Calibri"/>
          <w:sz w:val="22"/>
        </w:rPr>
        <w:t>of</w:t>
      </w:r>
      <w:r>
        <w:rPr>
          <w:rFonts w:ascii="Calibri"/>
          <w:spacing w:val="-2"/>
          <w:sz w:val="22"/>
        </w:rPr>
        <w:t> </w:t>
      </w:r>
      <w:r>
        <w:rPr>
          <w:rFonts w:ascii="Calibri"/>
          <w:sz w:val="22"/>
        </w:rPr>
        <w:t>Adamawa</w:t>
      </w:r>
      <w:r>
        <w:rPr>
          <w:rFonts w:ascii="Calibri"/>
          <w:spacing w:val="-1"/>
          <w:sz w:val="22"/>
        </w:rPr>
        <w:t> </w:t>
      </w:r>
      <w:r>
        <w:rPr>
          <w:rFonts w:ascii="Calibri"/>
          <w:sz w:val="22"/>
        </w:rPr>
        <w:t>State</w:t>
      </w:r>
      <w:r>
        <w:rPr>
          <w:rFonts w:ascii="Calibri"/>
          <w:spacing w:val="-2"/>
          <w:sz w:val="22"/>
        </w:rPr>
        <w:t> </w:t>
      </w:r>
      <w:r>
        <w:rPr>
          <w:rFonts w:ascii="Calibri"/>
          <w:sz w:val="22"/>
        </w:rPr>
        <w:t>in</w:t>
      </w:r>
      <w:r>
        <w:rPr>
          <w:rFonts w:ascii="Calibri"/>
          <w:spacing w:val="-2"/>
          <w:sz w:val="22"/>
        </w:rPr>
        <w:t> </w:t>
      </w:r>
      <w:r>
        <w:rPr>
          <w:rFonts w:ascii="Calibri"/>
          <w:sz w:val="22"/>
        </w:rPr>
        <w:t>Nigeria,</w:t>
      </w:r>
      <w:r>
        <w:rPr>
          <w:rFonts w:ascii="Calibri"/>
          <w:spacing w:val="-4"/>
          <w:sz w:val="22"/>
        </w:rPr>
        <w:t> </w:t>
      </w:r>
      <w:r>
        <w:rPr>
          <w:rFonts w:ascii="Calibri"/>
          <w:sz w:val="22"/>
        </w:rPr>
        <w:t>with</w:t>
      </w:r>
      <w:r>
        <w:rPr>
          <w:rFonts w:ascii="Calibri"/>
          <w:spacing w:val="-4"/>
          <w:sz w:val="22"/>
        </w:rPr>
        <w:t> </w:t>
      </w:r>
      <w:r>
        <w:rPr>
          <w:rFonts w:ascii="Calibri"/>
          <w:sz w:val="22"/>
        </w:rPr>
        <w:t>a</w:t>
      </w:r>
      <w:r>
        <w:rPr>
          <w:rFonts w:ascii="Calibri"/>
          <w:spacing w:val="-2"/>
          <w:sz w:val="22"/>
        </w:rPr>
        <w:t> </w:t>
      </w:r>
      <w:r>
        <w:rPr>
          <w:rFonts w:ascii="Calibri"/>
          <w:sz w:val="22"/>
        </w:rPr>
        <w:t>star</w:t>
      </w:r>
      <w:r>
        <w:rPr>
          <w:rFonts w:ascii="Calibri"/>
          <w:spacing w:val="-5"/>
          <w:sz w:val="22"/>
        </w:rPr>
        <w:t> </w:t>
      </w:r>
      <w:r>
        <w:rPr>
          <w:rFonts w:ascii="Calibri"/>
          <w:sz w:val="22"/>
        </w:rPr>
        <w:t>indicating</w:t>
      </w:r>
      <w:r>
        <w:rPr>
          <w:rFonts w:ascii="Calibri"/>
          <w:spacing w:val="-1"/>
          <w:sz w:val="22"/>
        </w:rPr>
        <w:t> </w:t>
      </w:r>
      <w:r>
        <w:rPr>
          <w:rFonts w:ascii="Calibri"/>
          <w:sz w:val="22"/>
        </w:rPr>
        <w:t>the</w:t>
      </w:r>
      <w:r>
        <w:rPr>
          <w:rFonts w:ascii="Calibri"/>
          <w:spacing w:val="-2"/>
          <w:sz w:val="22"/>
        </w:rPr>
        <w:t> </w:t>
      </w:r>
      <w:r>
        <w:rPr>
          <w:rFonts w:ascii="Calibri"/>
          <w:sz w:val="22"/>
        </w:rPr>
        <w:t>general</w:t>
      </w:r>
      <w:r>
        <w:rPr>
          <w:rFonts w:ascii="Calibri"/>
          <w:spacing w:val="-2"/>
          <w:sz w:val="22"/>
        </w:rPr>
        <w:t> </w:t>
      </w:r>
      <w:r>
        <w:rPr>
          <w:rFonts w:ascii="Calibri"/>
          <w:sz w:val="22"/>
        </w:rPr>
        <w:t>location</w:t>
      </w:r>
      <w:r>
        <w:rPr>
          <w:rFonts w:ascii="Calibri"/>
          <w:spacing w:val="-3"/>
          <w:sz w:val="22"/>
        </w:rPr>
        <w:t> </w:t>
      </w:r>
      <w:r>
        <w:rPr>
          <w:rFonts w:ascii="Calibri"/>
          <w:sz w:val="22"/>
        </w:rPr>
        <w:t>of</w:t>
      </w:r>
      <w:r>
        <w:rPr>
          <w:rFonts w:ascii="Calibri"/>
          <w:spacing w:val="-5"/>
          <w:sz w:val="22"/>
        </w:rPr>
        <w:t> </w:t>
      </w:r>
      <w:r>
        <w:rPr>
          <w:rFonts w:ascii="Calibri"/>
          <w:sz w:val="22"/>
        </w:rPr>
        <w:t>Bole community within Adamawa </w:t>
      </w:r>
      <w:r>
        <w:rPr>
          <w:rFonts w:ascii="Calibri"/>
          <w:i/>
          <w:sz w:val="22"/>
        </w:rPr>
        <w:t>(sourced from Baker, 2018).</w:t>
      </w:r>
    </w:p>
    <w:p>
      <w:pPr>
        <w:pStyle w:val="BodyText"/>
        <w:rPr>
          <w:rFonts w:ascii="Calibri"/>
          <w:i/>
          <w:sz w:val="22"/>
        </w:rPr>
      </w:pPr>
    </w:p>
    <w:p>
      <w:pPr>
        <w:pStyle w:val="BodyText"/>
        <w:spacing w:before="214"/>
        <w:rPr>
          <w:rFonts w:ascii="Calibri"/>
          <w:i/>
          <w:sz w:val="22"/>
        </w:rPr>
      </w:pPr>
    </w:p>
    <w:p>
      <w:pPr>
        <w:pStyle w:val="BodyText"/>
        <w:spacing w:line="480" w:lineRule="auto" w:before="1"/>
        <w:ind w:left="588" w:right="179"/>
      </w:pPr>
      <w:r>
        <w:rPr/>
        <w:t>For</w:t>
      </w:r>
      <w:r>
        <w:rPr>
          <w:spacing w:val="-3"/>
        </w:rPr>
        <w:t> </w:t>
      </w:r>
      <w:r>
        <w:rPr/>
        <w:t>CO</w:t>
      </w:r>
      <w:r>
        <w:rPr>
          <w:spacing w:val="-3"/>
        </w:rPr>
        <w:t> </w:t>
      </w:r>
      <w:r>
        <w:rPr/>
        <w:t>measurements</w:t>
      </w:r>
      <w:r>
        <w:rPr>
          <w:spacing w:val="-3"/>
        </w:rPr>
        <w:t> </w:t>
      </w:r>
      <w:r>
        <w:rPr/>
        <w:t>in</w:t>
      </w:r>
      <w:r>
        <w:rPr>
          <w:spacing w:val="-1"/>
        </w:rPr>
        <w:t> </w:t>
      </w:r>
      <w:r>
        <w:rPr/>
        <w:t>households,</w:t>
      </w:r>
      <w:r>
        <w:rPr>
          <w:spacing w:val="-1"/>
        </w:rPr>
        <w:t> </w:t>
      </w:r>
      <w:r>
        <w:rPr/>
        <w:t>I</w:t>
      </w:r>
      <w:r>
        <w:rPr>
          <w:spacing w:val="-9"/>
        </w:rPr>
        <w:t> </w:t>
      </w:r>
      <w:r>
        <w:rPr/>
        <w:t>used</w:t>
      </w:r>
      <w:r>
        <w:rPr>
          <w:spacing w:val="-3"/>
        </w:rPr>
        <w:t> </w:t>
      </w:r>
      <w:r>
        <w:rPr/>
        <w:t>targeted</w:t>
      </w:r>
      <w:r>
        <w:rPr>
          <w:spacing w:val="-4"/>
        </w:rPr>
        <w:t> </w:t>
      </w:r>
      <w:r>
        <w:rPr/>
        <w:t>sampling</w:t>
      </w:r>
      <w:r>
        <w:rPr>
          <w:spacing w:val="-5"/>
        </w:rPr>
        <w:t> </w:t>
      </w:r>
      <w:r>
        <w:rPr/>
        <w:t>to</w:t>
      </w:r>
      <w:r>
        <w:rPr>
          <w:spacing w:val="-3"/>
        </w:rPr>
        <w:t> </w:t>
      </w:r>
      <w:r>
        <w:rPr/>
        <w:t>identify</w:t>
      </w:r>
      <w:r>
        <w:rPr>
          <w:spacing w:val="-8"/>
        </w:rPr>
        <w:t> </w:t>
      </w:r>
      <w:r>
        <w:rPr/>
        <w:t>households in which indoor cooking occurred during the time of my study.</w:t>
      </w:r>
      <w:r>
        <w:rPr>
          <w:spacing w:val="40"/>
        </w:rPr>
        <w:t> </w:t>
      </w:r>
      <w:r>
        <w:rPr/>
        <w:t>This approach was necessary to identify houses in which cooking activities were often conducted in enclosed areas.</w:t>
      </w:r>
    </w:p>
    <w:p>
      <w:pPr>
        <w:pStyle w:val="BodyText"/>
      </w:pPr>
    </w:p>
    <w:p>
      <w:pPr>
        <w:pStyle w:val="BodyText"/>
      </w:pPr>
    </w:p>
    <w:p>
      <w:pPr>
        <w:spacing w:before="0"/>
        <w:ind w:left="588" w:right="0" w:firstLine="0"/>
        <w:jc w:val="left"/>
        <w:rPr>
          <w:i/>
          <w:sz w:val="24"/>
        </w:rPr>
      </w:pPr>
      <w:r>
        <w:rPr>
          <w:i/>
          <w:sz w:val="24"/>
        </w:rPr>
        <w:t>Data</w:t>
      </w:r>
      <w:r>
        <w:rPr>
          <w:i/>
          <w:spacing w:val="-3"/>
          <w:sz w:val="24"/>
        </w:rPr>
        <w:t> </w:t>
      </w:r>
      <w:r>
        <w:rPr>
          <w:i/>
          <w:sz w:val="24"/>
        </w:rPr>
        <w:t>collection</w:t>
      </w:r>
      <w:r>
        <w:rPr>
          <w:i/>
          <w:spacing w:val="4"/>
          <w:sz w:val="24"/>
        </w:rPr>
        <w:t> </w:t>
      </w:r>
      <w:r>
        <w:rPr>
          <w:i/>
          <w:sz w:val="24"/>
        </w:rPr>
        <w:t>&amp;</w:t>
      </w:r>
      <w:r>
        <w:rPr>
          <w:i/>
          <w:spacing w:val="-7"/>
          <w:sz w:val="24"/>
        </w:rPr>
        <w:t> </w:t>
      </w:r>
      <w:r>
        <w:rPr>
          <w:i/>
          <w:spacing w:val="-2"/>
          <w:sz w:val="24"/>
        </w:rPr>
        <w:t>analysis</w:t>
      </w:r>
    </w:p>
    <w:p>
      <w:pPr>
        <w:pStyle w:val="BodyText"/>
        <w:rPr>
          <w:i/>
        </w:rPr>
      </w:pPr>
    </w:p>
    <w:p>
      <w:pPr>
        <w:pStyle w:val="BodyText"/>
        <w:spacing w:line="480" w:lineRule="auto"/>
        <w:ind w:left="588" w:right="257"/>
      </w:pPr>
      <w:r>
        <w:rPr/>
        <w:t>I administered a structured questionnaire to respondents in this study. I asked questions</w:t>
      </w:r>
      <w:r>
        <w:rPr>
          <w:spacing w:val="-3"/>
        </w:rPr>
        <w:t> </w:t>
      </w:r>
      <w:r>
        <w:rPr/>
        <w:t>related</w:t>
      </w:r>
      <w:r>
        <w:rPr>
          <w:spacing w:val="-3"/>
        </w:rPr>
        <w:t> </w:t>
      </w:r>
      <w:r>
        <w:rPr/>
        <w:t>to</w:t>
      </w:r>
      <w:r>
        <w:rPr>
          <w:spacing w:val="-3"/>
        </w:rPr>
        <w:t> </w:t>
      </w:r>
      <w:r>
        <w:rPr/>
        <w:t>how</w:t>
      </w:r>
      <w:r>
        <w:rPr>
          <w:spacing w:val="-1"/>
        </w:rPr>
        <w:t> </w:t>
      </w:r>
      <w:r>
        <w:rPr/>
        <w:t>often</w:t>
      </w:r>
      <w:r>
        <w:rPr>
          <w:spacing w:val="-3"/>
        </w:rPr>
        <w:t> </w:t>
      </w:r>
      <w:r>
        <w:rPr/>
        <w:t>they</w:t>
      </w:r>
      <w:r>
        <w:rPr>
          <w:spacing w:val="-7"/>
        </w:rPr>
        <w:t> </w:t>
      </w:r>
      <w:r>
        <w:rPr/>
        <w:t>cook</w:t>
      </w:r>
      <w:r>
        <w:rPr>
          <w:spacing w:val="-3"/>
        </w:rPr>
        <w:t> </w:t>
      </w:r>
      <w:r>
        <w:rPr/>
        <w:t>indoors</w:t>
      </w:r>
      <w:r>
        <w:rPr>
          <w:spacing w:val="-2"/>
        </w:rPr>
        <w:t> </w:t>
      </w:r>
      <w:r>
        <w:rPr/>
        <w:t>per</w:t>
      </w:r>
      <w:r>
        <w:rPr>
          <w:spacing w:val="-3"/>
        </w:rPr>
        <w:t> </w:t>
      </w:r>
      <w:r>
        <w:rPr/>
        <w:t>week,</w:t>
      </w:r>
      <w:r>
        <w:rPr>
          <w:spacing w:val="-3"/>
        </w:rPr>
        <w:t> </w:t>
      </w:r>
      <w:r>
        <w:rPr/>
        <w:t>the</w:t>
      </w:r>
      <w:r>
        <w:rPr>
          <w:spacing w:val="-4"/>
        </w:rPr>
        <w:t> </w:t>
      </w:r>
      <w:r>
        <w:rPr/>
        <w:t>type</w:t>
      </w:r>
      <w:r>
        <w:rPr>
          <w:spacing w:val="-4"/>
        </w:rPr>
        <w:t> </w:t>
      </w:r>
      <w:r>
        <w:rPr/>
        <w:t>of</w:t>
      </w:r>
      <w:r>
        <w:rPr>
          <w:spacing w:val="-2"/>
        </w:rPr>
        <w:t> </w:t>
      </w:r>
      <w:r>
        <w:rPr/>
        <w:t>fuel used</w:t>
      </w:r>
      <w:r>
        <w:rPr>
          <w:spacing w:val="-3"/>
        </w:rPr>
        <w:t> </w:t>
      </w:r>
      <w:r>
        <w:rPr/>
        <w:t>for cooking, who is responsible for cooking, and how many adults and children live in the household.</w:t>
      </w:r>
    </w:p>
    <w:p>
      <w:pPr>
        <w:spacing w:after="0" w:line="480" w:lineRule="auto"/>
        <w:sectPr>
          <w:pgSz w:w="11910" w:h="16840"/>
          <w:pgMar w:header="0" w:footer="1012" w:top="1840" w:bottom="1200" w:left="1680" w:right="1240"/>
        </w:sectPr>
      </w:pPr>
    </w:p>
    <w:p>
      <w:pPr>
        <w:pStyle w:val="BodyText"/>
        <w:spacing w:line="480" w:lineRule="auto" w:before="62"/>
        <w:ind w:left="588" w:right="215"/>
      </w:pPr>
      <w:r>
        <w:rPr/>
        <w:t>Cooking areas were classified by whether they were outdoors or indoors; whether they had full cover, partial cover, or no cover; and a subjective assessment of how ‘open’ they were. I also noted the type of cover, which included thatched or aluminum roofing. I assessed ventilation outlets of cooking areas by counting and then</w:t>
      </w:r>
      <w:r>
        <w:rPr>
          <w:spacing w:val="-5"/>
        </w:rPr>
        <w:t> </w:t>
      </w:r>
      <w:r>
        <w:rPr/>
        <w:t>measuring</w:t>
      </w:r>
      <w:r>
        <w:rPr>
          <w:spacing w:val="-7"/>
        </w:rPr>
        <w:t> </w:t>
      </w:r>
      <w:r>
        <w:rPr/>
        <w:t>doors,</w:t>
      </w:r>
      <w:r>
        <w:rPr>
          <w:spacing w:val="-4"/>
        </w:rPr>
        <w:t> </w:t>
      </w:r>
      <w:r>
        <w:rPr/>
        <w:t>windows,</w:t>
      </w:r>
      <w:r>
        <w:rPr>
          <w:spacing w:val="-4"/>
        </w:rPr>
        <w:t> </w:t>
      </w:r>
      <w:r>
        <w:rPr/>
        <w:t>and</w:t>
      </w:r>
      <w:r>
        <w:rPr>
          <w:spacing w:val="-2"/>
        </w:rPr>
        <w:t> </w:t>
      </w:r>
      <w:r>
        <w:rPr/>
        <w:t>gaps.</w:t>
      </w:r>
      <w:r>
        <w:rPr>
          <w:spacing w:val="-3"/>
        </w:rPr>
        <w:t> </w:t>
      </w:r>
      <w:r>
        <w:rPr/>
        <w:t>A</w:t>
      </w:r>
      <w:r>
        <w:rPr>
          <w:spacing w:val="-4"/>
        </w:rPr>
        <w:t> </w:t>
      </w:r>
      <w:r>
        <w:rPr/>
        <w:t>simple</w:t>
      </w:r>
      <w:r>
        <w:rPr>
          <w:spacing w:val="-4"/>
        </w:rPr>
        <w:t> </w:t>
      </w:r>
      <w:r>
        <w:rPr/>
        <w:t>ventilation</w:t>
      </w:r>
      <w:r>
        <w:rPr>
          <w:spacing w:val="-4"/>
        </w:rPr>
        <w:t> </w:t>
      </w:r>
      <w:r>
        <w:rPr/>
        <w:t>index</w:t>
      </w:r>
      <w:r>
        <w:rPr>
          <w:spacing w:val="-2"/>
        </w:rPr>
        <w:t> </w:t>
      </w:r>
      <w:r>
        <w:rPr/>
        <w:t>was</w:t>
      </w:r>
      <w:r>
        <w:rPr>
          <w:spacing w:val="-4"/>
        </w:rPr>
        <w:t> </w:t>
      </w:r>
      <w:r>
        <w:rPr/>
        <w:t>calculated on the basis of the number of doors and other openings.</w:t>
      </w:r>
      <w:r>
        <w:rPr>
          <w:spacing w:val="40"/>
        </w:rPr>
        <w:t> </w:t>
      </w:r>
      <w:r>
        <w:rPr/>
        <w:t>Household cooking areas classified as having low ventilation had only a door (</w:t>
      </w:r>
      <w:r>
        <w:rPr>
          <w:i/>
        </w:rPr>
        <w:t>n </w:t>
      </w:r>
      <w:r>
        <w:rPr/>
        <w:t>= 3); cooking areas with one door and 1-2 openings were classified as having medium ventilation (</w:t>
      </w:r>
      <w:r>
        <w:rPr>
          <w:i/>
        </w:rPr>
        <w:t>n </w:t>
      </w:r>
      <w:r>
        <w:rPr/>
        <w:t>= 10); and areas having high ventilation had a door and 3 or more openings (</w:t>
      </w:r>
      <w:r>
        <w:rPr>
          <w:i/>
        </w:rPr>
        <w:t>n </w:t>
      </w:r>
      <w:r>
        <w:rPr/>
        <w:t>= 3).</w:t>
      </w:r>
    </w:p>
    <w:p>
      <w:pPr>
        <w:pStyle w:val="BodyText"/>
      </w:pPr>
    </w:p>
    <w:p>
      <w:pPr>
        <w:pStyle w:val="BodyText"/>
      </w:pPr>
    </w:p>
    <w:p>
      <w:pPr>
        <w:pStyle w:val="BodyText"/>
      </w:pPr>
    </w:p>
    <w:p>
      <w:pPr>
        <w:pStyle w:val="BodyText"/>
        <w:spacing w:before="1"/>
      </w:pPr>
    </w:p>
    <w:p>
      <w:pPr>
        <w:pStyle w:val="BodyText"/>
        <w:spacing w:line="480" w:lineRule="auto" w:before="1"/>
        <w:ind w:left="588" w:right="284"/>
      </w:pPr>
      <w:r>
        <w:rPr/>
        <w:t>To</w:t>
      </w:r>
      <w:r>
        <w:rPr>
          <w:spacing w:val="-2"/>
        </w:rPr>
        <w:t> </w:t>
      </w:r>
      <w:r>
        <w:rPr/>
        <w:t>measure</w:t>
      </w:r>
      <w:r>
        <w:rPr>
          <w:spacing w:val="-4"/>
        </w:rPr>
        <w:t> </w:t>
      </w:r>
      <w:r>
        <w:rPr/>
        <w:t>CO</w:t>
      </w:r>
      <w:r>
        <w:rPr>
          <w:spacing w:val="-2"/>
        </w:rPr>
        <w:t> </w:t>
      </w:r>
      <w:r>
        <w:rPr/>
        <w:t>in</w:t>
      </w:r>
      <w:r>
        <w:rPr>
          <w:spacing w:val="-1"/>
        </w:rPr>
        <w:t> </w:t>
      </w:r>
      <w:r>
        <w:rPr/>
        <w:t>Bole</w:t>
      </w:r>
      <w:r>
        <w:rPr>
          <w:spacing w:val="-1"/>
        </w:rPr>
        <w:t> </w:t>
      </w:r>
      <w:r>
        <w:rPr/>
        <w:t>households,</w:t>
      </w:r>
      <w:r>
        <w:rPr>
          <w:spacing w:val="-1"/>
        </w:rPr>
        <w:t> </w:t>
      </w:r>
      <w:r>
        <w:rPr/>
        <w:t>I</w:t>
      </w:r>
      <w:r>
        <w:rPr>
          <w:spacing w:val="-8"/>
        </w:rPr>
        <w:t> </w:t>
      </w:r>
      <w:r>
        <w:rPr/>
        <w:t>used</w:t>
      </w:r>
      <w:r>
        <w:rPr>
          <w:spacing w:val="-2"/>
        </w:rPr>
        <w:t> </w:t>
      </w:r>
      <w:r>
        <w:rPr/>
        <w:t>Easy</w:t>
      </w:r>
      <w:r>
        <w:rPr>
          <w:spacing w:val="-5"/>
        </w:rPr>
        <w:t> </w:t>
      </w:r>
      <w:r>
        <w:rPr/>
        <w:t>Logger</w:t>
      </w:r>
      <w:r>
        <w:rPr>
          <w:spacing w:val="-3"/>
        </w:rPr>
        <w:t> </w:t>
      </w:r>
      <w:r>
        <w:rPr/>
        <w:t>Carbon</w:t>
      </w:r>
      <w:r>
        <w:rPr>
          <w:spacing w:val="-3"/>
        </w:rPr>
        <w:t> </w:t>
      </w:r>
      <w:r>
        <w:rPr/>
        <w:t>Monoxide</w:t>
      </w:r>
      <w:r>
        <w:rPr>
          <w:spacing w:val="-2"/>
        </w:rPr>
        <w:t> </w:t>
      </w:r>
      <w:r>
        <w:rPr/>
        <w:t>monitor. I placed the monitor in the cooking area, usually directly above the fire, just before cooking started and removed it after cooking has ended. For two households, CO measurements were made for multiple cooking sessions.</w:t>
      </w:r>
    </w:p>
    <w:p>
      <w:pPr>
        <w:spacing w:after="0" w:line="480" w:lineRule="auto"/>
        <w:sectPr>
          <w:pgSz w:w="11910" w:h="16840"/>
          <w:pgMar w:header="0" w:footer="1012" w:top="1620" w:bottom="1200" w:left="1680" w:right="1240"/>
        </w:sectPr>
      </w:pPr>
    </w:p>
    <w:p>
      <w:pPr>
        <w:pStyle w:val="Heading1"/>
        <w:spacing w:line="480" w:lineRule="auto"/>
        <w:ind w:right="7043"/>
      </w:pPr>
      <w:r>
        <w:rPr/>
        <w:t>CHAPTER</w:t>
      </w:r>
      <w:r>
        <w:rPr>
          <w:spacing w:val="-15"/>
        </w:rPr>
        <w:t> </w:t>
      </w:r>
      <w:r>
        <w:rPr/>
        <w:t>3 </w:t>
      </w:r>
      <w:r>
        <w:rPr>
          <w:spacing w:val="-2"/>
        </w:rPr>
        <w:t>RESULTS</w:t>
      </w:r>
    </w:p>
    <w:p>
      <w:pPr>
        <w:spacing w:before="1"/>
        <w:ind w:left="588" w:right="0" w:firstLine="0"/>
        <w:jc w:val="left"/>
        <w:rPr>
          <w:i/>
          <w:sz w:val="24"/>
        </w:rPr>
      </w:pPr>
      <w:r>
        <w:rPr>
          <w:i/>
          <w:sz w:val="24"/>
        </w:rPr>
        <w:t>Cooking</w:t>
      </w:r>
      <w:r>
        <w:rPr>
          <w:i/>
          <w:spacing w:val="-1"/>
          <w:sz w:val="24"/>
        </w:rPr>
        <w:t> </w:t>
      </w:r>
      <w:r>
        <w:rPr>
          <w:i/>
          <w:spacing w:val="-2"/>
          <w:sz w:val="24"/>
        </w:rPr>
        <w:t>habits</w:t>
      </w:r>
    </w:p>
    <w:p>
      <w:pPr>
        <w:pStyle w:val="BodyText"/>
        <w:spacing w:line="480" w:lineRule="auto" w:before="276"/>
        <w:ind w:left="588" w:right="396"/>
      </w:pPr>
      <w:r>
        <w:rPr/>
        <w:t>Of all the households in this study, none had electric stoves and few had kerosene stoves;</w:t>
      </w:r>
      <w:r>
        <w:rPr>
          <w:spacing w:val="-3"/>
        </w:rPr>
        <w:t> </w:t>
      </w:r>
      <w:r>
        <w:rPr/>
        <w:t>therefore,</w:t>
      </w:r>
      <w:r>
        <w:rPr>
          <w:spacing w:val="-3"/>
        </w:rPr>
        <w:t> </w:t>
      </w:r>
      <w:r>
        <w:rPr/>
        <w:t>these</w:t>
      </w:r>
      <w:r>
        <w:rPr>
          <w:spacing w:val="-4"/>
        </w:rPr>
        <w:t> </w:t>
      </w:r>
      <w:r>
        <w:rPr/>
        <w:t>residents</w:t>
      </w:r>
      <w:r>
        <w:rPr>
          <w:spacing w:val="-2"/>
        </w:rPr>
        <w:t> </w:t>
      </w:r>
      <w:r>
        <w:rPr/>
        <w:t>rely</w:t>
      </w:r>
      <w:r>
        <w:rPr>
          <w:spacing w:val="-5"/>
        </w:rPr>
        <w:t> </w:t>
      </w:r>
      <w:r>
        <w:rPr/>
        <w:t>extensively</w:t>
      </w:r>
      <w:r>
        <w:rPr>
          <w:spacing w:val="-7"/>
        </w:rPr>
        <w:t> </w:t>
      </w:r>
      <w:r>
        <w:rPr/>
        <w:t>on</w:t>
      </w:r>
      <w:r>
        <w:rPr>
          <w:spacing w:val="-2"/>
        </w:rPr>
        <w:t> </w:t>
      </w:r>
      <w:r>
        <w:rPr/>
        <w:t>biomass</w:t>
      </w:r>
      <w:r>
        <w:rPr>
          <w:spacing w:val="-3"/>
        </w:rPr>
        <w:t> </w:t>
      </w:r>
      <w:r>
        <w:rPr/>
        <w:t>to</w:t>
      </w:r>
      <w:r>
        <w:rPr>
          <w:spacing w:val="-3"/>
        </w:rPr>
        <w:t> </w:t>
      </w:r>
      <w:r>
        <w:rPr/>
        <w:t>cook</w:t>
      </w:r>
      <w:r>
        <w:rPr>
          <w:spacing w:val="-3"/>
        </w:rPr>
        <w:t> </w:t>
      </w:r>
      <w:r>
        <w:rPr/>
        <w:t>and</w:t>
      </w:r>
      <w:r>
        <w:rPr>
          <w:spacing w:val="-3"/>
        </w:rPr>
        <w:t> </w:t>
      </w:r>
      <w:r>
        <w:rPr/>
        <w:t>heat</w:t>
      </w:r>
      <w:r>
        <w:rPr>
          <w:spacing w:val="-3"/>
        </w:rPr>
        <w:t> </w:t>
      </w:r>
      <w:r>
        <w:rPr/>
        <w:t>their meals. Wood was the primary source of fuel for cooking for 97.5% (</w:t>
      </w:r>
      <w:r>
        <w:rPr>
          <w:i/>
        </w:rPr>
        <w:t>n </w:t>
      </w:r>
      <w:r>
        <w:rPr/>
        <w:t>= 154) of households in this study. Only few households used kerosene 1.3%, (</w:t>
      </w:r>
      <w:r>
        <w:rPr>
          <w:i/>
        </w:rPr>
        <w:t>n </w:t>
      </w:r>
      <w:r>
        <w:rPr/>
        <w:t>= 2) or charcoal</w:t>
      </w:r>
      <w:r>
        <w:rPr>
          <w:spacing w:val="-1"/>
        </w:rPr>
        <w:t> </w:t>
      </w:r>
      <w:r>
        <w:rPr/>
        <w:t>(1.3%,</w:t>
      </w:r>
      <w:r>
        <w:rPr>
          <w:spacing w:val="-1"/>
        </w:rPr>
        <w:t> </w:t>
      </w:r>
      <w:r>
        <w:rPr>
          <w:i/>
        </w:rPr>
        <w:t>n </w:t>
      </w:r>
      <w:r>
        <w:rPr/>
        <w:t>=</w:t>
      </w:r>
      <w:r>
        <w:rPr>
          <w:spacing w:val="-2"/>
        </w:rPr>
        <w:t> </w:t>
      </w:r>
      <w:r>
        <w:rPr/>
        <w:t>2)</w:t>
      </w:r>
      <w:r>
        <w:rPr>
          <w:spacing w:val="-2"/>
        </w:rPr>
        <w:t> </w:t>
      </w:r>
      <w:r>
        <w:rPr/>
        <w:t>as their</w:t>
      </w:r>
      <w:r>
        <w:rPr>
          <w:spacing w:val="-2"/>
        </w:rPr>
        <w:t> </w:t>
      </w:r>
      <w:r>
        <w:rPr/>
        <w:t>primary</w:t>
      </w:r>
      <w:r>
        <w:rPr>
          <w:spacing w:val="-6"/>
        </w:rPr>
        <w:t> </w:t>
      </w:r>
      <w:r>
        <w:rPr/>
        <w:t>source</w:t>
      </w:r>
      <w:r>
        <w:rPr>
          <w:spacing w:val="-2"/>
        </w:rPr>
        <w:t> </w:t>
      </w:r>
      <w:r>
        <w:rPr/>
        <w:t>of</w:t>
      </w:r>
      <w:r>
        <w:rPr>
          <w:spacing w:val="-1"/>
        </w:rPr>
        <w:t> </w:t>
      </w:r>
      <w:r>
        <w:rPr/>
        <w:t>fuel.</w:t>
      </w:r>
      <w:r>
        <w:rPr>
          <w:spacing w:val="-1"/>
        </w:rPr>
        <w:t> </w:t>
      </w:r>
      <w:r>
        <w:rPr/>
        <w:t>While</w:t>
      </w:r>
      <w:r>
        <w:rPr>
          <w:spacing w:val="-2"/>
        </w:rPr>
        <w:t> </w:t>
      </w:r>
      <w:r>
        <w:rPr/>
        <w:t>some</w:t>
      </w:r>
      <w:r>
        <w:rPr>
          <w:spacing w:val="-1"/>
        </w:rPr>
        <w:t> </w:t>
      </w:r>
      <w:r>
        <w:rPr/>
        <w:t>households also used crop residues and polyethylene bags for cooking, these were generally used only to help start the fire. No households used animal dung to cook.</w:t>
      </w:r>
    </w:p>
    <w:p>
      <w:pPr>
        <w:pStyle w:val="BodyText"/>
      </w:pPr>
    </w:p>
    <w:p>
      <w:pPr>
        <w:pStyle w:val="BodyText"/>
      </w:pPr>
    </w:p>
    <w:p>
      <w:pPr>
        <w:pStyle w:val="BodyText"/>
        <w:spacing w:line="480" w:lineRule="auto" w:before="1"/>
        <w:ind w:left="588" w:right="180"/>
      </w:pPr>
      <w:r>
        <w:rPr/>
        <w:t>On average, the residents cooked twice daily (mean = 2.25, SD = 0.55). In the households</w:t>
      </w:r>
      <w:r>
        <w:rPr>
          <w:spacing w:val="-3"/>
        </w:rPr>
        <w:t> </w:t>
      </w:r>
      <w:r>
        <w:rPr/>
        <w:t>in</w:t>
      </w:r>
      <w:r>
        <w:rPr>
          <w:spacing w:val="-3"/>
        </w:rPr>
        <w:t> </w:t>
      </w:r>
      <w:r>
        <w:rPr/>
        <w:t>this</w:t>
      </w:r>
      <w:r>
        <w:rPr>
          <w:spacing w:val="-3"/>
        </w:rPr>
        <w:t> </w:t>
      </w:r>
      <w:r>
        <w:rPr/>
        <w:t>study, adult</w:t>
      </w:r>
      <w:r>
        <w:rPr>
          <w:spacing w:val="-2"/>
        </w:rPr>
        <w:t> </w:t>
      </w:r>
      <w:r>
        <w:rPr/>
        <w:t>women,</w:t>
      </w:r>
      <w:r>
        <w:rPr>
          <w:spacing w:val="-3"/>
        </w:rPr>
        <w:t> </w:t>
      </w:r>
      <w:r>
        <w:rPr/>
        <w:t>especially</w:t>
      </w:r>
      <w:r>
        <w:rPr>
          <w:spacing w:val="-5"/>
        </w:rPr>
        <w:t> </w:t>
      </w:r>
      <w:r>
        <w:rPr/>
        <w:t>wives</w:t>
      </w:r>
      <w:r>
        <w:rPr>
          <w:spacing w:val="-3"/>
        </w:rPr>
        <w:t> </w:t>
      </w:r>
      <w:r>
        <w:rPr/>
        <w:t>and</w:t>
      </w:r>
      <w:r>
        <w:rPr>
          <w:spacing w:val="-3"/>
        </w:rPr>
        <w:t> </w:t>
      </w:r>
      <w:r>
        <w:rPr/>
        <w:t>mothers,</w:t>
      </w:r>
      <w:r>
        <w:rPr>
          <w:spacing w:val="-3"/>
        </w:rPr>
        <w:t> </w:t>
      </w:r>
      <w:r>
        <w:rPr/>
        <w:t>did</w:t>
      </w:r>
      <w:r>
        <w:rPr>
          <w:spacing w:val="-1"/>
        </w:rPr>
        <w:t> </w:t>
      </w:r>
      <w:r>
        <w:rPr/>
        <w:t>most</w:t>
      </w:r>
      <w:r>
        <w:rPr>
          <w:spacing w:val="-3"/>
        </w:rPr>
        <w:t> </w:t>
      </w:r>
      <w:r>
        <w:rPr/>
        <w:t>of</w:t>
      </w:r>
      <w:r>
        <w:rPr>
          <w:spacing w:val="-3"/>
        </w:rPr>
        <w:t> </w:t>
      </w:r>
      <w:r>
        <w:rPr/>
        <w:t>the cooking. Adult women were responsible for cooking in 134 households (84.8%), whereas grandmothers were responsible in 14 households (8.9%). In 54 households (34.2%), women making the meals were assisted by their daughters. In only one out of the 158 households was a male resident primarily responsible for cooking.</w:t>
      </w:r>
    </w:p>
    <w:p>
      <w:pPr>
        <w:pStyle w:val="BodyText"/>
        <w:spacing w:before="274"/>
      </w:pPr>
    </w:p>
    <w:p>
      <w:pPr>
        <w:spacing w:before="0"/>
        <w:ind w:left="588" w:right="0" w:firstLine="0"/>
        <w:jc w:val="left"/>
        <w:rPr>
          <w:i/>
          <w:sz w:val="24"/>
        </w:rPr>
      </w:pPr>
      <w:r>
        <w:rPr>
          <w:i/>
          <w:sz w:val="24"/>
        </w:rPr>
        <w:t>Ventilation</w:t>
      </w:r>
      <w:r>
        <w:rPr>
          <w:i/>
          <w:spacing w:val="-3"/>
          <w:sz w:val="24"/>
        </w:rPr>
        <w:t> </w:t>
      </w:r>
      <w:r>
        <w:rPr>
          <w:i/>
          <w:spacing w:val="-4"/>
          <w:sz w:val="24"/>
        </w:rPr>
        <w:t>index</w:t>
      </w:r>
    </w:p>
    <w:p>
      <w:pPr>
        <w:pStyle w:val="BodyText"/>
        <w:rPr>
          <w:i/>
        </w:rPr>
      </w:pPr>
    </w:p>
    <w:p>
      <w:pPr>
        <w:pStyle w:val="BodyText"/>
        <w:spacing w:line="480" w:lineRule="auto"/>
        <w:ind w:left="588" w:right="215"/>
        <w:rPr>
          <w:i/>
        </w:rPr>
      </w:pPr>
      <w:r>
        <w:rPr/>
        <w:t>Cooking areas in households varied, although nearly two-thirds were in open, uncovered or covered areas, whereas the remainder were in what I classified as indoor areas (Table 1; Figs. 5–8). For 66 households that were classified as either indoor</w:t>
      </w:r>
      <w:r>
        <w:rPr>
          <w:spacing w:val="-3"/>
        </w:rPr>
        <w:t> </w:t>
      </w:r>
      <w:r>
        <w:rPr/>
        <w:t>spaces</w:t>
      </w:r>
      <w:r>
        <w:rPr>
          <w:spacing w:val="-3"/>
        </w:rPr>
        <w:t> </w:t>
      </w:r>
      <w:r>
        <w:rPr/>
        <w:t>(</w:t>
      </w:r>
      <w:r>
        <w:rPr>
          <w:i/>
        </w:rPr>
        <w:t>n </w:t>
      </w:r>
      <w:r>
        <w:rPr/>
        <w:t>=</w:t>
      </w:r>
      <w:r>
        <w:rPr>
          <w:spacing w:val="-4"/>
        </w:rPr>
        <w:t> </w:t>
      </w:r>
      <w:r>
        <w:rPr/>
        <w:t>57)</w:t>
      </w:r>
      <w:r>
        <w:rPr>
          <w:spacing w:val="-4"/>
        </w:rPr>
        <w:t> </w:t>
      </w:r>
      <w:r>
        <w:rPr/>
        <w:t>or</w:t>
      </w:r>
      <w:r>
        <w:rPr>
          <w:spacing w:val="-2"/>
        </w:rPr>
        <w:t> </w:t>
      </w:r>
      <w:r>
        <w:rPr/>
        <w:t>outdoor</w:t>
      </w:r>
      <w:r>
        <w:rPr>
          <w:spacing w:val="-3"/>
        </w:rPr>
        <w:t> </w:t>
      </w:r>
      <w:r>
        <w:rPr/>
        <w:t>spaces</w:t>
      </w:r>
      <w:r>
        <w:rPr>
          <w:spacing w:val="-3"/>
        </w:rPr>
        <w:t> </w:t>
      </w:r>
      <w:r>
        <w:rPr/>
        <w:t>with</w:t>
      </w:r>
      <w:r>
        <w:rPr>
          <w:spacing w:val="-3"/>
        </w:rPr>
        <w:t> </w:t>
      </w:r>
      <w:r>
        <w:rPr/>
        <w:t>cover</w:t>
      </w:r>
      <w:r>
        <w:rPr>
          <w:spacing w:val="-3"/>
        </w:rPr>
        <w:t> </w:t>
      </w:r>
      <w:r>
        <w:rPr/>
        <w:t>and</w:t>
      </w:r>
      <w:r>
        <w:rPr>
          <w:spacing w:val="-3"/>
        </w:rPr>
        <w:t> </w:t>
      </w:r>
      <w:r>
        <w:rPr/>
        <w:t>other</w:t>
      </w:r>
      <w:r>
        <w:rPr>
          <w:spacing w:val="-3"/>
        </w:rPr>
        <w:t> </w:t>
      </w:r>
      <w:r>
        <w:rPr/>
        <w:t>limits</w:t>
      </w:r>
      <w:r>
        <w:rPr>
          <w:spacing w:val="-3"/>
        </w:rPr>
        <w:t> </w:t>
      </w:r>
      <w:r>
        <w:rPr/>
        <w:t>to</w:t>
      </w:r>
      <w:r>
        <w:rPr>
          <w:spacing w:val="-3"/>
        </w:rPr>
        <w:t> </w:t>
      </w:r>
      <w:r>
        <w:rPr/>
        <w:t>ventilation (</w:t>
      </w:r>
      <w:r>
        <w:rPr>
          <w:i/>
        </w:rPr>
        <w:t>n</w:t>
      </w:r>
    </w:p>
    <w:p>
      <w:pPr>
        <w:pStyle w:val="BodyText"/>
        <w:spacing w:line="480" w:lineRule="auto" w:before="1"/>
        <w:ind w:left="588"/>
      </w:pPr>
      <w:r>
        <w:rPr/>
        <w:t>=</w:t>
      </w:r>
      <w:r>
        <w:rPr>
          <w:spacing w:val="-4"/>
        </w:rPr>
        <w:t> </w:t>
      </w:r>
      <w:r>
        <w:rPr/>
        <w:t>9),</w:t>
      </w:r>
      <w:r>
        <w:rPr>
          <w:spacing w:val="-1"/>
        </w:rPr>
        <w:t> </w:t>
      </w:r>
      <w:r>
        <w:rPr/>
        <w:t>I</w:t>
      </w:r>
      <w:r>
        <w:rPr>
          <w:spacing w:val="-6"/>
        </w:rPr>
        <w:t> </w:t>
      </w:r>
      <w:r>
        <w:rPr/>
        <w:t>was</w:t>
      </w:r>
      <w:r>
        <w:rPr>
          <w:spacing w:val="-3"/>
        </w:rPr>
        <w:t> </w:t>
      </w:r>
      <w:r>
        <w:rPr/>
        <w:t>able</w:t>
      </w:r>
      <w:r>
        <w:rPr>
          <w:spacing w:val="-3"/>
        </w:rPr>
        <w:t> </w:t>
      </w:r>
      <w:r>
        <w:rPr/>
        <w:t>to</w:t>
      </w:r>
      <w:r>
        <w:rPr>
          <w:spacing w:val="-2"/>
        </w:rPr>
        <w:t> </w:t>
      </w:r>
      <w:r>
        <w:rPr/>
        <w:t>calculate</w:t>
      </w:r>
      <w:r>
        <w:rPr>
          <w:spacing w:val="-3"/>
        </w:rPr>
        <w:t> </w:t>
      </w:r>
      <w:r>
        <w:rPr/>
        <w:t>a</w:t>
      </w:r>
      <w:r>
        <w:rPr>
          <w:spacing w:val="-5"/>
        </w:rPr>
        <w:t> </w:t>
      </w:r>
      <w:r>
        <w:rPr/>
        <w:t>ventilation</w:t>
      </w:r>
      <w:r>
        <w:rPr>
          <w:spacing w:val="-3"/>
        </w:rPr>
        <w:t> </w:t>
      </w:r>
      <w:r>
        <w:rPr/>
        <w:t>index.</w:t>
      </w:r>
      <w:r>
        <w:rPr>
          <w:spacing w:val="-1"/>
        </w:rPr>
        <w:t> </w:t>
      </w:r>
      <w:r>
        <w:rPr/>
        <w:t>The</w:t>
      </w:r>
      <w:r>
        <w:rPr>
          <w:spacing w:val="-5"/>
        </w:rPr>
        <w:t> </w:t>
      </w:r>
      <w:r>
        <w:rPr/>
        <w:t>ventilation</w:t>
      </w:r>
      <w:r>
        <w:rPr>
          <w:spacing w:val="-3"/>
        </w:rPr>
        <w:t> </w:t>
      </w:r>
      <w:r>
        <w:rPr/>
        <w:t>of</w:t>
      </w:r>
      <w:r>
        <w:rPr>
          <w:spacing w:val="-3"/>
        </w:rPr>
        <w:t> </w:t>
      </w:r>
      <w:r>
        <w:rPr/>
        <w:t>enclosed</w:t>
      </w:r>
      <w:r>
        <w:rPr>
          <w:spacing w:val="-2"/>
        </w:rPr>
        <w:t> </w:t>
      </w:r>
      <w:r>
        <w:rPr/>
        <w:t>cooking areas was evaluated based on the number of windows, doors, and gaps. Out the 66</w:t>
      </w:r>
    </w:p>
    <w:p>
      <w:pPr>
        <w:spacing w:after="0" w:line="480" w:lineRule="auto"/>
        <w:sectPr>
          <w:pgSz w:w="11910" w:h="16840"/>
          <w:pgMar w:header="0" w:footer="1012" w:top="1620" w:bottom="1200" w:left="1680" w:right="1240"/>
        </w:sectPr>
      </w:pPr>
    </w:p>
    <w:p>
      <w:pPr>
        <w:pStyle w:val="BodyText"/>
        <w:spacing w:line="480" w:lineRule="auto" w:before="62"/>
        <w:ind w:left="588" w:right="284"/>
      </w:pPr>
      <w:r>
        <w:rPr/>
        <w:t>households 3, 10 and 3 households were classified as high, medium and low ventilation</w:t>
      </w:r>
      <w:r>
        <w:rPr>
          <w:spacing w:val="-3"/>
        </w:rPr>
        <w:t> </w:t>
      </w:r>
      <w:r>
        <w:rPr/>
        <w:t>respectively. No</w:t>
      </w:r>
      <w:r>
        <w:rPr>
          <w:spacing w:val="-3"/>
        </w:rPr>
        <w:t> </w:t>
      </w:r>
      <w:r>
        <w:rPr/>
        <w:t>cooking</w:t>
      </w:r>
      <w:r>
        <w:rPr>
          <w:spacing w:val="-3"/>
        </w:rPr>
        <w:t> </w:t>
      </w:r>
      <w:r>
        <w:rPr/>
        <w:t>areas</w:t>
      </w:r>
      <w:r>
        <w:rPr>
          <w:spacing w:val="-3"/>
        </w:rPr>
        <w:t> </w:t>
      </w:r>
      <w:r>
        <w:rPr/>
        <w:t>in</w:t>
      </w:r>
      <w:r>
        <w:rPr>
          <w:spacing w:val="-3"/>
        </w:rPr>
        <w:t> </w:t>
      </w:r>
      <w:r>
        <w:rPr/>
        <w:t>households</w:t>
      </w:r>
      <w:r>
        <w:rPr>
          <w:spacing w:val="-3"/>
        </w:rPr>
        <w:t> </w:t>
      </w:r>
      <w:r>
        <w:rPr/>
        <w:t>in</w:t>
      </w:r>
      <w:r>
        <w:rPr>
          <w:spacing w:val="-3"/>
        </w:rPr>
        <w:t> </w:t>
      </w:r>
      <w:r>
        <w:rPr/>
        <w:t>this</w:t>
      </w:r>
      <w:r>
        <w:rPr>
          <w:spacing w:val="-3"/>
        </w:rPr>
        <w:t> </w:t>
      </w:r>
      <w:r>
        <w:rPr/>
        <w:t>study</w:t>
      </w:r>
      <w:r>
        <w:rPr>
          <w:spacing w:val="-11"/>
        </w:rPr>
        <w:t> </w:t>
      </w:r>
      <w:r>
        <w:rPr/>
        <w:t>were</w:t>
      </w:r>
      <w:r>
        <w:rPr>
          <w:spacing w:val="-3"/>
        </w:rPr>
        <w:t> </w:t>
      </w:r>
      <w:r>
        <w:rPr/>
        <w:t>also</w:t>
      </w:r>
      <w:r>
        <w:rPr>
          <w:spacing w:val="-3"/>
        </w:rPr>
        <w:t> </w:t>
      </w:r>
      <w:r>
        <w:rPr/>
        <w:t>in the same structure as sleeping quarters.</w:t>
      </w:r>
    </w:p>
    <w:p>
      <w:pPr>
        <w:pStyle w:val="BodyText"/>
        <w:spacing w:before="76"/>
        <w:rPr>
          <w:sz w:val="20"/>
        </w:rPr>
      </w:pPr>
      <w:r>
        <w:rPr/>
        <w:drawing>
          <wp:anchor distT="0" distB="0" distL="0" distR="0" allowOverlap="1" layoutInCell="1" locked="0" behindDoc="1" simplePos="0" relativeHeight="487591936">
            <wp:simplePos x="0" y="0"/>
            <wp:positionH relativeFrom="page">
              <wp:posOffset>1440180</wp:posOffset>
            </wp:positionH>
            <wp:positionV relativeFrom="paragraph">
              <wp:posOffset>210067</wp:posOffset>
            </wp:positionV>
            <wp:extent cx="5117738" cy="4305109"/>
            <wp:effectExtent l="0" t="0" r="0" b="0"/>
            <wp:wrapTopAndBottom/>
            <wp:docPr id="15" name="Image 15" descr="C:\Users\muhammad.yahaya\AppData\Local\Microsoft\Windows\Temporary Internet Files\Content.Word\IMG-2394.jpg"/>
            <wp:cNvGraphicFramePr>
              <a:graphicFrameLocks/>
            </wp:cNvGraphicFramePr>
            <a:graphic>
              <a:graphicData uri="http://schemas.openxmlformats.org/drawingml/2006/picture">
                <pic:pic>
                  <pic:nvPicPr>
                    <pic:cNvPr id="15" name="Image 15" descr="C:\Users\muhammad.yahaya\AppData\Local\Microsoft\Windows\Temporary Internet Files\Content.Word\IMG-2394.jpg"/>
                    <pic:cNvPicPr/>
                  </pic:nvPicPr>
                  <pic:blipFill>
                    <a:blip r:embed="rId11" cstate="print"/>
                    <a:stretch>
                      <a:fillRect/>
                    </a:stretch>
                  </pic:blipFill>
                  <pic:spPr>
                    <a:xfrm>
                      <a:off x="0" y="0"/>
                      <a:ext cx="5117738" cy="4305109"/>
                    </a:xfrm>
                    <a:prstGeom prst="rect">
                      <a:avLst/>
                    </a:prstGeom>
                  </pic:spPr>
                </pic:pic>
              </a:graphicData>
            </a:graphic>
          </wp:anchor>
        </w:drawing>
      </w:r>
    </w:p>
    <w:p>
      <w:pPr>
        <w:spacing w:before="142"/>
        <w:ind w:left="588" w:right="0" w:firstLine="0"/>
        <w:jc w:val="left"/>
        <w:rPr>
          <w:rFonts w:ascii="Calibri"/>
          <w:sz w:val="22"/>
        </w:rPr>
      </w:pPr>
      <w:r>
        <w:rPr>
          <w:rFonts w:ascii="Calibri"/>
          <w:b/>
          <w:sz w:val="22"/>
        </w:rPr>
        <w:t>Fig.</w:t>
      </w:r>
      <w:r>
        <w:rPr>
          <w:rFonts w:ascii="Calibri"/>
          <w:b/>
          <w:spacing w:val="-6"/>
          <w:sz w:val="22"/>
        </w:rPr>
        <w:t> </w:t>
      </w:r>
      <w:r>
        <w:rPr>
          <w:rFonts w:ascii="Calibri"/>
          <w:b/>
          <w:sz w:val="22"/>
        </w:rPr>
        <w:t>5.</w:t>
      </w:r>
      <w:r>
        <w:rPr>
          <w:rFonts w:ascii="Calibri"/>
          <w:b/>
          <w:spacing w:val="-3"/>
          <w:sz w:val="22"/>
        </w:rPr>
        <w:t> </w:t>
      </w:r>
      <w:r>
        <w:rPr>
          <w:rFonts w:ascii="Calibri"/>
          <w:sz w:val="22"/>
        </w:rPr>
        <w:t>Outdoor</w:t>
      </w:r>
      <w:r>
        <w:rPr>
          <w:rFonts w:ascii="Calibri"/>
          <w:spacing w:val="-4"/>
          <w:sz w:val="22"/>
        </w:rPr>
        <w:t> </w:t>
      </w:r>
      <w:r>
        <w:rPr>
          <w:rFonts w:ascii="Calibri"/>
          <w:sz w:val="22"/>
        </w:rPr>
        <w:t>area</w:t>
      </w:r>
      <w:r>
        <w:rPr>
          <w:rFonts w:ascii="Calibri"/>
          <w:spacing w:val="-5"/>
          <w:sz w:val="22"/>
        </w:rPr>
        <w:t> </w:t>
      </w:r>
      <w:r>
        <w:rPr>
          <w:rFonts w:ascii="Calibri"/>
          <w:sz w:val="22"/>
        </w:rPr>
        <w:t>with</w:t>
      </w:r>
      <w:r>
        <w:rPr>
          <w:rFonts w:ascii="Calibri"/>
          <w:spacing w:val="-4"/>
          <w:sz w:val="22"/>
        </w:rPr>
        <w:t> </w:t>
      </w:r>
      <w:r>
        <w:rPr>
          <w:rFonts w:ascii="Calibri"/>
          <w:sz w:val="22"/>
        </w:rPr>
        <w:t>thatched</w:t>
      </w:r>
      <w:r>
        <w:rPr>
          <w:rFonts w:ascii="Calibri"/>
          <w:spacing w:val="-4"/>
          <w:sz w:val="22"/>
        </w:rPr>
        <w:t> </w:t>
      </w:r>
      <w:r>
        <w:rPr>
          <w:rFonts w:ascii="Calibri"/>
          <w:spacing w:val="-2"/>
          <w:sz w:val="22"/>
        </w:rPr>
        <w:t>cover.</w:t>
      </w:r>
    </w:p>
    <w:p>
      <w:pPr>
        <w:pStyle w:val="BodyText"/>
        <w:rPr>
          <w:rFonts w:ascii="Calibri"/>
          <w:sz w:val="22"/>
        </w:rPr>
      </w:pPr>
    </w:p>
    <w:p>
      <w:pPr>
        <w:pStyle w:val="BodyText"/>
        <w:spacing w:before="113"/>
        <w:rPr>
          <w:rFonts w:ascii="Calibri"/>
          <w:sz w:val="22"/>
        </w:rPr>
      </w:pPr>
    </w:p>
    <w:p>
      <w:pPr>
        <w:spacing w:before="1"/>
        <w:ind w:left="588" w:right="0" w:firstLine="0"/>
        <w:jc w:val="left"/>
        <w:rPr>
          <w:i/>
          <w:sz w:val="24"/>
        </w:rPr>
      </w:pPr>
      <w:r>
        <w:rPr>
          <w:i/>
          <w:sz w:val="24"/>
        </w:rPr>
        <w:t>CO</w:t>
      </w:r>
      <w:r>
        <w:rPr>
          <w:i/>
          <w:spacing w:val="-3"/>
          <w:sz w:val="24"/>
        </w:rPr>
        <w:t> </w:t>
      </w:r>
      <w:r>
        <w:rPr>
          <w:i/>
          <w:spacing w:val="-2"/>
          <w:sz w:val="24"/>
        </w:rPr>
        <w:t>readings</w:t>
      </w:r>
    </w:p>
    <w:p>
      <w:pPr>
        <w:pStyle w:val="BodyText"/>
        <w:spacing w:before="276"/>
        <w:ind w:left="588"/>
      </w:pPr>
      <w:r>
        <w:rPr/>
        <w:t>The</w:t>
      </w:r>
      <w:r>
        <w:rPr>
          <w:spacing w:val="-5"/>
        </w:rPr>
        <w:t> </w:t>
      </w:r>
      <w:r>
        <w:rPr/>
        <w:t>average</w:t>
      </w:r>
      <w:r>
        <w:rPr>
          <w:spacing w:val="1"/>
        </w:rPr>
        <w:t> </w:t>
      </w:r>
      <w:r>
        <w:rPr/>
        <w:t>cooking</w:t>
      </w:r>
      <w:r>
        <w:rPr>
          <w:spacing w:val="-4"/>
        </w:rPr>
        <w:t> </w:t>
      </w:r>
      <w:r>
        <w:rPr/>
        <w:t>time was 3.5</w:t>
      </w:r>
      <w:r>
        <w:rPr>
          <w:spacing w:val="-1"/>
        </w:rPr>
        <w:t> </w:t>
      </w:r>
      <w:r>
        <w:rPr/>
        <w:t>hours (mean = 209.8 minutes, SD</w:t>
      </w:r>
      <w:r>
        <w:rPr>
          <w:spacing w:val="-1"/>
        </w:rPr>
        <w:t> </w:t>
      </w:r>
      <w:r>
        <w:rPr/>
        <w:t>=</w:t>
      </w:r>
      <w:r>
        <w:rPr>
          <w:spacing w:val="-1"/>
        </w:rPr>
        <w:t> </w:t>
      </w:r>
      <w:r>
        <w:rPr/>
        <w:t>122.7, </w:t>
      </w:r>
      <w:r>
        <w:rPr>
          <w:spacing w:val="-2"/>
        </w:rPr>
        <w:t>range</w:t>
      </w:r>
    </w:p>
    <w:p>
      <w:pPr>
        <w:pStyle w:val="BodyText"/>
        <w:spacing w:line="480" w:lineRule="auto" w:before="276"/>
        <w:ind w:left="588"/>
      </w:pPr>
      <w:r>
        <w:rPr/>
        <w:t>=</w:t>
      </w:r>
      <w:r>
        <w:rPr>
          <w:spacing w:val="-4"/>
        </w:rPr>
        <w:t> </w:t>
      </w:r>
      <w:r>
        <w:rPr/>
        <w:t>67–384,</w:t>
      </w:r>
      <w:r>
        <w:rPr>
          <w:spacing w:val="-3"/>
        </w:rPr>
        <w:t> </w:t>
      </w:r>
      <w:r>
        <w:rPr>
          <w:i/>
        </w:rPr>
        <w:t>n</w:t>
      </w:r>
      <w:r>
        <w:rPr>
          <w:i/>
          <w:spacing w:val="-3"/>
        </w:rPr>
        <w:t> </w:t>
      </w:r>
      <w:r>
        <w:rPr/>
        <w:t>=</w:t>
      </w:r>
      <w:r>
        <w:rPr>
          <w:spacing w:val="-4"/>
        </w:rPr>
        <w:t> </w:t>
      </w:r>
      <w:r>
        <w:rPr/>
        <w:t>16).</w:t>
      </w:r>
      <w:r>
        <w:rPr>
          <w:spacing w:val="-4"/>
        </w:rPr>
        <w:t> </w:t>
      </w:r>
      <w:r>
        <w:rPr/>
        <w:t>During</w:t>
      </w:r>
      <w:r>
        <w:rPr>
          <w:spacing w:val="-6"/>
        </w:rPr>
        <w:t> </w:t>
      </w:r>
      <w:r>
        <w:rPr/>
        <w:t>cooking,</w:t>
      </w:r>
      <w:r>
        <w:rPr>
          <w:spacing w:val="-3"/>
        </w:rPr>
        <w:t> </w:t>
      </w:r>
      <w:r>
        <w:rPr/>
        <w:t>CO</w:t>
      </w:r>
      <w:r>
        <w:rPr>
          <w:spacing w:val="-3"/>
        </w:rPr>
        <w:t> </w:t>
      </w:r>
      <w:r>
        <w:rPr/>
        <w:t>levels</w:t>
      </w:r>
      <w:r>
        <w:rPr>
          <w:spacing w:val="-3"/>
        </w:rPr>
        <w:t> </w:t>
      </w:r>
      <w:r>
        <w:rPr/>
        <w:t>peaked</w:t>
      </w:r>
      <w:r>
        <w:rPr>
          <w:spacing w:val="-3"/>
        </w:rPr>
        <w:t> </w:t>
      </w:r>
      <w:r>
        <w:rPr/>
        <w:t>and</w:t>
      </w:r>
      <w:r>
        <w:rPr>
          <w:spacing w:val="-3"/>
        </w:rPr>
        <w:t> </w:t>
      </w:r>
      <w:r>
        <w:rPr/>
        <w:t>then</w:t>
      </w:r>
      <w:r>
        <w:rPr>
          <w:spacing w:val="-3"/>
        </w:rPr>
        <w:t> </w:t>
      </w:r>
      <w:r>
        <w:rPr/>
        <w:t>dropped</w:t>
      </w:r>
      <w:r>
        <w:rPr>
          <w:spacing w:val="-3"/>
        </w:rPr>
        <w:t> </w:t>
      </w:r>
      <w:r>
        <w:rPr/>
        <w:t>off</w:t>
      </w:r>
      <w:r>
        <w:rPr>
          <w:spacing w:val="-3"/>
        </w:rPr>
        <w:t> </w:t>
      </w:r>
      <w:r>
        <w:rPr/>
        <w:t>as</w:t>
      </w:r>
      <w:r>
        <w:rPr>
          <w:spacing w:val="-3"/>
        </w:rPr>
        <w:t> </w:t>
      </w:r>
      <w:r>
        <w:rPr/>
        <w:t>wood fires began to die out (Figs. 9–11). The mean CO level for cooking sessions for households in this study was 111.9 ppm (SD = 41.4, range = 66.7–204.9, </w:t>
      </w:r>
      <w:r>
        <w:rPr>
          <w:i/>
        </w:rPr>
        <w:t>n </w:t>
      </w:r>
      <w:r>
        <w:rPr/>
        <w:t>= 16).</w:t>
      </w:r>
    </w:p>
    <w:p>
      <w:pPr>
        <w:spacing w:after="0" w:line="480" w:lineRule="auto"/>
        <w:sectPr>
          <w:pgSz w:w="11910" w:h="16840"/>
          <w:pgMar w:header="0" w:footer="1012" w:top="1620" w:bottom="1200" w:left="1680" w:right="1240"/>
        </w:sectPr>
      </w:pPr>
    </w:p>
    <w:p>
      <w:pPr>
        <w:pStyle w:val="BodyText"/>
        <w:ind w:left="596"/>
        <w:rPr>
          <w:sz w:val="20"/>
        </w:rPr>
      </w:pPr>
      <w:r>
        <w:rPr>
          <w:sz w:val="20"/>
        </w:rPr>
        <w:drawing>
          <wp:inline distT="0" distB="0" distL="0" distR="0">
            <wp:extent cx="5163971" cy="3616261"/>
            <wp:effectExtent l="0" t="0" r="0" b="0"/>
            <wp:docPr id="16" name="Image 16" descr="C:\Users\muhammad.yahaya\AppData\Local\Microsoft\Windows\Temporary Internet Files\Content.Word\IMG_2436.jpg"/>
            <wp:cNvGraphicFramePr>
              <a:graphicFrameLocks/>
            </wp:cNvGraphicFramePr>
            <a:graphic>
              <a:graphicData uri="http://schemas.openxmlformats.org/drawingml/2006/picture">
                <pic:pic>
                  <pic:nvPicPr>
                    <pic:cNvPr id="16" name="Image 16" descr="C:\Users\muhammad.yahaya\AppData\Local\Microsoft\Windows\Temporary Internet Files\Content.Word\IMG_2436.jpg"/>
                    <pic:cNvPicPr/>
                  </pic:nvPicPr>
                  <pic:blipFill>
                    <a:blip r:embed="rId12" cstate="print"/>
                    <a:stretch>
                      <a:fillRect/>
                    </a:stretch>
                  </pic:blipFill>
                  <pic:spPr>
                    <a:xfrm>
                      <a:off x="0" y="0"/>
                      <a:ext cx="5163971" cy="3616261"/>
                    </a:xfrm>
                    <a:prstGeom prst="rect">
                      <a:avLst/>
                    </a:prstGeom>
                  </pic:spPr>
                </pic:pic>
              </a:graphicData>
            </a:graphic>
          </wp:inline>
        </w:drawing>
      </w:r>
      <w:r>
        <w:rPr>
          <w:sz w:val="20"/>
        </w:rPr>
      </w:r>
    </w:p>
    <w:p>
      <w:pPr>
        <w:pStyle w:val="BodyText"/>
        <w:spacing w:before="36"/>
        <w:rPr>
          <w:sz w:val="22"/>
        </w:rPr>
      </w:pPr>
    </w:p>
    <w:p>
      <w:pPr>
        <w:spacing w:before="0"/>
        <w:ind w:left="588" w:right="0" w:firstLine="0"/>
        <w:jc w:val="left"/>
        <w:rPr>
          <w:rFonts w:ascii="Calibri"/>
          <w:sz w:val="22"/>
        </w:rPr>
      </w:pPr>
      <w:r>
        <w:rPr>
          <w:rFonts w:ascii="Calibri"/>
          <w:b/>
          <w:sz w:val="22"/>
        </w:rPr>
        <w:t>Fig.</w:t>
      </w:r>
      <w:r>
        <w:rPr>
          <w:rFonts w:ascii="Calibri"/>
          <w:b/>
          <w:spacing w:val="-6"/>
          <w:sz w:val="22"/>
        </w:rPr>
        <w:t> </w:t>
      </w:r>
      <w:r>
        <w:rPr>
          <w:rFonts w:ascii="Calibri"/>
          <w:b/>
          <w:sz w:val="22"/>
        </w:rPr>
        <w:t>6.</w:t>
      </w:r>
      <w:r>
        <w:rPr>
          <w:rFonts w:ascii="Calibri"/>
          <w:b/>
          <w:spacing w:val="-3"/>
          <w:sz w:val="22"/>
        </w:rPr>
        <w:t> </w:t>
      </w:r>
      <w:r>
        <w:rPr>
          <w:rFonts w:ascii="Calibri"/>
          <w:sz w:val="22"/>
        </w:rPr>
        <w:t>Outdoor</w:t>
      </w:r>
      <w:r>
        <w:rPr>
          <w:rFonts w:ascii="Calibri"/>
          <w:spacing w:val="-4"/>
          <w:sz w:val="22"/>
        </w:rPr>
        <w:t> </w:t>
      </w:r>
      <w:r>
        <w:rPr>
          <w:rFonts w:ascii="Calibri"/>
          <w:sz w:val="22"/>
        </w:rPr>
        <w:t>cooking</w:t>
      </w:r>
      <w:r>
        <w:rPr>
          <w:rFonts w:ascii="Calibri"/>
          <w:spacing w:val="-5"/>
          <w:sz w:val="22"/>
        </w:rPr>
        <w:t> </w:t>
      </w:r>
      <w:r>
        <w:rPr>
          <w:rFonts w:ascii="Calibri"/>
          <w:sz w:val="22"/>
        </w:rPr>
        <w:t>area</w:t>
      </w:r>
      <w:r>
        <w:rPr>
          <w:rFonts w:ascii="Calibri"/>
          <w:spacing w:val="-4"/>
          <w:sz w:val="22"/>
        </w:rPr>
        <w:t> </w:t>
      </w:r>
      <w:r>
        <w:rPr>
          <w:rFonts w:ascii="Calibri"/>
          <w:sz w:val="22"/>
        </w:rPr>
        <w:t>without</w:t>
      </w:r>
      <w:r>
        <w:rPr>
          <w:rFonts w:ascii="Calibri"/>
          <w:spacing w:val="-4"/>
          <w:sz w:val="22"/>
        </w:rPr>
        <w:t> </w:t>
      </w:r>
      <w:r>
        <w:rPr>
          <w:rFonts w:ascii="Calibri"/>
          <w:spacing w:val="-2"/>
          <w:sz w:val="22"/>
        </w:rPr>
        <w:t>cover.</w:t>
      </w:r>
    </w:p>
    <w:p>
      <w:pPr>
        <w:pStyle w:val="BodyText"/>
        <w:spacing w:before="6"/>
        <w:rPr>
          <w:rFonts w:ascii="Calibri"/>
          <w:sz w:val="14"/>
        </w:rPr>
      </w:pPr>
      <w:r>
        <w:rPr/>
        <w:drawing>
          <wp:anchor distT="0" distB="0" distL="0" distR="0" allowOverlap="1" layoutInCell="1" locked="0" behindDoc="1" simplePos="0" relativeHeight="487592448">
            <wp:simplePos x="0" y="0"/>
            <wp:positionH relativeFrom="page">
              <wp:posOffset>1439925</wp:posOffset>
            </wp:positionH>
            <wp:positionV relativeFrom="paragraph">
              <wp:posOffset>127931</wp:posOffset>
            </wp:positionV>
            <wp:extent cx="3547768" cy="3924300"/>
            <wp:effectExtent l="0" t="0" r="0" b="0"/>
            <wp:wrapTopAndBottom/>
            <wp:docPr id="17" name="Image 17" descr="C:\Users\muhammad.yahaya\AppData\Local\Microsoft\Windows\Temporary Internet Files\Content.Word\IMG-2421.jpg"/>
            <wp:cNvGraphicFramePr>
              <a:graphicFrameLocks/>
            </wp:cNvGraphicFramePr>
            <a:graphic>
              <a:graphicData uri="http://schemas.openxmlformats.org/drawingml/2006/picture">
                <pic:pic>
                  <pic:nvPicPr>
                    <pic:cNvPr id="17" name="Image 17" descr="C:\Users\muhammad.yahaya\AppData\Local\Microsoft\Windows\Temporary Internet Files\Content.Word\IMG-2421.jpg"/>
                    <pic:cNvPicPr/>
                  </pic:nvPicPr>
                  <pic:blipFill>
                    <a:blip r:embed="rId13" cstate="print"/>
                    <a:stretch>
                      <a:fillRect/>
                    </a:stretch>
                  </pic:blipFill>
                  <pic:spPr>
                    <a:xfrm>
                      <a:off x="0" y="0"/>
                      <a:ext cx="3547768" cy="3924300"/>
                    </a:xfrm>
                    <a:prstGeom prst="rect">
                      <a:avLst/>
                    </a:prstGeom>
                  </pic:spPr>
                </pic:pic>
              </a:graphicData>
            </a:graphic>
          </wp:anchor>
        </w:drawing>
      </w:r>
    </w:p>
    <w:p>
      <w:pPr>
        <w:pStyle w:val="BodyText"/>
        <w:spacing w:before="28"/>
        <w:rPr>
          <w:rFonts w:ascii="Calibri"/>
          <w:sz w:val="22"/>
        </w:rPr>
      </w:pPr>
    </w:p>
    <w:p>
      <w:pPr>
        <w:spacing w:before="0"/>
        <w:ind w:left="588" w:right="0" w:firstLine="0"/>
        <w:jc w:val="left"/>
        <w:rPr>
          <w:rFonts w:ascii="Calibri"/>
          <w:sz w:val="22"/>
        </w:rPr>
      </w:pPr>
      <w:r>
        <w:rPr>
          <w:rFonts w:ascii="Calibri"/>
          <w:b/>
          <w:sz w:val="22"/>
        </w:rPr>
        <w:t>Fig.</w:t>
      </w:r>
      <w:r>
        <w:rPr>
          <w:rFonts w:ascii="Calibri"/>
          <w:b/>
          <w:spacing w:val="-6"/>
          <w:sz w:val="22"/>
        </w:rPr>
        <w:t> </w:t>
      </w:r>
      <w:r>
        <w:rPr>
          <w:rFonts w:ascii="Calibri"/>
          <w:b/>
          <w:sz w:val="22"/>
        </w:rPr>
        <w:t>7.</w:t>
      </w:r>
      <w:r>
        <w:rPr>
          <w:rFonts w:ascii="Calibri"/>
          <w:b/>
          <w:spacing w:val="-3"/>
          <w:sz w:val="22"/>
        </w:rPr>
        <w:t> </w:t>
      </w:r>
      <w:r>
        <w:rPr>
          <w:rFonts w:ascii="Calibri"/>
          <w:sz w:val="22"/>
        </w:rPr>
        <w:t>Indoor</w:t>
      </w:r>
      <w:r>
        <w:rPr>
          <w:rFonts w:ascii="Calibri"/>
          <w:spacing w:val="-4"/>
          <w:sz w:val="22"/>
        </w:rPr>
        <w:t> </w:t>
      </w:r>
      <w:r>
        <w:rPr>
          <w:rFonts w:ascii="Calibri"/>
          <w:sz w:val="22"/>
        </w:rPr>
        <w:t>cooking</w:t>
      </w:r>
      <w:r>
        <w:rPr>
          <w:rFonts w:ascii="Calibri"/>
          <w:spacing w:val="-6"/>
          <w:sz w:val="22"/>
        </w:rPr>
        <w:t> </w:t>
      </w:r>
      <w:r>
        <w:rPr>
          <w:rFonts w:ascii="Calibri"/>
          <w:sz w:val="22"/>
        </w:rPr>
        <w:t>area</w:t>
      </w:r>
      <w:r>
        <w:rPr>
          <w:rFonts w:ascii="Calibri"/>
          <w:spacing w:val="-6"/>
          <w:sz w:val="22"/>
        </w:rPr>
        <w:t> </w:t>
      </w:r>
      <w:r>
        <w:rPr>
          <w:rFonts w:ascii="Calibri"/>
          <w:sz w:val="22"/>
        </w:rPr>
        <w:t>with</w:t>
      </w:r>
      <w:r>
        <w:rPr>
          <w:rFonts w:ascii="Calibri"/>
          <w:spacing w:val="-4"/>
          <w:sz w:val="22"/>
        </w:rPr>
        <w:t> </w:t>
      </w:r>
      <w:r>
        <w:rPr>
          <w:rFonts w:ascii="Calibri"/>
          <w:sz w:val="22"/>
        </w:rPr>
        <w:t>aluminum</w:t>
      </w:r>
      <w:r>
        <w:rPr>
          <w:rFonts w:ascii="Calibri"/>
          <w:spacing w:val="-3"/>
          <w:sz w:val="22"/>
        </w:rPr>
        <w:t> </w:t>
      </w:r>
      <w:r>
        <w:rPr>
          <w:rFonts w:ascii="Calibri"/>
          <w:spacing w:val="-2"/>
          <w:sz w:val="22"/>
        </w:rPr>
        <w:t>roofing.</w:t>
      </w:r>
    </w:p>
    <w:p>
      <w:pPr>
        <w:spacing w:after="0"/>
        <w:jc w:val="left"/>
        <w:rPr>
          <w:rFonts w:ascii="Calibri"/>
          <w:sz w:val="22"/>
        </w:rPr>
        <w:sectPr>
          <w:pgSz w:w="11910" w:h="16840"/>
          <w:pgMar w:header="0" w:footer="1012" w:top="1680" w:bottom="1200" w:left="1680" w:right="1240"/>
        </w:sectPr>
      </w:pPr>
    </w:p>
    <w:p>
      <w:pPr>
        <w:pStyle w:val="BodyText"/>
        <w:ind w:left="637"/>
        <w:rPr>
          <w:rFonts w:ascii="Calibri"/>
          <w:sz w:val="20"/>
        </w:rPr>
      </w:pPr>
      <w:r>
        <w:rPr>
          <w:rFonts w:ascii="Calibri"/>
          <w:sz w:val="20"/>
        </w:rPr>
        <w:drawing>
          <wp:inline distT="0" distB="0" distL="0" distR="0">
            <wp:extent cx="5086014" cy="6147625"/>
            <wp:effectExtent l="0" t="0" r="0" b="0"/>
            <wp:docPr id="18" name="Image 18" descr="C:\Users\muhammad.yahaya\AppData\Local\Microsoft\Windows\Temporary Internet Files\Content.Word\IMG_2438.jpg"/>
            <wp:cNvGraphicFramePr>
              <a:graphicFrameLocks/>
            </wp:cNvGraphicFramePr>
            <a:graphic>
              <a:graphicData uri="http://schemas.openxmlformats.org/drawingml/2006/picture">
                <pic:pic>
                  <pic:nvPicPr>
                    <pic:cNvPr id="18" name="Image 18" descr="C:\Users\muhammad.yahaya\AppData\Local\Microsoft\Windows\Temporary Internet Files\Content.Word\IMG_2438.jpg"/>
                    <pic:cNvPicPr/>
                  </pic:nvPicPr>
                  <pic:blipFill>
                    <a:blip r:embed="rId14" cstate="print"/>
                    <a:stretch>
                      <a:fillRect/>
                    </a:stretch>
                  </pic:blipFill>
                  <pic:spPr>
                    <a:xfrm>
                      <a:off x="0" y="0"/>
                      <a:ext cx="5086014" cy="6147625"/>
                    </a:xfrm>
                    <a:prstGeom prst="rect">
                      <a:avLst/>
                    </a:prstGeom>
                  </pic:spPr>
                </pic:pic>
              </a:graphicData>
            </a:graphic>
          </wp:inline>
        </w:drawing>
      </w:r>
      <w:r>
        <w:rPr>
          <w:rFonts w:ascii="Calibri"/>
          <w:sz w:val="20"/>
        </w:rPr>
      </w:r>
    </w:p>
    <w:p>
      <w:pPr>
        <w:pStyle w:val="BodyText"/>
        <w:spacing w:before="42"/>
        <w:rPr>
          <w:rFonts w:ascii="Calibri"/>
          <w:sz w:val="22"/>
        </w:rPr>
      </w:pPr>
    </w:p>
    <w:p>
      <w:pPr>
        <w:spacing w:before="0"/>
        <w:ind w:left="588" w:right="0" w:firstLine="0"/>
        <w:jc w:val="left"/>
        <w:rPr>
          <w:rFonts w:ascii="Calibri"/>
          <w:sz w:val="22"/>
        </w:rPr>
      </w:pPr>
      <w:r>
        <w:rPr>
          <w:rFonts w:ascii="Calibri"/>
          <w:b/>
          <w:sz w:val="22"/>
        </w:rPr>
        <w:t>Fig.</w:t>
      </w:r>
      <w:r>
        <w:rPr>
          <w:rFonts w:ascii="Calibri"/>
          <w:b/>
          <w:spacing w:val="-7"/>
          <w:sz w:val="22"/>
        </w:rPr>
        <w:t> </w:t>
      </w:r>
      <w:r>
        <w:rPr>
          <w:rFonts w:ascii="Calibri"/>
          <w:b/>
          <w:sz w:val="22"/>
        </w:rPr>
        <w:t>8.</w:t>
      </w:r>
      <w:r>
        <w:rPr>
          <w:rFonts w:ascii="Calibri"/>
          <w:b/>
          <w:spacing w:val="-3"/>
          <w:sz w:val="22"/>
        </w:rPr>
        <w:t> </w:t>
      </w:r>
      <w:r>
        <w:rPr>
          <w:rFonts w:ascii="Calibri"/>
          <w:sz w:val="22"/>
        </w:rPr>
        <w:t>Indoor</w:t>
      </w:r>
      <w:r>
        <w:rPr>
          <w:rFonts w:ascii="Calibri"/>
          <w:spacing w:val="-4"/>
          <w:sz w:val="22"/>
        </w:rPr>
        <w:t> </w:t>
      </w:r>
      <w:r>
        <w:rPr>
          <w:rFonts w:ascii="Calibri"/>
          <w:sz w:val="22"/>
        </w:rPr>
        <w:t>cooking</w:t>
      </w:r>
      <w:r>
        <w:rPr>
          <w:rFonts w:ascii="Calibri"/>
          <w:spacing w:val="-5"/>
          <w:sz w:val="22"/>
        </w:rPr>
        <w:t> </w:t>
      </w:r>
      <w:r>
        <w:rPr>
          <w:rFonts w:ascii="Calibri"/>
          <w:sz w:val="22"/>
        </w:rPr>
        <w:t>area</w:t>
      </w:r>
      <w:r>
        <w:rPr>
          <w:rFonts w:ascii="Calibri"/>
          <w:spacing w:val="-6"/>
          <w:sz w:val="22"/>
        </w:rPr>
        <w:t> </w:t>
      </w:r>
      <w:r>
        <w:rPr>
          <w:rFonts w:ascii="Calibri"/>
          <w:sz w:val="22"/>
        </w:rPr>
        <w:t>with</w:t>
      </w:r>
      <w:r>
        <w:rPr>
          <w:rFonts w:ascii="Calibri"/>
          <w:spacing w:val="-4"/>
          <w:sz w:val="22"/>
        </w:rPr>
        <w:t> </w:t>
      </w:r>
      <w:r>
        <w:rPr>
          <w:rFonts w:ascii="Calibri"/>
          <w:sz w:val="22"/>
        </w:rPr>
        <w:t>thatched</w:t>
      </w:r>
      <w:r>
        <w:rPr>
          <w:rFonts w:ascii="Calibri"/>
          <w:spacing w:val="-4"/>
          <w:sz w:val="22"/>
        </w:rPr>
        <w:t> </w:t>
      </w:r>
      <w:r>
        <w:rPr>
          <w:rFonts w:ascii="Calibri"/>
          <w:spacing w:val="-2"/>
          <w:sz w:val="22"/>
        </w:rPr>
        <w:t>roofing.</w:t>
      </w:r>
    </w:p>
    <w:p>
      <w:pPr>
        <w:pStyle w:val="BodyText"/>
        <w:rPr>
          <w:rFonts w:ascii="Calibri"/>
          <w:sz w:val="22"/>
        </w:rPr>
      </w:pPr>
    </w:p>
    <w:p>
      <w:pPr>
        <w:pStyle w:val="BodyText"/>
        <w:spacing w:before="214"/>
        <w:rPr>
          <w:rFonts w:ascii="Calibri"/>
          <w:sz w:val="22"/>
        </w:rPr>
      </w:pPr>
    </w:p>
    <w:p>
      <w:pPr>
        <w:pStyle w:val="BodyText"/>
        <w:spacing w:before="1"/>
        <w:ind w:left="588"/>
      </w:pPr>
      <w:r>
        <w:rPr/>
        <w:t>The</w:t>
      </w:r>
      <w:r>
        <w:rPr>
          <w:spacing w:val="-3"/>
        </w:rPr>
        <w:t> </w:t>
      </w:r>
      <w:r>
        <w:rPr/>
        <w:t>mean</w:t>
      </w:r>
      <w:r>
        <w:rPr>
          <w:spacing w:val="-1"/>
        </w:rPr>
        <w:t> </w:t>
      </w:r>
      <w:r>
        <w:rPr/>
        <w:t>of the</w:t>
      </w:r>
      <w:r>
        <w:rPr>
          <w:spacing w:val="-1"/>
        </w:rPr>
        <w:t> </w:t>
      </w:r>
      <w:r>
        <w:rPr/>
        <w:t>maximum level</w:t>
      </w:r>
      <w:r>
        <w:rPr>
          <w:spacing w:val="-1"/>
        </w:rPr>
        <w:t> </w:t>
      </w:r>
      <w:r>
        <w:rPr/>
        <w:t>of CO</w:t>
      </w:r>
      <w:r>
        <w:rPr>
          <w:spacing w:val="-1"/>
        </w:rPr>
        <w:t> </w:t>
      </w:r>
      <w:r>
        <w:rPr/>
        <w:t>recorded</w:t>
      </w:r>
      <w:r>
        <w:rPr>
          <w:spacing w:val="2"/>
        </w:rPr>
        <w:t> </w:t>
      </w:r>
      <w:r>
        <w:rPr/>
        <w:t>was</w:t>
      </w:r>
      <w:r>
        <w:rPr>
          <w:spacing w:val="1"/>
        </w:rPr>
        <w:t> </w:t>
      </w:r>
      <w:r>
        <w:rPr/>
        <w:t>333.7 ppm</w:t>
      </w:r>
      <w:r>
        <w:rPr>
          <w:spacing w:val="-1"/>
        </w:rPr>
        <w:t> </w:t>
      </w:r>
      <w:r>
        <w:rPr/>
        <w:t>(SD =</w:t>
      </w:r>
      <w:r>
        <w:rPr>
          <w:spacing w:val="-2"/>
        </w:rPr>
        <w:t> </w:t>
      </w:r>
      <w:r>
        <w:rPr/>
        <w:t>151.1, </w:t>
      </w:r>
      <w:r>
        <w:rPr>
          <w:spacing w:val="-2"/>
        </w:rPr>
        <w:t>range</w:t>
      </w:r>
    </w:p>
    <w:p>
      <w:pPr>
        <w:pStyle w:val="BodyText"/>
        <w:spacing w:line="480" w:lineRule="auto" w:before="276"/>
        <w:ind w:left="588" w:right="257"/>
      </w:pPr>
      <w:r>
        <w:rPr/>
        <w:t>= 163–692, </w:t>
      </w:r>
      <w:r>
        <w:rPr>
          <w:i/>
        </w:rPr>
        <w:t>n </w:t>
      </w:r>
      <w:r>
        <w:rPr/>
        <w:t>= 16). (For households for which there were more than one CO measurement,</w:t>
      </w:r>
      <w:r>
        <w:rPr>
          <w:spacing w:val="-2"/>
        </w:rPr>
        <w:t> </w:t>
      </w:r>
      <w:r>
        <w:rPr/>
        <w:t>the</w:t>
      </w:r>
      <w:r>
        <w:rPr>
          <w:spacing w:val="-2"/>
        </w:rPr>
        <w:t> </w:t>
      </w:r>
      <w:r>
        <w:rPr/>
        <w:t>mean was</w:t>
      </w:r>
      <w:r>
        <w:rPr>
          <w:spacing w:val="-2"/>
        </w:rPr>
        <w:t> </w:t>
      </w:r>
      <w:r>
        <w:rPr/>
        <w:t>calculated</w:t>
      </w:r>
      <w:r>
        <w:rPr>
          <w:spacing w:val="-2"/>
        </w:rPr>
        <w:t> </w:t>
      </w:r>
      <w:r>
        <w:rPr/>
        <w:t>for</w:t>
      </w:r>
      <w:r>
        <w:rPr>
          <w:spacing w:val="-1"/>
        </w:rPr>
        <w:t> </w:t>
      </w:r>
      <w:r>
        <w:rPr/>
        <w:t>each</w:t>
      </w:r>
      <w:r>
        <w:rPr>
          <w:spacing w:val="-2"/>
        </w:rPr>
        <w:t> </w:t>
      </w:r>
      <w:r>
        <w:rPr/>
        <w:t>household,</w:t>
      </w:r>
      <w:r>
        <w:rPr>
          <w:spacing w:val="-2"/>
        </w:rPr>
        <w:t> </w:t>
      </w:r>
      <w:r>
        <w:rPr/>
        <w:t>and</w:t>
      </w:r>
      <w:r>
        <w:rPr>
          <w:spacing w:val="-2"/>
        </w:rPr>
        <w:t> </w:t>
      </w:r>
      <w:r>
        <w:rPr/>
        <w:t>this</w:t>
      </w:r>
      <w:r>
        <w:rPr>
          <w:spacing w:val="-2"/>
        </w:rPr>
        <w:t> </w:t>
      </w:r>
      <w:r>
        <w:rPr/>
        <w:t>mean was</w:t>
      </w:r>
      <w:r>
        <w:rPr>
          <w:spacing w:val="-2"/>
        </w:rPr>
        <w:t> </w:t>
      </w:r>
      <w:r>
        <w:rPr/>
        <w:t>used for</w:t>
      </w:r>
      <w:r>
        <w:rPr>
          <w:spacing w:val="-5"/>
        </w:rPr>
        <w:t> </w:t>
      </w:r>
      <w:r>
        <w:rPr/>
        <w:t>overall</w:t>
      </w:r>
      <w:r>
        <w:rPr>
          <w:spacing w:val="-3"/>
        </w:rPr>
        <w:t> </w:t>
      </w:r>
      <w:r>
        <w:rPr/>
        <w:t>calculations</w:t>
      </w:r>
      <w:r>
        <w:rPr>
          <w:spacing w:val="-3"/>
        </w:rPr>
        <w:t> </w:t>
      </w:r>
      <w:r>
        <w:rPr/>
        <w:t>for</w:t>
      </w:r>
      <w:r>
        <w:rPr>
          <w:spacing w:val="-3"/>
        </w:rPr>
        <w:t> </w:t>
      </w:r>
      <w:r>
        <w:rPr/>
        <w:t>all</w:t>
      </w:r>
      <w:r>
        <w:rPr>
          <w:spacing w:val="-3"/>
        </w:rPr>
        <w:t> </w:t>
      </w:r>
      <w:r>
        <w:rPr/>
        <w:t>16</w:t>
      </w:r>
      <w:r>
        <w:rPr>
          <w:spacing w:val="-3"/>
        </w:rPr>
        <w:t> </w:t>
      </w:r>
      <w:r>
        <w:rPr/>
        <w:t>households.)</w:t>
      </w:r>
      <w:r>
        <w:rPr>
          <w:spacing w:val="-1"/>
        </w:rPr>
        <w:t> </w:t>
      </w:r>
      <w:r>
        <w:rPr/>
        <w:t>The</w:t>
      </w:r>
      <w:r>
        <w:rPr>
          <w:spacing w:val="-4"/>
        </w:rPr>
        <w:t> </w:t>
      </w:r>
      <w:r>
        <w:rPr/>
        <w:t>mean</w:t>
      </w:r>
      <w:r>
        <w:rPr>
          <w:spacing w:val="-3"/>
        </w:rPr>
        <w:t> </w:t>
      </w:r>
      <w:r>
        <w:rPr/>
        <w:t>CO</w:t>
      </w:r>
      <w:r>
        <w:rPr>
          <w:spacing w:val="-3"/>
        </w:rPr>
        <w:t> </w:t>
      </w:r>
      <w:r>
        <w:rPr/>
        <w:t>recorded</w:t>
      </w:r>
      <w:r>
        <w:rPr>
          <w:spacing w:val="-2"/>
        </w:rPr>
        <w:t> </w:t>
      </w:r>
      <w:r>
        <w:rPr/>
        <w:t>in</w:t>
      </w:r>
      <w:r>
        <w:rPr>
          <w:spacing w:val="-3"/>
        </w:rPr>
        <w:t> </w:t>
      </w:r>
      <w:r>
        <w:rPr/>
        <w:t>my</w:t>
      </w:r>
      <w:r>
        <w:rPr>
          <w:spacing w:val="-8"/>
        </w:rPr>
        <w:t> </w:t>
      </w:r>
      <w:r>
        <w:rPr/>
        <w:t>results has exceeded the WHO’s accepted level for CO exposure for 15 mins, 1 hour, 8</w:t>
      </w:r>
    </w:p>
    <w:p>
      <w:pPr>
        <w:spacing w:after="0" w:line="480" w:lineRule="auto"/>
        <w:sectPr>
          <w:pgSz w:w="11910" w:h="16840"/>
          <w:pgMar w:header="0" w:footer="1012" w:top="1680" w:bottom="1200" w:left="1680" w:right="1240"/>
        </w:sectPr>
      </w:pPr>
    </w:p>
    <w:p>
      <w:pPr>
        <w:pStyle w:val="BodyText"/>
        <w:spacing w:line="480" w:lineRule="auto" w:before="62"/>
        <w:ind w:left="588"/>
      </w:pPr>
      <w:r>
        <w:rPr/>
        <w:t>hours, and 24 hours, which is 81.1 ppm, 28.4 ppm, 8.11 ppm, and 5.68ppm, respectively,</w:t>
      </w:r>
      <w:r>
        <w:rPr>
          <w:spacing w:val="-2"/>
        </w:rPr>
        <w:t> </w:t>
      </w:r>
      <w:r>
        <w:rPr/>
        <w:t>given</w:t>
      </w:r>
      <w:r>
        <w:rPr>
          <w:spacing w:val="-4"/>
        </w:rPr>
        <w:t> </w:t>
      </w:r>
      <w:r>
        <w:rPr/>
        <w:t>that</w:t>
      </w:r>
      <w:r>
        <w:rPr>
          <w:spacing w:val="-4"/>
        </w:rPr>
        <w:t> </w:t>
      </w:r>
      <w:r>
        <w:rPr/>
        <w:t>the</w:t>
      </w:r>
      <w:r>
        <w:rPr>
          <w:spacing w:val="-4"/>
        </w:rPr>
        <w:t> </w:t>
      </w:r>
      <w:r>
        <w:rPr/>
        <w:t>person</w:t>
      </w:r>
      <w:r>
        <w:rPr>
          <w:spacing w:val="-4"/>
        </w:rPr>
        <w:t> </w:t>
      </w:r>
      <w:r>
        <w:rPr/>
        <w:t>being</w:t>
      </w:r>
      <w:r>
        <w:rPr>
          <w:spacing w:val="-4"/>
        </w:rPr>
        <w:t> </w:t>
      </w:r>
      <w:r>
        <w:rPr/>
        <w:t>exposed</w:t>
      </w:r>
      <w:r>
        <w:rPr>
          <w:spacing w:val="-4"/>
        </w:rPr>
        <w:t> </w:t>
      </w:r>
      <w:r>
        <w:rPr/>
        <w:t>is</w:t>
      </w:r>
      <w:r>
        <w:rPr>
          <w:spacing w:val="-4"/>
        </w:rPr>
        <w:t> </w:t>
      </w:r>
      <w:r>
        <w:rPr/>
        <w:t>not</w:t>
      </w:r>
      <w:r>
        <w:rPr>
          <w:spacing w:val="-4"/>
        </w:rPr>
        <w:t> </w:t>
      </w:r>
      <w:r>
        <w:rPr/>
        <w:t>engaged</w:t>
      </w:r>
      <w:r>
        <w:rPr>
          <w:spacing w:val="-4"/>
        </w:rPr>
        <w:t> </w:t>
      </w:r>
      <w:r>
        <w:rPr/>
        <w:t>in</w:t>
      </w:r>
      <w:r>
        <w:rPr>
          <w:spacing w:val="-4"/>
        </w:rPr>
        <w:t> </w:t>
      </w:r>
      <w:r>
        <w:rPr/>
        <w:t>exercise</w:t>
      </w:r>
      <w:r>
        <w:rPr>
          <w:spacing w:val="-1"/>
        </w:rPr>
        <w:t> </w:t>
      </w:r>
      <w:r>
        <w:rPr/>
        <w:t>(WHO, </w:t>
      </w:r>
      <w:r>
        <w:rPr>
          <w:spacing w:val="-2"/>
        </w:rPr>
        <w:t>2000).</w:t>
      </w:r>
    </w:p>
    <w:p>
      <w:pPr>
        <w:pStyle w:val="BodyText"/>
      </w:pPr>
    </w:p>
    <w:p>
      <w:pPr>
        <w:pStyle w:val="BodyText"/>
      </w:pPr>
    </w:p>
    <w:p>
      <w:pPr>
        <w:pStyle w:val="BodyText"/>
        <w:spacing w:line="480" w:lineRule="auto" w:before="1"/>
        <w:ind w:left="588"/>
      </w:pPr>
      <w:r>
        <w:rPr/>
        <w:t>During cooking, both CO mean and maximum level for households with high ventilation are lower than for those households with medium ventilation. The latter households’</w:t>
      </w:r>
      <w:r>
        <w:rPr>
          <w:spacing w:val="-4"/>
        </w:rPr>
        <w:t> </w:t>
      </w:r>
      <w:r>
        <w:rPr/>
        <w:t>mean</w:t>
      </w:r>
      <w:r>
        <w:rPr>
          <w:spacing w:val="-3"/>
        </w:rPr>
        <w:t> </w:t>
      </w:r>
      <w:r>
        <w:rPr/>
        <w:t>and</w:t>
      </w:r>
      <w:r>
        <w:rPr>
          <w:spacing w:val="-3"/>
        </w:rPr>
        <w:t> </w:t>
      </w:r>
      <w:r>
        <w:rPr/>
        <w:t>maximum</w:t>
      </w:r>
      <w:r>
        <w:rPr>
          <w:spacing w:val="-5"/>
        </w:rPr>
        <w:t> </w:t>
      </w:r>
      <w:r>
        <w:rPr/>
        <w:t>CO</w:t>
      </w:r>
      <w:r>
        <w:rPr>
          <w:spacing w:val="-3"/>
        </w:rPr>
        <w:t> </w:t>
      </w:r>
      <w:r>
        <w:rPr/>
        <w:t>levels</w:t>
      </w:r>
      <w:r>
        <w:rPr>
          <w:spacing w:val="-3"/>
        </w:rPr>
        <w:t> </w:t>
      </w:r>
      <w:r>
        <w:rPr/>
        <w:t>were</w:t>
      </w:r>
      <w:r>
        <w:rPr>
          <w:spacing w:val="-5"/>
        </w:rPr>
        <w:t> </w:t>
      </w:r>
      <w:r>
        <w:rPr/>
        <w:t>lower</w:t>
      </w:r>
      <w:r>
        <w:rPr>
          <w:spacing w:val="-3"/>
        </w:rPr>
        <w:t> </w:t>
      </w:r>
      <w:r>
        <w:rPr/>
        <w:t>than</w:t>
      </w:r>
      <w:r>
        <w:rPr>
          <w:spacing w:val="-3"/>
        </w:rPr>
        <w:t> </w:t>
      </w:r>
      <w:r>
        <w:rPr/>
        <w:t>for</w:t>
      </w:r>
      <w:r>
        <w:rPr>
          <w:spacing w:val="-3"/>
        </w:rPr>
        <w:t> </w:t>
      </w:r>
      <w:r>
        <w:rPr/>
        <w:t>households</w:t>
      </w:r>
      <w:r>
        <w:rPr>
          <w:spacing w:val="-1"/>
        </w:rPr>
        <w:t> </w:t>
      </w:r>
      <w:r>
        <w:rPr/>
        <w:t>with</w:t>
      </w:r>
      <w:r>
        <w:rPr>
          <w:spacing w:val="-3"/>
        </w:rPr>
        <w:t> </w:t>
      </w:r>
      <w:r>
        <w:rPr/>
        <w:t>low ventilation (Table 2). However, given the small sample size, these findings were not statistically significant based on Kruskal-Wallis tests.</w:t>
      </w:r>
    </w:p>
    <w:p>
      <w:pPr>
        <w:pStyle w:val="BodyText"/>
      </w:pPr>
    </w:p>
    <w:p>
      <w:pPr>
        <w:pStyle w:val="BodyText"/>
      </w:pPr>
    </w:p>
    <w:p>
      <w:pPr>
        <w:pStyle w:val="BodyText"/>
      </w:pPr>
    </w:p>
    <w:p>
      <w:pPr>
        <w:pStyle w:val="BodyText"/>
      </w:pPr>
    </w:p>
    <w:p>
      <w:pPr>
        <w:pStyle w:val="BodyText"/>
        <w:spacing w:before="44"/>
      </w:pPr>
    </w:p>
    <w:p>
      <w:pPr>
        <w:spacing w:before="0"/>
        <w:ind w:left="588" w:right="0" w:firstLine="0"/>
        <w:jc w:val="left"/>
        <w:rPr>
          <w:rFonts w:ascii="Calibri"/>
          <w:sz w:val="22"/>
        </w:rPr>
      </w:pPr>
      <w:r>
        <w:rPr>
          <w:rFonts w:ascii="Calibri"/>
          <w:b/>
          <w:sz w:val="22"/>
        </w:rPr>
        <w:t>Table</w:t>
      </w:r>
      <w:r>
        <w:rPr>
          <w:rFonts w:ascii="Calibri"/>
          <w:b/>
          <w:spacing w:val="-7"/>
          <w:sz w:val="22"/>
        </w:rPr>
        <w:t> </w:t>
      </w:r>
      <w:r>
        <w:rPr>
          <w:rFonts w:ascii="Calibri"/>
          <w:b/>
          <w:sz w:val="22"/>
        </w:rPr>
        <w:t>1.</w:t>
      </w:r>
      <w:r>
        <w:rPr>
          <w:rFonts w:ascii="Calibri"/>
          <w:b/>
          <w:spacing w:val="-3"/>
          <w:sz w:val="22"/>
        </w:rPr>
        <w:t> </w:t>
      </w:r>
      <w:r>
        <w:rPr>
          <w:rFonts w:ascii="Calibri"/>
          <w:sz w:val="22"/>
        </w:rPr>
        <w:t>The</w:t>
      </w:r>
      <w:r>
        <w:rPr>
          <w:rFonts w:ascii="Calibri"/>
          <w:spacing w:val="-3"/>
          <w:sz w:val="22"/>
        </w:rPr>
        <w:t> </w:t>
      </w:r>
      <w:r>
        <w:rPr>
          <w:rFonts w:ascii="Calibri"/>
          <w:sz w:val="22"/>
        </w:rPr>
        <w:t>different</w:t>
      </w:r>
      <w:r>
        <w:rPr>
          <w:rFonts w:ascii="Calibri"/>
          <w:spacing w:val="-4"/>
          <w:sz w:val="22"/>
        </w:rPr>
        <w:t> </w:t>
      </w:r>
      <w:r>
        <w:rPr>
          <w:rFonts w:ascii="Calibri"/>
          <w:sz w:val="22"/>
        </w:rPr>
        <w:t>structures</w:t>
      </w:r>
      <w:r>
        <w:rPr>
          <w:rFonts w:ascii="Calibri"/>
          <w:spacing w:val="-7"/>
          <w:sz w:val="22"/>
        </w:rPr>
        <w:t> </w:t>
      </w:r>
      <w:r>
        <w:rPr>
          <w:rFonts w:ascii="Calibri"/>
          <w:sz w:val="22"/>
        </w:rPr>
        <w:t>of</w:t>
      </w:r>
      <w:r>
        <w:rPr>
          <w:rFonts w:ascii="Calibri"/>
          <w:spacing w:val="-3"/>
          <w:sz w:val="22"/>
        </w:rPr>
        <w:t> </w:t>
      </w:r>
      <w:r>
        <w:rPr>
          <w:rFonts w:ascii="Calibri"/>
          <w:sz w:val="22"/>
        </w:rPr>
        <w:t>cooking</w:t>
      </w:r>
      <w:r>
        <w:rPr>
          <w:rFonts w:ascii="Calibri"/>
          <w:spacing w:val="-5"/>
          <w:sz w:val="22"/>
        </w:rPr>
        <w:t> </w:t>
      </w:r>
      <w:r>
        <w:rPr>
          <w:rFonts w:ascii="Calibri"/>
          <w:sz w:val="22"/>
        </w:rPr>
        <w:t>area</w:t>
      </w:r>
      <w:r>
        <w:rPr>
          <w:rFonts w:ascii="Calibri"/>
          <w:spacing w:val="-5"/>
          <w:sz w:val="22"/>
        </w:rPr>
        <w:t> </w:t>
      </w:r>
      <w:r>
        <w:rPr>
          <w:rFonts w:ascii="Calibri"/>
          <w:sz w:val="22"/>
        </w:rPr>
        <w:t>encountered</w:t>
      </w:r>
      <w:r>
        <w:rPr>
          <w:rFonts w:ascii="Calibri"/>
          <w:spacing w:val="-4"/>
          <w:sz w:val="22"/>
        </w:rPr>
        <w:t> </w:t>
      </w:r>
      <w:r>
        <w:rPr>
          <w:rFonts w:ascii="Calibri"/>
          <w:sz w:val="22"/>
        </w:rPr>
        <w:t>in</w:t>
      </w:r>
      <w:r>
        <w:rPr>
          <w:rFonts w:ascii="Calibri"/>
          <w:spacing w:val="-6"/>
          <w:sz w:val="22"/>
        </w:rPr>
        <w:t> </w:t>
      </w:r>
      <w:r>
        <w:rPr>
          <w:rFonts w:ascii="Calibri"/>
          <w:sz w:val="22"/>
        </w:rPr>
        <w:t>Bole</w:t>
      </w:r>
      <w:r>
        <w:rPr>
          <w:rFonts w:ascii="Calibri"/>
          <w:spacing w:val="-4"/>
          <w:sz w:val="22"/>
        </w:rPr>
        <w:t> </w:t>
      </w:r>
      <w:r>
        <w:rPr>
          <w:rFonts w:ascii="Calibri"/>
          <w:spacing w:val="-2"/>
          <w:sz w:val="22"/>
        </w:rPr>
        <w:t>Community.</w:t>
      </w:r>
    </w:p>
    <w:p>
      <w:pPr>
        <w:pStyle w:val="BodyText"/>
        <w:rPr>
          <w:rFonts w:ascii="Calibri"/>
          <w:sz w:val="16"/>
        </w:rPr>
      </w:pPr>
    </w:p>
    <w:tbl>
      <w:tblPr>
        <w:tblW w:w="0" w:type="auto"/>
        <w:jc w:val="left"/>
        <w:tblInd w:w="5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527"/>
        <w:gridCol w:w="1552"/>
        <w:gridCol w:w="2141"/>
      </w:tblGrid>
      <w:tr>
        <w:trPr>
          <w:trHeight w:val="232" w:hRule="atLeast"/>
        </w:trPr>
        <w:tc>
          <w:tcPr>
            <w:tcW w:w="4527" w:type="dxa"/>
            <w:tcBorders>
              <w:bottom w:val="single" w:sz="4" w:space="0" w:color="7E7E7E"/>
            </w:tcBorders>
          </w:tcPr>
          <w:p>
            <w:pPr>
              <w:pStyle w:val="TableParagraph"/>
              <w:spacing w:line="213" w:lineRule="exact"/>
              <w:ind w:right="104"/>
              <w:jc w:val="right"/>
              <w:rPr>
                <w:sz w:val="22"/>
              </w:rPr>
            </w:pPr>
            <w:r>
              <w:rPr>
                <w:sz w:val="22"/>
              </w:rPr>
              <w:t>Cooking</w:t>
            </w:r>
            <w:r>
              <w:rPr>
                <w:spacing w:val="-5"/>
                <w:sz w:val="22"/>
              </w:rPr>
              <w:t> </w:t>
            </w:r>
            <w:r>
              <w:rPr>
                <w:sz w:val="22"/>
              </w:rPr>
              <w:t>area</w:t>
            </w:r>
            <w:r>
              <w:rPr>
                <w:spacing w:val="-4"/>
                <w:sz w:val="22"/>
              </w:rPr>
              <w:t> </w:t>
            </w:r>
            <w:r>
              <w:rPr>
                <w:spacing w:val="-2"/>
                <w:sz w:val="22"/>
              </w:rPr>
              <w:t>description</w:t>
            </w:r>
          </w:p>
        </w:tc>
        <w:tc>
          <w:tcPr>
            <w:tcW w:w="1552" w:type="dxa"/>
            <w:tcBorders>
              <w:bottom w:val="single" w:sz="4" w:space="0" w:color="7E7E7E"/>
            </w:tcBorders>
          </w:tcPr>
          <w:p>
            <w:pPr>
              <w:pStyle w:val="TableParagraph"/>
              <w:spacing w:line="213" w:lineRule="exact"/>
              <w:ind w:left="108"/>
              <w:rPr>
                <w:sz w:val="22"/>
              </w:rPr>
            </w:pPr>
            <w:r>
              <w:rPr>
                <w:spacing w:val="-2"/>
                <w:sz w:val="22"/>
              </w:rPr>
              <w:t>Frequency</w:t>
            </w:r>
          </w:p>
        </w:tc>
        <w:tc>
          <w:tcPr>
            <w:tcW w:w="2141" w:type="dxa"/>
            <w:tcBorders>
              <w:bottom w:val="single" w:sz="4" w:space="0" w:color="7E7E7E"/>
            </w:tcBorders>
          </w:tcPr>
          <w:p>
            <w:pPr>
              <w:pStyle w:val="TableParagraph"/>
              <w:spacing w:line="213" w:lineRule="exact"/>
              <w:ind w:left="507"/>
              <w:rPr>
                <w:sz w:val="22"/>
              </w:rPr>
            </w:pPr>
            <w:r>
              <w:rPr>
                <w:sz w:val="22"/>
              </w:rPr>
              <w:t>Percent</w:t>
            </w:r>
            <w:r>
              <w:rPr>
                <w:spacing w:val="-3"/>
                <w:sz w:val="22"/>
              </w:rPr>
              <w:t> </w:t>
            </w:r>
            <w:r>
              <w:rPr>
                <w:spacing w:val="-5"/>
                <w:sz w:val="22"/>
              </w:rPr>
              <w:t>(%)</w:t>
            </w:r>
          </w:p>
        </w:tc>
      </w:tr>
      <w:tr>
        <w:trPr>
          <w:trHeight w:val="532" w:hRule="atLeast"/>
        </w:trPr>
        <w:tc>
          <w:tcPr>
            <w:tcW w:w="4527" w:type="dxa"/>
            <w:tcBorders>
              <w:top w:val="single" w:sz="4" w:space="0" w:color="7E7E7E"/>
              <w:right w:val="single" w:sz="4" w:space="0" w:color="7E7E7E"/>
            </w:tcBorders>
          </w:tcPr>
          <w:p>
            <w:pPr>
              <w:pStyle w:val="TableParagraph"/>
              <w:ind w:right="100"/>
              <w:jc w:val="right"/>
              <w:rPr>
                <w:sz w:val="22"/>
              </w:rPr>
            </w:pPr>
            <w:r>
              <w:rPr>
                <w:sz w:val="22"/>
              </w:rPr>
              <w:t>Outdoor</w:t>
            </w:r>
            <w:r>
              <w:rPr>
                <w:spacing w:val="-3"/>
                <w:sz w:val="22"/>
              </w:rPr>
              <w:t> </w:t>
            </w:r>
            <w:r>
              <w:rPr>
                <w:sz w:val="22"/>
              </w:rPr>
              <w:t>area</w:t>
            </w:r>
            <w:r>
              <w:rPr>
                <w:spacing w:val="-6"/>
                <w:sz w:val="22"/>
              </w:rPr>
              <w:t> </w:t>
            </w:r>
            <w:r>
              <w:rPr>
                <w:sz w:val="22"/>
              </w:rPr>
              <w:t>with</w:t>
            </w:r>
            <w:r>
              <w:rPr>
                <w:spacing w:val="-6"/>
                <w:sz w:val="22"/>
              </w:rPr>
              <w:t> </w:t>
            </w:r>
            <w:r>
              <w:rPr>
                <w:sz w:val="22"/>
              </w:rPr>
              <w:t>no</w:t>
            </w:r>
            <w:r>
              <w:rPr>
                <w:spacing w:val="-4"/>
                <w:sz w:val="22"/>
              </w:rPr>
              <w:t> </w:t>
            </w:r>
            <w:r>
              <w:rPr>
                <w:sz w:val="22"/>
              </w:rPr>
              <w:t>cover</w:t>
            </w:r>
            <w:r>
              <w:rPr>
                <w:spacing w:val="-3"/>
                <w:sz w:val="22"/>
              </w:rPr>
              <w:t> </w:t>
            </w:r>
            <w:r>
              <w:rPr>
                <w:sz w:val="22"/>
              </w:rPr>
              <w:t>(mostly</w:t>
            </w:r>
            <w:r>
              <w:rPr>
                <w:spacing w:val="-4"/>
                <w:sz w:val="22"/>
              </w:rPr>
              <w:t> </w:t>
            </w:r>
            <w:r>
              <w:rPr>
                <w:spacing w:val="-2"/>
                <w:sz w:val="22"/>
              </w:rPr>
              <w:t>open)</w:t>
            </w:r>
          </w:p>
        </w:tc>
        <w:tc>
          <w:tcPr>
            <w:tcW w:w="1552" w:type="dxa"/>
            <w:tcBorders>
              <w:top w:val="single" w:sz="4" w:space="0" w:color="7E7E7E"/>
              <w:left w:val="single" w:sz="4" w:space="0" w:color="7E7E7E"/>
            </w:tcBorders>
            <w:shd w:val="clear" w:color="auto" w:fill="F1F1F1"/>
          </w:tcPr>
          <w:p>
            <w:pPr>
              <w:pStyle w:val="TableParagraph"/>
              <w:ind w:left="103"/>
              <w:rPr>
                <w:sz w:val="22"/>
              </w:rPr>
            </w:pPr>
            <w:r>
              <w:rPr>
                <w:color w:val="000104"/>
                <w:spacing w:val="-5"/>
                <w:sz w:val="22"/>
              </w:rPr>
              <w:t>81</w:t>
            </w:r>
          </w:p>
        </w:tc>
        <w:tc>
          <w:tcPr>
            <w:tcW w:w="2141" w:type="dxa"/>
            <w:tcBorders>
              <w:top w:val="single" w:sz="4" w:space="0" w:color="7E7E7E"/>
            </w:tcBorders>
            <w:shd w:val="clear" w:color="auto" w:fill="F1F1F1"/>
          </w:tcPr>
          <w:p>
            <w:pPr>
              <w:pStyle w:val="TableParagraph"/>
              <w:ind w:left="507"/>
              <w:rPr>
                <w:sz w:val="22"/>
              </w:rPr>
            </w:pPr>
            <w:r>
              <w:rPr>
                <w:color w:val="000104"/>
                <w:spacing w:val="-4"/>
                <w:sz w:val="22"/>
              </w:rPr>
              <w:t>51.3</w:t>
            </w:r>
          </w:p>
        </w:tc>
      </w:tr>
      <w:tr>
        <w:trPr>
          <w:trHeight w:val="549" w:hRule="atLeast"/>
        </w:trPr>
        <w:tc>
          <w:tcPr>
            <w:tcW w:w="4527" w:type="dxa"/>
            <w:tcBorders>
              <w:right w:val="single" w:sz="4" w:space="0" w:color="7E7E7E"/>
            </w:tcBorders>
          </w:tcPr>
          <w:p>
            <w:pPr>
              <w:pStyle w:val="TableParagraph"/>
              <w:ind w:right="102"/>
              <w:jc w:val="right"/>
              <w:rPr>
                <w:sz w:val="22"/>
              </w:rPr>
            </w:pPr>
            <w:r>
              <w:rPr>
                <w:sz w:val="22"/>
              </w:rPr>
              <w:t>Outdoor</w:t>
            </w:r>
            <w:r>
              <w:rPr>
                <w:spacing w:val="-5"/>
                <w:sz w:val="22"/>
              </w:rPr>
              <w:t> </w:t>
            </w:r>
            <w:r>
              <w:rPr>
                <w:sz w:val="22"/>
              </w:rPr>
              <w:t>area</w:t>
            </w:r>
            <w:r>
              <w:rPr>
                <w:spacing w:val="-5"/>
                <w:sz w:val="22"/>
              </w:rPr>
              <w:t> </w:t>
            </w:r>
            <w:r>
              <w:rPr>
                <w:sz w:val="22"/>
              </w:rPr>
              <w:t>with</w:t>
            </w:r>
            <w:r>
              <w:rPr>
                <w:spacing w:val="-6"/>
                <w:sz w:val="22"/>
              </w:rPr>
              <w:t> </w:t>
            </w:r>
            <w:r>
              <w:rPr>
                <w:spacing w:val="-4"/>
                <w:sz w:val="22"/>
              </w:rPr>
              <w:t>cover</w:t>
            </w:r>
          </w:p>
          <w:p>
            <w:pPr>
              <w:pStyle w:val="TableParagraph"/>
              <w:spacing w:line="261" w:lineRule="exact"/>
              <w:ind w:right="101"/>
              <w:jc w:val="right"/>
              <w:rPr>
                <w:sz w:val="22"/>
              </w:rPr>
            </w:pPr>
            <w:r>
              <w:rPr>
                <w:sz w:val="22"/>
              </w:rPr>
              <w:t>(e.g.</w:t>
            </w:r>
            <w:r>
              <w:rPr>
                <w:spacing w:val="-7"/>
                <w:sz w:val="22"/>
              </w:rPr>
              <w:t> </w:t>
            </w:r>
            <w:r>
              <w:rPr>
                <w:sz w:val="22"/>
              </w:rPr>
              <w:t>thatched</w:t>
            </w:r>
            <w:r>
              <w:rPr>
                <w:spacing w:val="-10"/>
                <w:sz w:val="22"/>
              </w:rPr>
              <w:t> </w:t>
            </w:r>
            <w:r>
              <w:rPr>
                <w:sz w:val="22"/>
              </w:rPr>
              <w:t>or</w:t>
            </w:r>
            <w:r>
              <w:rPr>
                <w:spacing w:val="-6"/>
                <w:sz w:val="22"/>
              </w:rPr>
              <w:t> </w:t>
            </w:r>
            <w:r>
              <w:rPr>
                <w:sz w:val="22"/>
              </w:rPr>
              <w:t>zinc/aluminum</w:t>
            </w:r>
            <w:r>
              <w:rPr>
                <w:spacing w:val="-5"/>
                <w:sz w:val="22"/>
              </w:rPr>
              <w:t> </w:t>
            </w:r>
            <w:r>
              <w:rPr>
                <w:spacing w:val="-4"/>
                <w:sz w:val="22"/>
              </w:rPr>
              <w:t>roof)</w:t>
            </w:r>
          </w:p>
        </w:tc>
        <w:tc>
          <w:tcPr>
            <w:tcW w:w="1552" w:type="dxa"/>
            <w:tcBorders>
              <w:left w:val="single" w:sz="4" w:space="0" w:color="7E7E7E"/>
            </w:tcBorders>
          </w:tcPr>
          <w:p>
            <w:pPr>
              <w:pStyle w:val="TableParagraph"/>
              <w:ind w:left="103"/>
              <w:rPr>
                <w:sz w:val="22"/>
              </w:rPr>
            </w:pPr>
            <w:r>
              <w:rPr>
                <w:color w:val="000104"/>
                <w:spacing w:val="-5"/>
                <w:sz w:val="22"/>
              </w:rPr>
              <w:t>20</w:t>
            </w:r>
          </w:p>
        </w:tc>
        <w:tc>
          <w:tcPr>
            <w:tcW w:w="2141" w:type="dxa"/>
          </w:tcPr>
          <w:p>
            <w:pPr>
              <w:pStyle w:val="TableParagraph"/>
              <w:ind w:left="507"/>
              <w:rPr>
                <w:sz w:val="22"/>
              </w:rPr>
            </w:pPr>
            <w:r>
              <w:rPr>
                <w:color w:val="000104"/>
                <w:spacing w:val="-4"/>
                <w:sz w:val="22"/>
              </w:rPr>
              <w:t>12.7</w:t>
            </w:r>
          </w:p>
        </w:tc>
      </w:tr>
      <w:tr>
        <w:trPr>
          <w:trHeight w:val="547" w:hRule="atLeast"/>
        </w:trPr>
        <w:tc>
          <w:tcPr>
            <w:tcW w:w="4527" w:type="dxa"/>
            <w:tcBorders>
              <w:right w:val="single" w:sz="4" w:space="0" w:color="7E7E7E"/>
            </w:tcBorders>
          </w:tcPr>
          <w:p>
            <w:pPr>
              <w:pStyle w:val="TableParagraph"/>
              <w:spacing w:line="267" w:lineRule="exact"/>
              <w:ind w:right="101"/>
              <w:jc w:val="right"/>
              <w:rPr>
                <w:sz w:val="22"/>
              </w:rPr>
            </w:pPr>
            <w:r>
              <w:rPr>
                <w:sz w:val="22"/>
              </w:rPr>
              <w:t>Indoor</w:t>
            </w:r>
            <w:r>
              <w:rPr>
                <w:spacing w:val="-9"/>
                <w:sz w:val="22"/>
              </w:rPr>
              <w:t> </w:t>
            </w:r>
            <w:r>
              <w:rPr>
                <w:sz w:val="22"/>
              </w:rPr>
              <w:t>enclosed</w:t>
            </w:r>
            <w:r>
              <w:rPr>
                <w:spacing w:val="-5"/>
                <w:sz w:val="22"/>
              </w:rPr>
              <w:t> </w:t>
            </w:r>
            <w:r>
              <w:rPr>
                <w:spacing w:val="-4"/>
                <w:sz w:val="22"/>
              </w:rPr>
              <w:t>area</w:t>
            </w:r>
          </w:p>
          <w:p>
            <w:pPr>
              <w:pStyle w:val="TableParagraph"/>
              <w:spacing w:line="260" w:lineRule="exact"/>
              <w:ind w:right="102"/>
              <w:jc w:val="right"/>
              <w:rPr>
                <w:sz w:val="22"/>
              </w:rPr>
            </w:pPr>
            <w:r>
              <w:rPr>
                <w:sz w:val="22"/>
              </w:rPr>
              <w:t>with</w:t>
            </w:r>
            <w:r>
              <w:rPr>
                <w:spacing w:val="-8"/>
                <w:sz w:val="22"/>
              </w:rPr>
              <w:t> </w:t>
            </w:r>
            <w:r>
              <w:rPr>
                <w:sz w:val="22"/>
              </w:rPr>
              <w:t>zinc/aluminum</w:t>
            </w:r>
            <w:r>
              <w:rPr>
                <w:spacing w:val="-9"/>
                <w:sz w:val="22"/>
              </w:rPr>
              <w:t> </w:t>
            </w:r>
            <w:r>
              <w:rPr>
                <w:spacing w:val="-2"/>
                <w:sz w:val="22"/>
              </w:rPr>
              <w:t>roofing</w:t>
            </w:r>
          </w:p>
        </w:tc>
        <w:tc>
          <w:tcPr>
            <w:tcW w:w="1552" w:type="dxa"/>
            <w:tcBorders>
              <w:left w:val="single" w:sz="4" w:space="0" w:color="7E7E7E"/>
            </w:tcBorders>
            <w:shd w:val="clear" w:color="auto" w:fill="F1F1F1"/>
          </w:tcPr>
          <w:p>
            <w:pPr>
              <w:pStyle w:val="TableParagraph"/>
              <w:ind w:left="103"/>
              <w:rPr>
                <w:sz w:val="22"/>
              </w:rPr>
            </w:pPr>
            <w:r>
              <w:rPr>
                <w:color w:val="000104"/>
                <w:spacing w:val="-5"/>
                <w:sz w:val="22"/>
              </w:rPr>
              <w:t>29</w:t>
            </w:r>
          </w:p>
        </w:tc>
        <w:tc>
          <w:tcPr>
            <w:tcW w:w="2141" w:type="dxa"/>
            <w:shd w:val="clear" w:color="auto" w:fill="F1F1F1"/>
          </w:tcPr>
          <w:p>
            <w:pPr>
              <w:pStyle w:val="TableParagraph"/>
              <w:ind w:left="507"/>
              <w:rPr>
                <w:sz w:val="22"/>
              </w:rPr>
            </w:pPr>
            <w:r>
              <w:rPr>
                <w:color w:val="000104"/>
                <w:spacing w:val="-4"/>
                <w:sz w:val="22"/>
              </w:rPr>
              <w:t>18.4</w:t>
            </w:r>
          </w:p>
        </w:tc>
      </w:tr>
      <w:tr>
        <w:trPr>
          <w:trHeight w:val="535" w:hRule="atLeast"/>
        </w:trPr>
        <w:tc>
          <w:tcPr>
            <w:tcW w:w="4527" w:type="dxa"/>
            <w:tcBorders>
              <w:right w:val="single" w:sz="4" w:space="0" w:color="7E7E7E"/>
            </w:tcBorders>
          </w:tcPr>
          <w:p>
            <w:pPr>
              <w:pStyle w:val="TableParagraph"/>
              <w:ind w:right="101"/>
              <w:jc w:val="right"/>
              <w:rPr>
                <w:sz w:val="22"/>
              </w:rPr>
            </w:pPr>
            <w:r>
              <w:rPr>
                <w:sz w:val="22"/>
              </w:rPr>
              <w:t>Indoor</w:t>
            </w:r>
            <w:r>
              <w:rPr>
                <w:spacing w:val="-7"/>
                <w:sz w:val="22"/>
              </w:rPr>
              <w:t> </w:t>
            </w:r>
            <w:r>
              <w:rPr>
                <w:sz w:val="22"/>
              </w:rPr>
              <w:t>enclosed</w:t>
            </w:r>
            <w:r>
              <w:rPr>
                <w:spacing w:val="-5"/>
                <w:sz w:val="22"/>
              </w:rPr>
              <w:t> </w:t>
            </w:r>
            <w:r>
              <w:rPr>
                <w:sz w:val="22"/>
              </w:rPr>
              <w:t>area</w:t>
            </w:r>
            <w:r>
              <w:rPr>
                <w:spacing w:val="-5"/>
                <w:sz w:val="22"/>
              </w:rPr>
              <w:t> </w:t>
            </w:r>
            <w:r>
              <w:rPr>
                <w:sz w:val="22"/>
              </w:rPr>
              <w:t>with</w:t>
            </w:r>
            <w:r>
              <w:rPr>
                <w:spacing w:val="-8"/>
                <w:sz w:val="22"/>
              </w:rPr>
              <w:t> </w:t>
            </w:r>
            <w:r>
              <w:rPr>
                <w:sz w:val="22"/>
              </w:rPr>
              <w:t>thatched</w:t>
            </w:r>
            <w:r>
              <w:rPr>
                <w:spacing w:val="-5"/>
                <w:sz w:val="22"/>
              </w:rPr>
              <w:t> </w:t>
            </w:r>
            <w:r>
              <w:rPr>
                <w:spacing w:val="-2"/>
                <w:sz w:val="22"/>
              </w:rPr>
              <w:t>roofing</w:t>
            </w:r>
          </w:p>
        </w:tc>
        <w:tc>
          <w:tcPr>
            <w:tcW w:w="1552" w:type="dxa"/>
            <w:tcBorders>
              <w:left w:val="single" w:sz="4" w:space="0" w:color="7E7E7E"/>
            </w:tcBorders>
          </w:tcPr>
          <w:p>
            <w:pPr>
              <w:pStyle w:val="TableParagraph"/>
              <w:ind w:left="103"/>
              <w:rPr>
                <w:sz w:val="22"/>
              </w:rPr>
            </w:pPr>
            <w:r>
              <w:rPr>
                <w:color w:val="000104"/>
                <w:spacing w:val="-5"/>
                <w:sz w:val="22"/>
              </w:rPr>
              <w:t>28</w:t>
            </w:r>
          </w:p>
        </w:tc>
        <w:tc>
          <w:tcPr>
            <w:tcW w:w="2141" w:type="dxa"/>
          </w:tcPr>
          <w:p>
            <w:pPr>
              <w:pStyle w:val="TableParagraph"/>
              <w:ind w:left="507"/>
              <w:rPr>
                <w:sz w:val="22"/>
              </w:rPr>
            </w:pPr>
            <w:r>
              <w:rPr>
                <w:color w:val="000104"/>
                <w:spacing w:val="-4"/>
                <w:sz w:val="22"/>
              </w:rPr>
              <w:t>17.7</w:t>
            </w:r>
          </w:p>
        </w:tc>
      </w:tr>
      <w:tr>
        <w:trPr>
          <w:trHeight w:val="273" w:hRule="atLeast"/>
        </w:trPr>
        <w:tc>
          <w:tcPr>
            <w:tcW w:w="4527" w:type="dxa"/>
            <w:tcBorders>
              <w:right w:val="single" w:sz="4" w:space="0" w:color="7E7E7E"/>
            </w:tcBorders>
          </w:tcPr>
          <w:p>
            <w:pPr>
              <w:pStyle w:val="TableParagraph"/>
              <w:spacing w:line="254" w:lineRule="exact"/>
              <w:ind w:right="98"/>
              <w:jc w:val="right"/>
              <w:rPr>
                <w:sz w:val="22"/>
              </w:rPr>
            </w:pPr>
            <w:r>
              <w:rPr>
                <w:spacing w:val="-2"/>
                <w:sz w:val="22"/>
              </w:rPr>
              <w:t>Total</w:t>
            </w:r>
          </w:p>
        </w:tc>
        <w:tc>
          <w:tcPr>
            <w:tcW w:w="1552" w:type="dxa"/>
            <w:tcBorders>
              <w:left w:val="single" w:sz="4" w:space="0" w:color="7E7E7E"/>
            </w:tcBorders>
            <w:shd w:val="clear" w:color="auto" w:fill="F1F1F1"/>
          </w:tcPr>
          <w:p>
            <w:pPr>
              <w:pStyle w:val="TableParagraph"/>
              <w:spacing w:line="254" w:lineRule="exact"/>
              <w:ind w:left="103"/>
              <w:rPr>
                <w:sz w:val="22"/>
              </w:rPr>
            </w:pPr>
            <w:r>
              <w:rPr>
                <w:color w:val="000104"/>
                <w:spacing w:val="-5"/>
                <w:sz w:val="22"/>
              </w:rPr>
              <w:t>158</w:t>
            </w:r>
          </w:p>
        </w:tc>
        <w:tc>
          <w:tcPr>
            <w:tcW w:w="2141" w:type="dxa"/>
            <w:shd w:val="clear" w:color="auto" w:fill="F1F1F1"/>
          </w:tcPr>
          <w:p>
            <w:pPr>
              <w:pStyle w:val="TableParagraph"/>
              <w:spacing w:line="254" w:lineRule="exact"/>
              <w:ind w:left="507"/>
              <w:rPr>
                <w:sz w:val="22"/>
              </w:rPr>
            </w:pPr>
            <w:r>
              <w:rPr>
                <w:color w:val="000104"/>
                <w:spacing w:val="-2"/>
                <w:sz w:val="22"/>
              </w:rPr>
              <w:t>100.0</w:t>
            </w:r>
          </w:p>
        </w:tc>
      </w:tr>
    </w:tbl>
    <w:p>
      <w:pPr>
        <w:spacing w:after="0" w:line="254" w:lineRule="exact"/>
        <w:rPr>
          <w:sz w:val="22"/>
        </w:rPr>
        <w:sectPr>
          <w:pgSz w:w="11910" w:h="16840"/>
          <w:pgMar w:header="0" w:footer="1012" w:top="1620" w:bottom="1200" w:left="1680" w:right="1240"/>
        </w:sectPr>
      </w:pPr>
    </w:p>
    <w:p>
      <w:pPr>
        <w:spacing w:before="43"/>
        <w:ind w:left="588" w:right="0" w:firstLine="0"/>
        <w:jc w:val="left"/>
        <w:rPr>
          <w:rFonts w:ascii="Calibri"/>
          <w:sz w:val="22"/>
        </w:rPr>
      </w:pPr>
      <w:r>
        <w:rPr>
          <w:rFonts w:ascii="Calibri"/>
          <w:b/>
          <w:sz w:val="22"/>
        </w:rPr>
        <w:t>Table</w:t>
      </w:r>
      <w:r>
        <w:rPr>
          <w:rFonts w:ascii="Calibri"/>
          <w:b/>
          <w:spacing w:val="-4"/>
          <w:sz w:val="22"/>
        </w:rPr>
        <w:t> </w:t>
      </w:r>
      <w:r>
        <w:rPr>
          <w:rFonts w:ascii="Calibri"/>
          <w:b/>
          <w:sz w:val="22"/>
        </w:rPr>
        <w:t>2.</w:t>
      </w:r>
      <w:r>
        <w:rPr>
          <w:rFonts w:ascii="Calibri"/>
          <w:b/>
          <w:spacing w:val="-4"/>
          <w:sz w:val="22"/>
        </w:rPr>
        <w:t> </w:t>
      </w:r>
      <w:r>
        <w:rPr>
          <w:rFonts w:ascii="Calibri"/>
          <w:sz w:val="22"/>
        </w:rPr>
        <w:t>Comparison</w:t>
      </w:r>
      <w:r>
        <w:rPr>
          <w:rFonts w:ascii="Calibri"/>
          <w:spacing w:val="-6"/>
          <w:sz w:val="22"/>
        </w:rPr>
        <w:t> </w:t>
      </w:r>
      <w:r>
        <w:rPr>
          <w:rFonts w:ascii="Calibri"/>
          <w:sz w:val="22"/>
        </w:rPr>
        <w:t>of</w:t>
      </w:r>
      <w:r>
        <w:rPr>
          <w:rFonts w:ascii="Calibri"/>
          <w:spacing w:val="-6"/>
          <w:sz w:val="22"/>
        </w:rPr>
        <w:t> </w:t>
      </w:r>
      <w:r>
        <w:rPr>
          <w:rFonts w:ascii="Calibri"/>
          <w:sz w:val="22"/>
        </w:rPr>
        <w:t>mean</w:t>
      </w:r>
      <w:r>
        <w:rPr>
          <w:rFonts w:ascii="Calibri"/>
          <w:spacing w:val="-5"/>
          <w:sz w:val="22"/>
        </w:rPr>
        <w:t> </w:t>
      </w:r>
      <w:r>
        <w:rPr>
          <w:rFonts w:ascii="Calibri"/>
          <w:sz w:val="22"/>
        </w:rPr>
        <w:t>and</w:t>
      </w:r>
      <w:r>
        <w:rPr>
          <w:rFonts w:ascii="Calibri"/>
          <w:spacing w:val="-6"/>
          <w:sz w:val="22"/>
        </w:rPr>
        <w:t> </w:t>
      </w:r>
      <w:r>
        <w:rPr>
          <w:rFonts w:ascii="Calibri"/>
          <w:sz w:val="22"/>
        </w:rPr>
        <w:t>maximum</w:t>
      </w:r>
      <w:r>
        <w:rPr>
          <w:rFonts w:ascii="Calibri"/>
          <w:spacing w:val="-3"/>
          <w:sz w:val="22"/>
        </w:rPr>
        <w:t> </w:t>
      </w:r>
      <w:r>
        <w:rPr>
          <w:rFonts w:ascii="Calibri"/>
          <w:sz w:val="22"/>
        </w:rPr>
        <w:t>CO</w:t>
      </w:r>
      <w:r>
        <w:rPr>
          <w:rFonts w:ascii="Calibri"/>
          <w:spacing w:val="-6"/>
          <w:sz w:val="22"/>
        </w:rPr>
        <w:t> </w:t>
      </w:r>
      <w:r>
        <w:rPr>
          <w:rFonts w:ascii="Calibri"/>
          <w:sz w:val="22"/>
        </w:rPr>
        <w:t>readings</w:t>
      </w:r>
      <w:r>
        <w:rPr>
          <w:rFonts w:ascii="Calibri"/>
          <w:spacing w:val="-4"/>
          <w:sz w:val="22"/>
        </w:rPr>
        <w:t> </w:t>
      </w:r>
      <w:r>
        <w:rPr>
          <w:rFonts w:ascii="Calibri"/>
          <w:sz w:val="22"/>
        </w:rPr>
        <w:t>recorded</w:t>
      </w:r>
      <w:r>
        <w:rPr>
          <w:rFonts w:ascii="Calibri"/>
          <w:spacing w:val="-4"/>
          <w:sz w:val="22"/>
        </w:rPr>
        <w:t> </w:t>
      </w:r>
      <w:r>
        <w:rPr>
          <w:rFonts w:ascii="Calibri"/>
          <w:sz w:val="22"/>
        </w:rPr>
        <w:t>with</w:t>
      </w:r>
      <w:r>
        <w:rPr>
          <w:rFonts w:ascii="Calibri"/>
          <w:spacing w:val="-4"/>
          <w:sz w:val="22"/>
        </w:rPr>
        <w:t> </w:t>
      </w:r>
      <w:r>
        <w:rPr>
          <w:rFonts w:ascii="Calibri"/>
          <w:sz w:val="22"/>
        </w:rPr>
        <w:t>ventilation</w:t>
      </w:r>
      <w:r>
        <w:rPr>
          <w:rFonts w:ascii="Calibri"/>
          <w:spacing w:val="-4"/>
          <w:sz w:val="22"/>
        </w:rPr>
        <w:t> </w:t>
      </w:r>
      <w:r>
        <w:rPr>
          <w:rFonts w:ascii="Calibri"/>
          <w:spacing w:val="-2"/>
          <w:sz w:val="22"/>
        </w:rPr>
        <w:t>index.</w:t>
      </w:r>
    </w:p>
    <w:p>
      <w:pPr>
        <w:pStyle w:val="BodyText"/>
        <w:spacing w:before="4"/>
        <w:rPr>
          <w:rFonts w:ascii="Calibri"/>
          <w:sz w:val="16"/>
        </w:rPr>
      </w:pPr>
    </w:p>
    <w:tbl>
      <w:tblPr>
        <w:tblW w:w="0" w:type="auto"/>
        <w:jc w:val="left"/>
        <w:tblInd w:w="5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66"/>
        <w:gridCol w:w="1980"/>
        <w:gridCol w:w="1079"/>
        <w:gridCol w:w="1619"/>
        <w:gridCol w:w="1845"/>
        <w:gridCol w:w="1482"/>
      </w:tblGrid>
      <w:tr>
        <w:trPr>
          <w:trHeight w:val="566" w:hRule="atLeast"/>
        </w:trPr>
        <w:tc>
          <w:tcPr>
            <w:tcW w:w="4944" w:type="dxa"/>
            <w:gridSpan w:val="4"/>
          </w:tcPr>
          <w:p>
            <w:pPr>
              <w:pStyle w:val="TableParagraph"/>
              <w:spacing w:line="240" w:lineRule="auto" w:before="28"/>
              <w:rPr>
                <w:sz w:val="22"/>
              </w:rPr>
            </w:pPr>
          </w:p>
          <w:p>
            <w:pPr>
              <w:pStyle w:val="TableParagraph"/>
              <w:spacing w:line="249" w:lineRule="exact"/>
              <w:ind w:left="107"/>
              <w:rPr>
                <w:b/>
                <w:sz w:val="22"/>
              </w:rPr>
            </w:pPr>
            <w:r>
              <w:rPr>
                <w:b/>
                <w:sz w:val="22"/>
              </w:rPr>
              <w:t>Ventilation</w:t>
            </w:r>
            <w:r>
              <w:rPr>
                <w:b/>
                <w:spacing w:val="-8"/>
                <w:sz w:val="22"/>
              </w:rPr>
              <w:t> </w:t>
            </w:r>
            <w:r>
              <w:rPr>
                <w:b/>
                <w:spacing w:val="-2"/>
                <w:sz w:val="22"/>
              </w:rPr>
              <w:t>Index</w:t>
            </w:r>
          </w:p>
        </w:tc>
        <w:tc>
          <w:tcPr>
            <w:tcW w:w="1845" w:type="dxa"/>
          </w:tcPr>
          <w:p>
            <w:pPr>
              <w:pStyle w:val="TableParagraph"/>
              <w:spacing w:line="270" w:lineRule="atLeast" w:before="6"/>
              <w:ind w:left="168"/>
              <w:rPr>
                <w:b/>
                <w:sz w:val="22"/>
              </w:rPr>
            </w:pPr>
            <w:r>
              <w:rPr>
                <w:b/>
                <w:sz w:val="22"/>
              </w:rPr>
              <w:t>Mean</w:t>
            </w:r>
            <w:r>
              <w:rPr>
                <w:b/>
                <w:spacing w:val="-13"/>
                <w:sz w:val="22"/>
              </w:rPr>
              <w:t> </w:t>
            </w:r>
            <w:r>
              <w:rPr>
                <w:b/>
                <w:sz w:val="22"/>
              </w:rPr>
              <w:t>CO</w:t>
            </w:r>
            <w:r>
              <w:rPr>
                <w:b/>
                <w:spacing w:val="-12"/>
                <w:sz w:val="22"/>
              </w:rPr>
              <w:t> </w:t>
            </w:r>
            <w:r>
              <w:rPr>
                <w:b/>
                <w:sz w:val="22"/>
              </w:rPr>
              <w:t>(ppm) during cooking</w:t>
            </w:r>
          </w:p>
        </w:tc>
        <w:tc>
          <w:tcPr>
            <w:tcW w:w="1482" w:type="dxa"/>
          </w:tcPr>
          <w:p>
            <w:pPr>
              <w:pStyle w:val="TableParagraph"/>
              <w:spacing w:line="270" w:lineRule="atLeast" w:before="6"/>
              <w:ind w:left="172" w:right="362"/>
              <w:rPr>
                <w:b/>
                <w:sz w:val="22"/>
              </w:rPr>
            </w:pPr>
            <w:r>
              <w:rPr>
                <w:b/>
                <w:spacing w:val="-2"/>
                <w:sz w:val="22"/>
              </w:rPr>
              <w:t>Maximum </w:t>
            </w:r>
            <w:r>
              <w:rPr>
                <w:b/>
                <w:sz w:val="22"/>
              </w:rPr>
              <w:t>CO (ppm)</w:t>
            </w:r>
          </w:p>
        </w:tc>
      </w:tr>
      <w:tr>
        <w:trPr>
          <w:trHeight w:val="290" w:hRule="atLeast"/>
        </w:trPr>
        <w:tc>
          <w:tcPr>
            <w:tcW w:w="266" w:type="dxa"/>
            <w:vMerge w:val="restart"/>
          </w:tcPr>
          <w:p>
            <w:pPr>
              <w:pStyle w:val="TableParagraph"/>
              <w:spacing w:line="240" w:lineRule="auto"/>
              <w:rPr>
                <w:rFonts w:ascii="Times New Roman"/>
                <w:sz w:val="22"/>
              </w:rPr>
            </w:pPr>
          </w:p>
        </w:tc>
        <w:tc>
          <w:tcPr>
            <w:tcW w:w="1980" w:type="dxa"/>
            <w:vMerge w:val="restart"/>
          </w:tcPr>
          <w:p>
            <w:pPr>
              <w:pStyle w:val="TableParagraph"/>
              <w:ind w:left="165"/>
              <w:rPr>
                <w:sz w:val="22"/>
              </w:rPr>
            </w:pPr>
            <w:r>
              <w:rPr>
                <w:sz w:val="22"/>
              </w:rPr>
              <w:t>Low</w:t>
            </w:r>
            <w:r>
              <w:rPr>
                <w:spacing w:val="-2"/>
                <w:sz w:val="22"/>
              </w:rPr>
              <w:t> </w:t>
            </w:r>
            <w:r>
              <w:rPr>
                <w:sz w:val="22"/>
              </w:rPr>
              <w:t>(door</w:t>
            </w:r>
            <w:r>
              <w:rPr>
                <w:spacing w:val="-4"/>
                <w:sz w:val="22"/>
              </w:rPr>
              <w:t> </w:t>
            </w:r>
            <w:r>
              <w:rPr>
                <w:spacing w:val="-2"/>
                <w:sz w:val="22"/>
              </w:rPr>
              <w:t>only)</w:t>
            </w:r>
          </w:p>
        </w:tc>
        <w:tc>
          <w:tcPr>
            <w:tcW w:w="2698" w:type="dxa"/>
            <w:gridSpan w:val="2"/>
          </w:tcPr>
          <w:p>
            <w:pPr>
              <w:pStyle w:val="TableParagraph"/>
              <w:ind w:left="166"/>
              <w:rPr>
                <w:sz w:val="22"/>
              </w:rPr>
            </w:pPr>
            <w:r>
              <w:rPr>
                <w:spacing w:val="-10"/>
                <w:sz w:val="22"/>
              </w:rPr>
              <w:t>1</w:t>
            </w:r>
          </w:p>
        </w:tc>
        <w:tc>
          <w:tcPr>
            <w:tcW w:w="1845" w:type="dxa"/>
          </w:tcPr>
          <w:p>
            <w:pPr>
              <w:pStyle w:val="TableParagraph"/>
              <w:ind w:right="153"/>
              <w:jc w:val="right"/>
              <w:rPr>
                <w:sz w:val="22"/>
              </w:rPr>
            </w:pPr>
            <w:r>
              <w:rPr>
                <w:spacing w:val="-2"/>
                <w:sz w:val="22"/>
              </w:rPr>
              <w:t>137.96</w:t>
            </w:r>
          </w:p>
        </w:tc>
        <w:tc>
          <w:tcPr>
            <w:tcW w:w="1482" w:type="dxa"/>
          </w:tcPr>
          <w:p>
            <w:pPr>
              <w:pStyle w:val="TableParagraph"/>
              <w:ind w:right="148"/>
              <w:jc w:val="right"/>
              <w:rPr>
                <w:sz w:val="22"/>
              </w:rPr>
            </w:pPr>
            <w:r>
              <w:rPr>
                <w:spacing w:val="-2"/>
                <w:sz w:val="22"/>
              </w:rPr>
              <w:t>443.0</w:t>
            </w:r>
          </w:p>
        </w:tc>
      </w:tr>
      <w:tr>
        <w:trPr>
          <w:trHeight w:val="287"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10"/>
                <w:sz w:val="22"/>
              </w:rPr>
              <w:t>2</w:t>
            </w:r>
          </w:p>
        </w:tc>
        <w:tc>
          <w:tcPr>
            <w:tcW w:w="1845" w:type="dxa"/>
          </w:tcPr>
          <w:p>
            <w:pPr>
              <w:pStyle w:val="TableParagraph"/>
              <w:ind w:right="153"/>
              <w:jc w:val="right"/>
              <w:rPr>
                <w:sz w:val="22"/>
              </w:rPr>
            </w:pPr>
            <w:r>
              <w:rPr>
                <w:spacing w:val="-2"/>
                <w:sz w:val="22"/>
              </w:rPr>
              <w:t>157.37</w:t>
            </w:r>
          </w:p>
        </w:tc>
        <w:tc>
          <w:tcPr>
            <w:tcW w:w="1482" w:type="dxa"/>
          </w:tcPr>
          <w:p>
            <w:pPr>
              <w:pStyle w:val="TableParagraph"/>
              <w:ind w:right="148"/>
              <w:jc w:val="right"/>
              <w:rPr>
                <w:sz w:val="22"/>
              </w:rPr>
            </w:pPr>
            <w:r>
              <w:rPr>
                <w:spacing w:val="-2"/>
                <w:sz w:val="22"/>
              </w:rPr>
              <w:t>421.5</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10"/>
                <w:sz w:val="22"/>
              </w:rPr>
              <w:t>3</w:t>
            </w:r>
          </w:p>
        </w:tc>
        <w:tc>
          <w:tcPr>
            <w:tcW w:w="1845" w:type="dxa"/>
          </w:tcPr>
          <w:p>
            <w:pPr>
              <w:pStyle w:val="TableParagraph"/>
              <w:ind w:right="153"/>
              <w:jc w:val="right"/>
              <w:rPr>
                <w:sz w:val="22"/>
              </w:rPr>
            </w:pPr>
            <w:r>
              <w:rPr>
                <w:spacing w:val="-2"/>
                <w:sz w:val="22"/>
              </w:rPr>
              <w:t>71.73</w:t>
            </w:r>
          </w:p>
        </w:tc>
        <w:tc>
          <w:tcPr>
            <w:tcW w:w="1482" w:type="dxa"/>
          </w:tcPr>
          <w:p>
            <w:pPr>
              <w:pStyle w:val="TableParagraph"/>
              <w:ind w:right="148"/>
              <w:jc w:val="right"/>
              <w:rPr>
                <w:sz w:val="22"/>
              </w:rPr>
            </w:pPr>
            <w:r>
              <w:rPr>
                <w:spacing w:val="-2"/>
                <w:sz w:val="22"/>
              </w:rPr>
              <w:t>221.0</w:t>
            </w:r>
          </w:p>
        </w:tc>
      </w:tr>
      <w:tr>
        <w:trPr>
          <w:trHeight w:val="287"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val="restart"/>
          </w:tcPr>
          <w:p>
            <w:pPr>
              <w:pStyle w:val="TableParagraph"/>
              <w:ind w:left="166"/>
              <w:rPr>
                <w:sz w:val="22"/>
              </w:rPr>
            </w:pPr>
            <w:r>
              <w:rPr>
                <w:spacing w:val="-2"/>
                <w:sz w:val="22"/>
              </w:rPr>
              <w:t>Total</w:t>
            </w:r>
          </w:p>
        </w:tc>
        <w:tc>
          <w:tcPr>
            <w:tcW w:w="1619" w:type="dxa"/>
          </w:tcPr>
          <w:p>
            <w:pPr>
              <w:pStyle w:val="TableParagraph"/>
              <w:ind w:left="167"/>
              <w:rPr>
                <w:sz w:val="22"/>
              </w:rPr>
            </w:pPr>
            <w:r>
              <w:rPr>
                <w:spacing w:val="-10"/>
                <w:sz w:val="22"/>
              </w:rPr>
              <w:t>N</w:t>
            </w:r>
          </w:p>
        </w:tc>
        <w:tc>
          <w:tcPr>
            <w:tcW w:w="1845" w:type="dxa"/>
          </w:tcPr>
          <w:p>
            <w:pPr>
              <w:pStyle w:val="TableParagraph"/>
              <w:ind w:right="153"/>
              <w:jc w:val="right"/>
              <w:rPr>
                <w:sz w:val="22"/>
              </w:rPr>
            </w:pPr>
            <w:r>
              <w:rPr>
                <w:spacing w:val="-10"/>
                <w:sz w:val="22"/>
              </w:rPr>
              <w:t>3</w:t>
            </w:r>
          </w:p>
        </w:tc>
        <w:tc>
          <w:tcPr>
            <w:tcW w:w="1482" w:type="dxa"/>
          </w:tcPr>
          <w:p>
            <w:pPr>
              <w:pStyle w:val="TableParagraph"/>
              <w:ind w:right="148"/>
              <w:jc w:val="right"/>
              <w:rPr>
                <w:sz w:val="22"/>
              </w:rPr>
            </w:pPr>
            <w:r>
              <w:rPr>
                <w:spacing w:val="-10"/>
                <w:sz w:val="22"/>
              </w:rPr>
              <w:t>3</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tcBorders>
              <w:top w:val="nil"/>
            </w:tcBorders>
          </w:tcPr>
          <w:p>
            <w:pPr>
              <w:rPr>
                <w:sz w:val="2"/>
                <w:szCs w:val="2"/>
              </w:rPr>
            </w:pPr>
          </w:p>
        </w:tc>
        <w:tc>
          <w:tcPr>
            <w:tcW w:w="1619" w:type="dxa"/>
          </w:tcPr>
          <w:p>
            <w:pPr>
              <w:pStyle w:val="TableParagraph"/>
              <w:ind w:left="167"/>
              <w:rPr>
                <w:sz w:val="22"/>
              </w:rPr>
            </w:pPr>
            <w:r>
              <w:rPr>
                <w:spacing w:val="-4"/>
                <w:sz w:val="22"/>
              </w:rPr>
              <w:t>Mean</w:t>
            </w:r>
          </w:p>
        </w:tc>
        <w:tc>
          <w:tcPr>
            <w:tcW w:w="1845" w:type="dxa"/>
          </w:tcPr>
          <w:p>
            <w:pPr>
              <w:pStyle w:val="TableParagraph"/>
              <w:ind w:right="153"/>
              <w:jc w:val="right"/>
              <w:rPr>
                <w:sz w:val="22"/>
              </w:rPr>
            </w:pPr>
            <w:r>
              <w:rPr>
                <w:spacing w:val="-2"/>
                <w:sz w:val="22"/>
              </w:rPr>
              <w:t>122.3533</w:t>
            </w:r>
          </w:p>
        </w:tc>
        <w:tc>
          <w:tcPr>
            <w:tcW w:w="1482" w:type="dxa"/>
          </w:tcPr>
          <w:p>
            <w:pPr>
              <w:pStyle w:val="TableParagraph"/>
              <w:ind w:right="149"/>
              <w:jc w:val="right"/>
              <w:rPr>
                <w:sz w:val="22"/>
              </w:rPr>
            </w:pPr>
            <w:r>
              <w:rPr>
                <w:spacing w:val="-2"/>
                <w:sz w:val="22"/>
              </w:rPr>
              <w:t>361.833</w:t>
            </w:r>
          </w:p>
        </w:tc>
      </w:tr>
      <w:tr>
        <w:trPr>
          <w:trHeight w:val="287"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tcBorders>
              <w:top w:val="nil"/>
            </w:tcBorders>
          </w:tcPr>
          <w:p>
            <w:pPr>
              <w:rPr>
                <w:sz w:val="2"/>
                <w:szCs w:val="2"/>
              </w:rPr>
            </w:pPr>
          </w:p>
        </w:tc>
        <w:tc>
          <w:tcPr>
            <w:tcW w:w="1619" w:type="dxa"/>
          </w:tcPr>
          <w:p>
            <w:pPr>
              <w:pStyle w:val="TableParagraph"/>
              <w:ind w:left="167"/>
              <w:rPr>
                <w:sz w:val="22"/>
              </w:rPr>
            </w:pPr>
            <w:r>
              <w:rPr>
                <w:spacing w:val="-2"/>
                <w:sz w:val="22"/>
              </w:rPr>
              <w:t>Minimum</w:t>
            </w:r>
          </w:p>
        </w:tc>
        <w:tc>
          <w:tcPr>
            <w:tcW w:w="1845" w:type="dxa"/>
          </w:tcPr>
          <w:p>
            <w:pPr>
              <w:pStyle w:val="TableParagraph"/>
              <w:ind w:right="153"/>
              <w:jc w:val="right"/>
              <w:rPr>
                <w:sz w:val="22"/>
              </w:rPr>
            </w:pPr>
            <w:r>
              <w:rPr>
                <w:spacing w:val="-2"/>
                <w:sz w:val="22"/>
              </w:rPr>
              <w:t>71.73</w:t>
            </w:r>
          </w:p>
        </w:tc>
        <w:tc>
          <w:tcPr>
            <w:tcW w:w="1482" w:type="dxa"/>
          </w:tcPr>
          <w:p>
            <w:pPr>
              <w:pStyle w:val="TableParagraph"/>
              <w:ind w:right="148"/>
              <w:jc w:val="right"/>
              <w:rPr>
                <w:sz w:val="22"/>
              </w:rPr>
            </w:pPr>
            <w:r>
              <w:rPr>
                <w:spacing w:val="-2"/>
                <w:sz w:val="22"/>
              </w:rPr>
              <w:t>221.0</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tcBorders>
              <w:top w:val="nil"/>
            </w:tcBorders>
          </w:tcPr>
          <w:p>
            <w:pPr>
              <w:rPr>
                <w:sz w:val="2"/>
                <w:szCs w:val="2"/>
              </w:rPr>
            </w:pPr>
          </w:p>
        </w:tc>
        <w:tc>
          <w:tcPr>
            <w:tcW w:w="1619" w:type="dxa"/>
          </w:tcPr>
          <w:p>
            <w:pPr>
              <w:pStyle w:val="TableParagraph"/>
              <w:spacing w:line="240" w:lineRule="auto" w:before="1"/>
              <w:ind w:left="167"/>
              <w:rPr>
                <w:sz w:val="22"/>
              </w:rPr>
            </w:pPr>
            <w:r>
              <w:rPr>
                <w:spacing w:val="-2"/>
                <w:sz w:val="22"/>
              </w:rPr>
              <w:t>Maximum</w:t>
            </w:r>
          </w:p>
        </w:tc>
        <w:tc>
          <w:tcPr>
            <w:tcW w:w="1845" w:type="dxa"/>
          </w:tcPr>
          <w:p>
            <w:pPr>
              <w:pStyle w:val="TableParagraph"/>
              <w:spacing w:line="240" w:lineRule="auto" w:before="1"/>
              <w:ind w:right="153"/>
              <w:jc w:val="right"/>
              <w:rPr>
                <w:sz w:val="22"/>
              </w:rPr>
            </w:pPr>
            <w:r>
              <w:rPr>
                <w:spacing w:val="-2"/>
                <w:sz w:val="22"/>
              </w:rPr>
              <w:t>157.37</w:t>
            </w:r>
          </w:p>
        </w:tc>
        <w:tc>
          <w:tcPr>
            <w:tcW w:w="1482" w:type="dxa"/>
          </w:tcPr>
          <w:p>
            <w:pPr>
              <w:pStyle w:val="TableParagraph"/>
              <w:spacing w:line="240" w:lineRule="auto" w:before="1"/>
              <w:ind w:right="148"/>
              <w:jc w:val="right"/>
              <w:rPr>
                <w:sz w:val="22"/>
              </w:rPr>
            </w:pPr>
            <w:r>
              <w:rPr>
                <w:spacing w:val="-2"/>
                <w:sz w:val="22"/>
              </w:rPr>
              <w:t>443.0</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tcBorders>
              <w:top w:val="nil"/>
            </w:tcBorders>
          </w:tcPr>
          <w:p>
            <w:pPr>
              <w:rPr>
                <w:sz w:val="2"/>
                <w:szCs w:val="2"/>
              </w:rPr>
            </w:pPr>
          </w:p>
        </w:tc>
        <w:tc>
          <w:tcPr>
            <w:tcW w:w="1619" w:type="dxa"/>
          </w:tcPr>
          <w:p>
            <w:pPr>
              <w:pStyle w:val="TableParagraph"/>
              <w:ind w:left="167"/>
              <w:rPr>
                <w:sz w:val="22"/>
              </w:rPr>
            </w:pPr>
            <w:r>
              <w:rPr>
                <w:sz w:val="22"/>
              </w:rPr>
              <w:t>Std.</w:t>
            </w:r>
            <w:r>
              <w:rPr>
                <w:spacing w:val="-5"/>
                <w:sz w:val="22"/>
              </w:rPr>
              <w:t> </w:t>
            </w:r>
            <w:r>
              <w:rPr>
                <w:spacing w:val="-2"/>
                <w:sz w:val="22"/>
              </w:rPr>
              <w:t>Deviation</w:t>
            </w:r>
          </w:p>
        </w:tc>
        <w:tc>
          <w:tcPr>
            <w:tcW w:w="1845" w:type="dxa"/>
          </w:tcPr>
          <w:p>
            <w:pPr>
              <w:pStyle w:val="TableParagraph"/>
              <w:ind w:right="153"/>
              <w:jc w:val="right"/>
              <w:rPr>
                <w:sz w:val="22"/>
              </w:rPr>
            </w:pPr>
            <w:r>
              <w:rPr>
                <w:spacing w:val="-2"/>
                <w:sz w:val="22"/>
              </w:rPr>
              <w:t>44.90243</w:t>
            </w:r>
          </w:p>
        </w:tc>
        <w:tc>
          <w:tcPr>
            <w:tcW w:w="1482" w:type="dxa"/>
          </w:tcPr>
          <w:p>
            <w:pPr>
              <w:pStyle w:val="TableParagraph"/>
              <w:ind w:right="149"/>
              <w:jc w:val="right"/>
              <w:rPr>
                <w:sz w:val="22"/>
              </w:rPr>
            </w:pPr>
            <w:r>
              <w:rPr>
                <w:spacing w:val="-2"/>
                <w:sz w:val="22"/>
              </w:rPr>
              <w:t>122.4381</w:t>
            </w:r>
          </w:p>
        </w:tc>
      </w:tr>
      <w:tr>
        <w:trPr>
          <w:trHeight w:val="287" w:hRule="atLeast"/>
        </w:trPr>
        <w:tc>
          <w:tcPr>
            <w:tcW w:w="266" w:type="dxa"/>
            <w:vMerge/>
            <w:tcBorders>
              <w:top w:val="nil"/>
            </w:tcBorders>
          </w:tcPr>
          <w:p>
            <w:pPr>
              <w:rPr>
                <w:sz w:val="2"/>
                <w:szCs w:val="2"/>
              </w:rPr>
            </w:pPr>
          </w:p>
        </w:tc>
        <w:tc>
          <w:tcPr>
            <w:tcW w:w="1980" w:type="dxa"/>
            <w:vMerge w:val="restart"/>
          </w:tcPr>
          <w:p>
            <w:pPr>
              <w:pStyle w:val="TableParagraph"/>
              <w:spacing w:line="240" w:lineRule="auto"/>
              <w:ind w:left="165" w:right="502"/>
              <w:rPr>
                <w:sz w:val="22"/>
              </w:rPr>
            </w:pPr>
            <w:r>
              <w:rPr>
                <w:sz w:val="22"/>
              </w:rPr>
              <w:t>Medium</w:t>
            </w:r>
            <w:r>
              <w:rPr>
                <w:spacing w:val="-13"/>
                <w:sz w:val="22"/>
              </w:rPr>
              <w:t> </w:t>
            </w:r>
            <w:r>
              <w:rPr>
                <w:sz w:val="22"/>
              </w:rPr>
              <w:t>(door and 1-2 other </w:t>
            </w:r>
            <w:r>
              <w:rPr>
                <w:spacing w:val="-2"/>
                <w:sz w:val="22"/>
              </w:rPr>
              <w:t>openings)</w:t>
            </w:r>
          </w:p>
        </w:tc>
        <w:tc>
          <w:tcPr>
            <w:tcW w:w="2698" w:type="dxa"/>
            <w:gridSpan w:val="2"/>
          </w:tcPr>
          <w:p>
            <w:pPr>
              <w:pStyle w:val="TableParagraph"/>
              <w:ind w:left="166"/>
              <w:rPr>
                <w:sz w:val="22"/>
              </w:rPr>
            </w:pPr>
            <w:r>
              <w:rPr>
                <w:spacing w:val="-10"/>
                <w:sz w:val="22"/>
              </w:rPr>
              <w:t>1</w:t>
            </w:r>
          </w:p>
        </w:tc>
        <w:tc>
          <w:tcPr>
            <w:tcW w:w="1845" w:type="dxa"/>
          </w:tcPr>
          <w:p>
            <w:pPr>
              <w:pStyle w:val="TableParagraph"/>
              <w:ind w:right="153"/>
              <w:jc w:val="right"/>
              <w:rPr>
                <w:sz w:val="22"/>
              </w:rPr>
            </w:pPr>
            <w:r>
              <w:rPr>
                <w:spacing w:val="-2"/>
                <w:sz w:val="22"/>
              </w:rPr>
              <w:t>77.26</w:t>
            </w:r>
          </w:p>
        </w:tc>
        <w:tc>
          <w:tcPr>
            <w:tcW w:w="1482" w:type="dxa"/>
          </w:tcPr>
          <w:p>
            <w:pPr>
              <w:pStyle w:val="TableParagraph"/>
              <w:ind w:right="148"/>
              <w:jc w:val="right"/>
              <w:rPr>
                <w:sz w:val="22"/>
              </w:rPr>
            </w:pPr>
            <w:r>
              <w:rPr>
                <w:spacing w:val="-2"/>
                <w:sz w:val="22"/>
              </w:rPr>
              <w:t>218.5</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10"/>
                <w:sz w:val="22"/>
              </w:rPr>
              <w:t>2</w:t>
            </w:r>
          </w:p>
        </w:tc>
        <w:tc>
          <w:tcPr>
            <w:tcW w:w="1845" w:type="dxa"/>
          </w:tcPr>
          <w:p>
            <w:pPr>
              <w:pStyle w:val="TableParagraph"/>
              <w:ind w:right="153"/>
              <w:jc w:val="right"/>
              <w:rPr>
                <w:sz w:val="22"/>
              </w:rPr>
            </w:pPr>
            <w:r>
              <w:rPr>
                <w:spacing w:val="-2"/>
                <w:sz w:val="22"/>
              </w:rPr>
              <w:t>100.92</w:t>
            </w:r>
          </w:p>
        </w:tc>
        <w:tc>
          <w:tcPr>
            <w:tcW w:w="1482" w:type="dxa"/>
          </w:tcPr>
          <w:p>
            <w:pPr>
              <w:pStyle w:val="TableParagraph"/>
              <w:ind w:right="148"/>
              <w:jc w:val="right"/>
              <w:rPr>
                <w:sz w:val="22"/>
              </w:rPr>
            </w:pPr>
            <w:r>
              <w:rPr>
                <w:spacing w:val="-2"/>
                <w:sz w:val="22"/>
              </w:rPr>
              <w:t>229.5</w:t>
            </w:r>
          </w:p>
        </w:tc>
      </w:tr>
      <w:tr>
        <w:trPr>
          <w:trHeight w:val="287"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10"/>
                <w:sz w:val="22"/>
              </w:rPr>
              <w:t>3</w:t>
            </w:r>
          </w:p>
        </w:tc>
        <w:tc>
          <w:tcPr>
            <w:tcW w:w="1845" w:type="dxa"/>
          </w:tcPr>
          <w:p>
            <w:pPr>
              <w:pStyle w:val="TableParagraph"/>
              <w:ind w:right="153"/>
              <w:jc w:val="right"/>
              <w:rPr>
                <w:sz w:val="22"/>
              </w:rPr>
            </w:pPr>
            <w:r>
              <w:rPr>
                <w:spacing w:val="-2"/>
                <w:sz w:val="22"/>
              </w:rPr>
              <w:t>66.69</w:t>
            </w:r>
          </w:p>
        </w:tc>
        <w:tc>
          <w:tcPr>
            <w:tcW w:w="1482" w:type="dxa"/>
          </w:tcPr>
          <w:p>
            <w:pPr>
              <w:pStyle w:val="TableParagraph"/>
              <w:ind w:right="148"/>
              <w:jc w:val="right"/>
              <w:rPr>
                <w:sz w:val="22"/>
              </w:rPr>
            </w:pPr>
            <w:r>
              <w:rPr>
                <w:spacing w:val="-2"/>
                <w:sz w:val="22"/>
              </w:rPr>
              <w:t>256.5</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10"/>
                <w:sz w:val="22"/>
              </w:rPr>
              <w:t>4</w:t>
            </w:r>
          </w:p>
        </w:tc>
        <w:tc>
          <w:tcPr>
            <w:tcW w:w="1845" w:type="dxa"/>
          </w:tcPr>
          <w:p>
            <w:pPr>
              <w:pStyle w:val="TableParagraph"/>
              <w:ind w:right="153"/>
              <w:jc w:val="right"/>
              <w:rPr>
                <w:sz w:val="22"/>
              </w:rPr>
            </w:pPr>
            <w:r>
              <w:rPr>
                <w:spacing w:val="-2"/>
                <w:sz w:val="22"/>
              </w:rPr>
              <w:t>126.94</w:t>
            </w:r>
          </w:p>
        </w:tc>
        <w:tc>
          <w:tcPr>
            <w:tcW w:w="1482" w:type="dxa"/>
          </w:tcPr>
          <w:p>
            <w:pPr>
              <w:pStyle w:val="TableParagraph"/>
              <w:ind w:right="148"/>
              <w:jc w:val="right"/>
              <w:rPr>
                <w:sz w:val="22"/>
              </w:rPr>
            </w:pPr>
            <w:r>
              <w:rPr>
                <w:spacing w:val="-2"/>
                <w:sz w:val="22"/>
              </w:rPr>
              <w:t>304.5</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10"/>
                <w:sz w:val="22"/>
              </w:rPr>
              <w:t>5</w:t>
            </w:r>
          </w:p>
        </w:tc>
        <w:tc>
          <w:tcPr>
            <w:tcW w:w="1845" w:type="dxa"/>
          </w:tcPr>
          <w:p>
            <w:pPr>
              <w:pStyle w:val="TableParagraph"/>
              <w:ind w:right="153"/>
              <w:jc w:val="right"/>
              <w:rPr>
                <w:sz w:val="22"/>
              </w:rPr>
            </w:pPr>
            <w:r>
              <w:rPr>
                <w:spacing w:val="-2"/>
                <w:sz w:val="22"/>
              </w:rPr>
              <w:t>71.83</w:t>
            </w:r>
          </w:p>
        </w:tc>
        <w:tc>
          <w:tcPr>
            <w:tcW w:w="1482" w:type="dxa"/>
          </w:tcPr>
          <w:p>
            <w:pPr>
              <w:pStyle w:val="TableParagraph"/>
              <w:ind w:right="148"/>
              <w:jc w:val="right"/>
              <w:rPr>
                <w:sz w:val="22"/>
              </w:rPr>
            </w:pPr>
            <w:r>
              <w:rPr>
                <w:spacing w:val="-2"/>
                <w:sz w:val="22"/>
              </w:rPr>
              <w:t>221.5</w:t>
            </w:r>
          </w:p>
        </w:tc>
      </w:tr>
      <w:tr>
        <w:trPr>
          <w:trHeight w:val="287"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10"/>
                <w:sz w:val="22"/>
              </w:rPr>
              <w:t>6</w:t>
            </w:r>
          </w:p>
        </w:tc>
        <w:tc>
          <w:tcPr>
            <w:tcW w:w="1845" w:type="dxa"/>
          </w:tcPr>
          <w:p>
            <w:pPr>
              <w:pStyle w:val="TableParagraph"/>
              <w:ind w:right="153"/>
              <w:jc w:val="right"/>
              <w:rPr>
                <w:sz w:val="22"/>
              </w:rPr>
            </w:pPr>
            <w:r>
              <w:rPr>
                <w:spacing w:val="-2"/>
                <w:sz w:val="22"/>
              </w:rPr>
              <w:t>131.60</w:t>
            </w:r>
          </w:p>
        </w:tc>
        <w:tc>
          <w:tcPr>
            <w:tcW w:w="1482" w:type="dxa"/>
          </w:tcPr>
          <w:p>
            <w:pPr>
              <w:pStyle w:val="TableParagraph"/>
              <w:ind w:right="148"/>
              <w:jc w:val="right"/>
              <w:rPr>
                <w:sz w:val="22"/>
              </w:rPr>
            </w:pPr>
            <w:r>
              <w:rPr>
                <w:spacing w:val="-2"/>
                <w:sz w:val="22"/>
              </w:rPr>
              <w:t>464.0</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10"/>
                <w:sz w:val="22"/>
              </w:rPr>
              <w:t>7</w:t>
            </w:r>
          </w:p>
        </w:tc>
        <w:tc>
          <w:tcPr>
            <w:tcW w:w="1845" w:type="dxa"/>
          </w:tcPr>
          <w:p>
            <w:pPr>
              <w:pStyle w:val="TableParagraph"/>
              <w:ind w:right="153"/>
              <w:jc w:val="right"/>
              <w:rPr>
                <w:sz w:val="22"/>
              </w:rPr>
            </w:pPr>
            <w:r>
              <w:rPr>
                <w:spacing w:val="-2"/>
                <w:sz w:val="22"/>
              </w:rPr>
              <w:t>204.86</w:t>
            </w:r>
          </w:p>
        </w:tc>
        <w:tc>
          <w:tcPr>
            <w:tcW w:w="1482" w:type="dxa"/>
          </w:tcPr>
          <w:p>
            <w:pPr>
              <w:pStyle w:val="TableParagraph"/>
              <w:ind w:right="148"/>
              <w:jc w:val="right"/>
              <w:rPr>
                <w:sz w:val="22"/>
              </w:rPr>
            </w:pPr>
            <w:r>
              <w:rPr>
                <w:spacing w:val="-2"/>
                <w:sz w:val="22"/>
              </w:rPr>
              <w:t>602.5</w:t>
            </w:r>
          </w:p>
        </w:tc>
      </w:tr>
      <w:tr>
        <w:trPr>
          <w:trHeight w:val="287"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10"/>
                <w:sz w:val="22"/>
              </w:rPr>
              <w:t>8</w:t>
            </w:r>
          </w:p>
        </w:tc>
        <w:tc>
          <w:tcPr>
            <w:tcW w:w="1845" w:type="dxa"/>
          </w:tcPr>
          <w:p>
            <w:pPr>
              <w:pStyle w:val="TableParagraph"/>
              <w:ind w:right="153"/>
              <w:jc w:val="right"/>
              <w:rPr>
                <w:sz w:val="22"/>
              </w:rPr>
            </w:pPr>
            <w:r>
              <w:rPr>
                <w:spacing w:val="-2"/>
                <w:sz w:val="22"/>
              </w:rPr>
              <w:t>97.44</w:t>
            </w:r>
          </w:p>
        </w:tc>
        <w:tc>
          <w:tcPr>
            <w:tcW w:w="1482" w:type="dxa"/>
          </w:tcPr>
          <w:p>
            <w:pPr>
              <w:pStyle w:val="TableParagraph"/>
              <w:ind w:right="148"/>
              <w:jc w:val="right"/>
              <w:rPr>
                <w:sz w:val="22"/>
              </w:rPr>
            </w:pPr>
            <w:r>
              <w:rPr>
                <w:spacing w:val="-2"/>
                <w:sz w:val="22"/>
              </w:rPr>
              <w:t>281.0</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10"/>
                <w:sz w:val="22"/>
              </w:rPr>
              <w:t>9</w:t>
            </w:r>
          </w:p>
        </w:tc>
        <w:tc>
          <w:tcPr>
            <w:tcW w:w="1845" w:type="dxa"/>
          </w:tcPr>
          <w:p>
            <w:pPr>
              <w:pStyle w:val="TableParagraph"/>
              <w:ind w:right="153"/>
              <w:jc w:val="right"/>
              <w:rPr>
                <w:sz w:val="22"/>
              </w:rPr>
            </w:pPr>
            <w:r>
              <w:rPr>
                <w:spacing w:val="-2"/>
                <w:sz w:val="22"/>
              </w:rPr>
              <w:t>178.85</w:t>
            </w:r>
          </w:p>
        </w:tc>
        <w:tc>
          <w:tcPr>
            <w:tcW w:w="1482" w:type="dxa"/>
          </w:tcPr>
          <w:p>
            <w:pPr>
              <w:pStyle w:val="TableParagraph"/>
              <w:ind w:right="148"/>
              <w:jc w:val="right"/>
              <w:rPr>
                <w:sz w:val="22"/>
              </w:rPr>
            </w:pPr>
            <w:r>
              <w:rPr>
                <w:spacing w:val="-2"/>
                <w:sz w:val="22"/>
              </w:rPr>
              <w:t>692.0</w:t>
            </w:r>
          </w:p>
        </w:tc>
      </w:tr>
      <w:tr>
        <w:trPr>
          <w:trHeight w:val="287"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5"/>
                <w:sz w:val="22"/>
              </w:rPr>
              <w:t>10</w:t>
            </w:r>
          </w:p>
        </w:tc>
        <w:tc>
          <w:tcPr>
            <w:tcW w:w="1845" w:type="dxa"/>
          </w:tcPr>
          <w:p>
            <w:pPr>
              <w:pStyle w:val="TableParagraph"/>
              <w:ind w:right="153"/>
              <w:jc w:val="right"/>
              <w:rPr>
                <w:sz w:val="22"/>
              </w:rPr>
            </w:pPr>
            <w:r>
              <w:rPr>
                <w:spacing w:val="-2"/>
                <w:sz w:val="22"/>
              </w:rPr>
              <w:t>102.39</w:t>
            </w:r>
          </w:p>
        </w:tc>
        <w:tc>
          <w:tcPr>
            <w:tcW w:w="1482" w:type="dxa"/>
          </w:tcPr>
          <w:p>
            <w:pPr>
              <w:pStyle w:val="TableParagraph"/>
              <w:ind w:right="148"/>
              <w:jc w:val="right"/>
              <w:rPr>
                <w:sz w:val="22"/>
              </w:rPr>
            </w:pPr>
            <w:r>
              <w:rPr>
                <w:spacing w:val="-2"/>
                <w:sz w:val="22"/>
              </w:rPr>
              <w:t>289.0</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val="restart"/>
          </w:tcPr>
          <w:p>
            <w:pPr>
              <w:pStyle w:val="TableParagraph"/>
              <w:spacing w:line="240" w:lineRule="auto" w:before="2"/>
              <w:ind w:left="166"/>
              <w:rPr>
                <w:sz w:val="22"/>
              </w:rPr>
            </w:pPr>
            <w:r>
              <w:rPr>
                <w:spacing w:val="-2"/>
                <w:sz w:val="22"/>
              </w:rPr>
              <w:t>Total</w:t>
            </w:r>
          </w:p>
        </w:tc>
        <w:tc>
          <w:tcPr>
            <w:tcW w:w="1619" w:type="dxa"/>
          </w:tcPr>
          <w:p>
            <w:pPr>
              <w:pStyle w:val="TableParagraph"/>
              <w:spacing w:line="240" w:lineRule="auto" w:before="2"/>
              <w:ind w:left="167"/>
              <w:rPr>
                <w:sz w:val="22"/>
              </w:rPr>
            </w:pPr>
            <w:r>
              <w:rPr>
                <w:spacing w:val="-10"/>
                <w:sz w:val="22"/>
              </w:rPr>
              <w:t>N</w:t>
            </w:r>
          </w:p>
        </w:tc>
        <w:tc>
          <w:tcPr>
            <w:tcW w:w="1845" w:type="dxa"/>
          </w:tcPr>
          <w:p>
            <w:pPr>
              <w:pStyle w:val="TableParagraph"/>
              <w:spacing w:line="240" w:lineRule="auto" w:before="2"/>
              <w:ind w:right="152"/>
              <w:jc w:val="right"/>
              <w:rPr>
                <w:sz w:val="22"/>
              </w:rPr>
            </w:pPr>
            <w:r>
              <w:rPr>
                <w:spacing w:val="-5"/>
                <w:sz w:val="22"/>
              </w:rPr>
              <w:t>10</w:t>
            </w:r>
          </w:p>
        </w:tc>
        <w:tc>
          <w:tcPr>
            <w:tcW w:w="1482" w:type="dxa"/>
          </w:tcPr>
          <w:p>
            <w:pPr>
              <w:pStyle w:val="TableParagraph"/>
              <w:spacing w:line="240" w:lineRule="auto" w:before="2"/>
              <w:ind w:right="148"/>
              <w:jc w:val="right"/>
              <w:rPr>
                <w:sz w:val="22"/>
              </w:rPr>
            </w:pPr>
            <w:r>
              <w:rPr>
                <w:spacing w:val="-5"/>
                <w:sz w:val="22"/>
              </w:rPr>
              <w:t>10</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tcBorders>
              <w:top w:val="nil"/>
            </w:tcBorders>
          </w:tcPr>
          <w:p>
            <w:pPr>
              <w:rPr>
                <w:sz w:val="2"/>
                <w:szCs w:val="2"/>
              </w:rPr>
            </w:pPr>
          </w:p>
        </w:tc>
        <w:tc>
          <w:tcPr>
            <w:tcW w:w="1619" w:type="dxa"/>
          </w:tcPr>
          <w:p>
            <w:pPr>
              <w:pStyle w:val="TableParagraph"/>
              <w:ind w:left="167"/>
              <w:rPr>
                <w:sz w:val="22"/>
              </w:rPr>
            </w:pPr>
            <w:r>
              <w:rPr>
                <w:spacing w:val="-4"/>
                <w:sz w:val="22"/>
              </w:rPr>
              <w:t>Mean</w:t>
            </w:r>
          </w:p>
        </w:tc>
        <w:tc>
          <w:tcPr>
            <w:tcW w:w="1845" w:type="dxa"/>
          </w:tcPr>
          <w:p>
            <w:pPr>
              <w:pStyle w:val="TableParagraph"/>
              <w:ind w:right="153"/>
              <w:jc w:val="right"/>
              <w:rPr>
                <w:sz w:val="22"/>
              </w:rPr>
            </w:pPr>
            <w:r>
              <w:rPr>
                <w:spacing w:val="-2"/>
                <w:sz w:val="22"/>
              </w:rPr>
              <w:t>115.8780</w:t>
            </w:r>
          </w:p>
        </w:tc>
        <w:tc>
          <w:tcPr>
            <w:tcW w:w="1482" w:type="dxa"/>
          </w:tcPr>
          <w:p>
            <w:pPr>
              <w:pStyle w:val="TableParagraph"/>
              <w:ind w:right="149"/>
              <w:jc w:val="right"/>
              <w:rPr>
                <w:sz w:val="22"/>
              </w:rPr>
            </w:pPr>
            <w:r>
              <w:rPr>
                <w:spacing w:val="-2"/>
                <w:sz w:val="22"/>
              </w:rPr>
              <w:t>355.900</w:t>
            </w:r>
          </w:p>
        </w:tc>
      </w:tr>
      <w:tr>
        <w:trPr>
          <w:trHeight w:val="287"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tcBorders>
              <w:top w:val="nil"/>
            </w:tcBorders>
          </w:tcPr>
          <w:p>
            <w:pPr>
              <w:rPr>
                <w:sz w:val="2"/>
                <w:szCs w:val="2"/>
              </w:rPr>
            </w:pPr>
          </w:p>
        </w:tc>
        <w:tc>
          <w:tcPr>
            <w:tcW w:w="1619" w:type="dxa"/>
          </w:tcPr>
          <w:p>
            <w:pPr>
              <w:pStyle w:val="TableParagraph"/>
              <w:ind w:left="167"/>
              <w:rPr>
                <w:sz w:val="22"/>
              </w:rPr>
            </w:pPr>
            <w:r>
              <w:rPr>
                <w:spacing w:val="-2"/>
                <w:sz w:val="22"/>
              </w:rPr>
              <w:t>Minimum</w:t>
            </w:r>
          </w:p>
        </w:tc>
        <w:tc>
          <w:tcPr>
            <w:tcW w:w="1845" w:type="dxa"/>
          </w:tcPr>
          <w:p>
            <w:pPr>
              <w:pStyle w:val="TableParagraph"/>
              <w:ind w:right="153"/>
              <w:jc w:val="right"/>
              <w:rPr>
                <w:sz w:val="22"/>
              </w:rPr>
            </w:pPr>
            <w:r>
              <w:rPr>
                <w:spacing w:val="-2"/>
                <w:sz w:val="22"/>
              </w:rPr>
              <w:t>66.69</w:t>
            </w:r>
          </w:p>
        </w:tc>
        <w:tc>
          <w:tcPr>
            <w:tcW w:w="1482" w:type="dxa"/>
          </w:tcPr>
          <w:p>
            <w:pPr>
              <w:pStyle w:val="TableParagraph"/>
              <w:ind w:right="148"/>
              <w:jc w:val="right"/>
              <w:rPr>
                <w:sz w:val="22"/>
              </w:rPr>
            </w:pPr>
            <w:r>
              <w:rPr>
                <w:spacing w:val="-2"/>
                <w:sz w:val="22"/>
              </w:rPr>
              <w:t>218.5</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tcBorders>
              <w:top w:val="nil"/>
            </w:tcBorders>
          </w:tcPr>
          <w:p>
            <w:pPr>
              <w:rPr>
                <w:sz w:val="2"/>
                <w:szCs w:val="2"/>
              </w:rPr>
            </w:pPr>
          </w:p>
        </w:tc>
        <w:tc>
          <w:tcPr>
            <w:tcW w:w="1619" w:type="dxa"/>
          </w:tcPr>
          <w:p>
            <w:pPr>
              <w:pStyle w:val="TableParagraph"/>
              <w:ind w:left="167"/>
              <w:rPr>
                <w:sz w:val="22"/>
              </w:rPr>
            </w:pPr>
            <w:r>
              <w:rPr>
                <w:spacing w:val="-2"/>
                <w:sz w:val="22"/>
              </w:rPr>
              <w:t>Maximum</w:t>
            </w:r>
          </w:p>
        </w:tc>
        <w:tc>
          <w:tcPr>
            <w:tcW w:w="1845" w:type="dxa"/>
          </w:tcPr>
          <w:p>
            <w:pPr>
              <w:pStyle w:val="TableParagraph"/>
              <w:ind w:right="153"/>
              <w:jc w:val="right"/>
              <w:rPr>
                <w:sz w:val="22"/>
              </w:rPr>
            </w:pPr>
            <w:r>
              <w:rPr>
                <w:spacing w:val="-2"/>
                <w:sz w:val="22"/>
              </w:rPr>
              <w:t>204.86</w:t>
            </w:r>
          </w:p>
        </w:tc>
        <w:tc>
          <w:tcPr>
            <w:tcW w:w="1482" w:type="dxa"/>
          </w:tcPr>
          <w:p>
            <w:pPr>
              <w:pStyle w:val="TableParagraph"/>
              <w:ind w:right="148"/>
              <w:jc w:val="right"/>
              <w:rPr>
                <w:sz w:val="22"/>
              </w:rPr>
            </w:pPr>
            <w:r>
              <w:rPr>
                <w:spacing w:val="-2"/>
                <w:sz w:val="22"/>
              </w:rPr>
              <w:t>692.0</w:t>
            </w:r>
          </w:p>
        </w:tc>
      </w:tr>
      <w:tr>
        <w:trPr>
          <w:trHeight w:val="287"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tcBorders>
              <w:top w:val="nil"/>
            </w:tcBorders>
          </w:tcPr>
          <w:p>
            <w:pPr>
              <w:rPr>
                <w:sz w:val="2"/>
                <w:szCs w:val="2"/>
              </w:rPr>
            </w:pPr>
          </w:p>
        </w:tc>
        <w:tc>
          <w:tcPr>
            <w:tcW w:w="1619" w:type="dxa"/>
          </w:tcPr>
          <w:p>
            <w:pPr>
              <w:pStyle w:val="TableParagraph"/>
              <w:ind w:left="167"/>
              <w:rPr>
                <w:sz w:val="22"/>
              </w:rPr>
            </w:pPr>
            <w:r>
              <w:rPr>
                <w:sz w:val="22"/>
              </w:rPr>
              <w:t>Std.</w:t>
            </w:r>
            <w:r>
              <w:rPr>
                <w:spacing w:val="-5"/>
                <w:sz w:val="22"/>
              </w:rPr>
              <w:t> </w:t>
            </w:r>
            <w:r>
              <w:rPr>
                <w:spacing w:val="-2"/>
                <w:sz w:val="22"/>
              </w:rPr>
              <w:t>Deviation</w:t>
            </w:r>
          </w:p>
        </w:tc>
        <w:tc>
          <w:tcPr>
            <w:tcW w:w="1845" w:type="dxa"/>
          </w:tcPr>
          <w:p>
            <w:pPr>
              <w:pStyle w:val="TableParagraph"/>
              <w:ind w:right="153"/>
              <w:jc w:val="right"/>
              <w:rPr>
                <w:sz w:val="22"/>
              </w:rPr>
            </w:pPr>
            <w:r>
              <w:rPr>
                <w:spacing w:val="-2"/>
                <w:sz w:val="22"/>
              </w:rPr>
              <w:t>45.76447</w:t>
            </w:r>
          </w:p>
        </w:tc>
        <w:tc>
          <w:tcPr>
            <w:tcW w:w="1482" w:type="dxa"/>
          </w:tcPr>
          <w:p>
            <w:pPr>
              <w:pStyle w:val="TableParagraph"/>
              <w:ind w:right="149"/>
              <w:jc w:val="right"/>
              <w:rPr>
                <w:sz w:val="22"/>
              </w:rPr>
            </w:pPr>
            <w:r>
              <w:rPr>
                <w:spacing w:val="-2"/>
                <w:sz w:val="22"/>
              </w:rPr>
              <w:t>170.2898</w:t>
            </w:r>
          </w:p>
        </w:tc>
      </w:tr>
      <w:tr>
        <w:trPr>
          <w:trHeight w:val="290" w:hRule="atLeast"/>
        </w:trPr>
        <w:tc>
          <w:tcPr>
            <w:tcW w:w="266" w:type="dxa"/>
            <w:vMerge/>
            <w:tcBorders>
              <w:top w:val="nil"/>
            </w:tcBorders>
          </w:tcPr>
          <w:p>
            <w:pPr>
              <w:rPr>
                <w:sz w:val="2"/>
                <w:szCs w:val="2"/>
              </w:rPr>
            </w:pPr>
          </w:p>
        </w:tc>
        <w:tc>
          <w:tcPr>
            <w:tcW w:w="1980" w:type="dxa"/>
            <w:vMerge w:val="restart"/>
          </w:tcPr>
          <w:p>
            <w:pPr>
              <w:pStyle w:val="TableParagraph"/>
              <w:spacing w:line="240" w:lineRule="auto"/>
              <w:ind w:left="165" w:right="243"/>
              <w:rPr>
                <w:sz w:val="22"/>
              </w:rPr>
            </w:pPr>
            <w:r>
              <w:rPr>
                <w:sz w:val="22"/>
              </w:rPr>
              <w:t>High</w:t>
            </w:r>
            <w:r>
              <w:rPr>
                <w:spacing w:val="-12"/>
                <w:sz w:val="22"/>
              </w:rPr>
              <w:t> </w:t>
            </w:r>
            <w:r>
              <w:rPr>
                <w:sz w:val="22"/>
              </w:rPr>
              <w:t>(door</w:t>
            </w:r>
            <w:r>
              <w:rPr>
                <w:spacing w:val="-13"/>
                <w:sz w:val="22"/>
              </w:rPr>
              <w:t> </w:t>
            </w:r>
            <w:r>
              <w:rPr>
                <w:sz w:val="22"/>
              </w:rPr>
              <w:t>and</w:t>
            </w:r>
            <w:r>
              <w:rPr>
                <w:spacing w:val="-12"/>
                <w:sz w:val="22"/>
              </w:rPr>
              <w:t> </w:t>
            </w:r>
            <w:r>
              <w:rPr>
                <w:sz w:val="22"/>
              </w:rPr>
              <w:t>3 or more </w:t>
            </w:r>
            <w:r>
              <w:rPr>
                <w:spacing w:val="-2"/>
                <w:sz w:val="22"/>
              </w:rPr>
              <w:t>openings)</w:t>
            </w:r>
          </w:p>
        </w:tc>
        <w:tc>
          <w:tcPr>
            <w:tcW w:w="2698" w:type="dxa"/>
            <w:gridSpan w:val="2"/>
          </w:tcPr>
          <w:p>
            <w:pPr>
              <w:pStyle w:val="TableParagraph"/>
              <w:ind w:left="166"/>
              <w:rPr>
                <w:sz w:val="22"/>
              </w:rPr>
            </w:pPr>
            <w:r>
              <w:rPr>
                <w:spacing w:val="-10"/>
                <w:sz w:val="22"/>
              </w:rPr>
              <w:t>1</w:t>
            </w:r>
          </w:p>
        </w:tc>
        <w:tc>
          <w:tcPr>
            <w:tcW w:w="1845" w:type="dxa"/>
          </w:tcPr>
          <w:p>
            <w:pPr>
              <w:pStyle w:val="TableParagraph"/>
              <w:ind w:right="153"/>
              <w:jc w:val="right"/>
              <w:rPr>
                <w:sz w:val="22"/>
              </w:rPr>
            </w:pPr>
            <w:r>
              <w:rPr>
                <w:spacing w:val="-2"/>
                <w:sz w:val="22"/>
              </w:rPr>
              <w:t>83.78</w:t>
            </w:r>
          </w:p>
        </w:tc>
        <w:tc>
          <w:tcPr>
            <w:tcW w:w="1482" w:type="dxa"/>
          </w:tcPr>
          <w:p>
            <w:pPr>
              <w:pStyle w:val="TableParagraph"/>
              <w:ind w:right="148"/>
              <w:jc w:val="right"/>
              <w:rPr>
                <w:sz w:val="22"/>
              </w:rPr>
            </w:pPr>
            <w:r>
              <w:rPr>
                <w:spacing w:val="-2"/>
                <w:sz w:val="22"/>
              </w:rPr>
              <w:t>211.0</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10"/>
                <w:sz w:val="22"/>
              </w:rPr>
              <w:t>2</w:t>
            </w:r>
          </w:p>
        </w:tc>
        <w:tc>
          <w:tcPr>
            <w:tcW w:w="1845" w:type="dxa"/>
          </w:tcPr>
          <w:p>
            <w:pPr>
              <w:pStyle w:val="TableParagraph"/>
              <w:ind w:right="153"/>
              <w:jc w:val="right"/>
              <w:rPr>
                <w:sz w:val="22"/>
              </w:rPr>
            </w:pPr>
            <w:r>
              <w:rPr>
                <w:spacing w:val="-2"/>
                <w:sz w:val="22"/>
              </w:rPr>
              <w:t>106.56</w:t>
            </w:r>
          </w:p>
        </w:tc>
        <w:tc>
          <w:tcPr>
            <w:tcW w:w="1482" w:type="dxa"/>
          </w:tcPr>
          <w:p>
            <w:pPr>
              <w:pStyle w:val="TableParagraph"/>
              <w:ind w:right="148"/>
              <w:jc w:val="right"/>
              <w:rPr>
                <w:sz w:val="22"/>
              </w:rPr>
            </w:pPr>
            <w:r>
              <w:rPr>
                <w:spacing w:val="-2"/>
                <w:sz w:val="22"/>
              </w:rPr>
              <w:t>320.5</w:t>
            </w:r>
          </w:p>
        </w:tc>
      </w:tr>
      <w:tr>
        <w:trPr>
          <w:trHeight w:val="287"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10"/>
                <w:sz w:val="22"/>
              </w:rPr>
              <w:t>3</w:t>
            </w:r>
          </w:p>
        </w:tc>
        <w:tc>
          <w:tcPr>
            <w:tcW w:w="1845" w:type="dxa"/>
          </w:tcPr>
          <w:p>
            <w:pPr>
              <w:pStyle w:val="TableParagraph"/>
              <w:ind w:right="153"/>
              <w:jc w:val="right"/>
              <w:rPr>
                <w:sz w:val="22"/>
              </w:rPr>
            </w:pPr>
            <w:r>
              <w:rPr>
                <w:spacing w:val="-2"/>
                <w:sz w:val="22"/>
              </w:rPr>
              <w:t>73.60</w:t>
            </w:r>
          </w:p>
        </w:tc>
        <w:tc>
          <w:tcPr>
            <w:tcW w:w="1482" w:type="dxa"/>
          </w:tcPr>
          <w:p>
            <w:pPr>
              <w:pStyle w:val="TableParagraph"/>
              <w:ind w:right="148"/>
              <w:jc w:val="right"/>
              <w:rPr>
                <w:sz w:val="22"/>
              </w:rPr>
            </w:pPr>
            <w:r>
              <w:rPr>
                <w:spacing w:val="-2"/>
                <w:sz w:val="22"/>
              </w:rPr>
              <w:t>163.0</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val="restart"/>
          </w:tcPr>
          <w:p>
            <w:pPr>
              <w:pStyle w:val="TableParagraph"/>
              <w:ind w:left="106"/>
              <w:rPr>
                <w:sz w:val="22"/>
              </w:rPr>
            </w:pPr>
            <w:r>
              <w:rPr>
                <w:spacing w:val="-2"/>
                <w:sz w:val="22"/>
              </w:rPr>
              <w:t>Total</w:t>
            </w:r>
          </w:p>
        </w:tc>
        <w:tc>
          <w:tcPr>
            <w:tcW w:w="1619" w:type="dxa"/>
          </w:tcPr>
          <w:p>
            <w:pPr>
              <w:pStyle w:val="TableParagraph"/>
              <w:ind w:left="167"/>
              <w:rPr>
                <w:sz w:val="22"/>
              </w:rPr>
            </w:pPr>
            <w:r>
              <w:rPr>
                <w:spacing w:val="-10"/>
                <w:sz w:val="22"/>
              </w:rPr>
              <w:t>N</w:t>
            </w:r>
          </w:p>
        </w:tc>
        <w:tc>
          <w:tcPr>
            <w:tcW w:w="1845" w:type="dxa"/>
          </w:tcPr>
          <w:p>
            <w:pPr>
              <w:pStyle w:val="TableParagraph"/>
              <w:ind w:right="153"/>
              <w:jc w:val="right"/>
              <w:rPr>
                <w:sz w:val="22"/>
              </w:rPr>
            </w:pPr>
            <w:r>
              <w:rPr>
                <w:spacing w:val="-10"/>
                <w:sz w:val="22"/>
              </w:rPr>
              <w:t>3</w:t>
            </w:r>
          </w:p>
        </w:tc>
        <w:tc>
          <w:tcPr>
            <w:tcW w:w="1482" w:type="dxa"/>
          </w:tcPr>
          <w:p>
            <w:pPr>
              <w:pStyle w:val="TableParagraph"/>
              <w:ind w:right="148"/>
              <w:jc w:val="right"/>
              <w:rPr>
                <w:sz w:val="22"/>
              </w:rPr>
            </w:pPr>
            <w:r>
              <w:rPr>
                <w:spacing w:val="-10"/>
                <w:sz w:val="22"/>
              </w:rPr>
              <w:t>3</w:t>
            </w:r>
          </w:p>
        </w:tc>
      </w:tr>
      <w:tr>
        <w:trPr>
          <w:trHeight w:val="287"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tcBorders>
              <w:top w:val="nil"/>
            </w:tcBorders>
          </w:tcPr>
          <w:p>
            <w:pPr>
              <w:rPr>
                <w:sz w:val="2"/>
                <w:szCs w:val="2"/>
              </w:rPr>
            </w:pPr>
          </w:p>
        </w:tc>
        <w:tc>
          <w:tcPr>
            <w:tcW w:w="1619" w:type="dxa"/>
          </w:tcPr>
          <w:p>
            <w:pPr>
              <w:pStyle w:val="TableParagraph"/>
              <w:ind w:left="167"/>
              <w:rPr>
                <w:sz w:val="22"/>
              </w:rPr>
            </w:pPr>
            <w:r>
              <w:rPr>
                <w:spacing w:val="-4"/>
                <w:sz w:val="22"/>
              </w:rPr>
              <w:t>Mean</w:t>
            </w:r>
          </w:p>
        </w:tc>
        <w:tc>
          <w:tcPr>
            <w:tcW w:w="1845" w:type="dxa"/>
          </w:tcPr>
          <w:p>
            <w:pPr>
              <w:pStyle w:val="TableParagraph"/>
              <w:ind w:right="153"/>
              <w:jc w:val="right"/>
              <w:rPr>
                <w:sz w:val="22"/>
              </w:rPr>
            </w:pPr>
            <w:r>
              <w:rPr>
                <w:spacing w:val="-2"/>
                <w:sz w:val="22"/>
              </w:rPr>
              <w:t>87.9800</w:t>
            </w:r>
          </w:p>
        </w:tc>
        <w:tc>
          <w:tcPr>
            <w:tcW w:w="1482" w:type="dxa"/>
          </w:tcPr>
          <w:p>
            <w:pPr>
              <w:pStyle w:val="TableParagraph"/>
              <w:ind w:right="149"/>
              <w:jc w:val="right"/>
              <w:rPr>
                <w:sz w:val="22"/>
              </w:rPr>
            </w:pPr>
            <w:r>
              <w:rPr>
                <w:spacing w:val="-2"/>
                <w:sz w:val="22"/>
              </w:rPr>
              <w:t>231.500</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tcBorders>
              <w:top w:val="nil"/>
            </w:tcBorders>
          </w:tcPr>
          <w:p>
            <w:pPr>
              <w:rPr>
                <w:sz w:val="2"/>
                <w:szCs w:val="2"/>
              </w:rPr>
            </w:pPr>
          </w:p>
        </w:tc>
        <w:tc>
          <w:tcPr>
            <w:tcW w:w="1619" w:type="dxa"/>
          </w:tcPr>
          <w:p>
            <w:pPr>
              <w:pStyle w:val="TableParagraph"/>
              <w:ind w:left="167"/>
              <w:rPr>
                <w:sz w:val="22"/>
              </w:rPr>
            </w:pPr>
            <w:r>
              <w:rPr>
                <w:spacing w:val="-2"/>
                <w:sz w:val="22"/>
              </w:rPr>
              <w:t>Minimum</w:t>
            </w:r>
          </w:p>
        </w:tc>
        <w:tc>
          <w:tcPr>
            <w:tcW w:w="1845" w:type="dxa"/>
          </w:tcPr>
          <w:p>
            <w:pPr>
              <w:pStyle w:val="TableParagraph"/>
              <w:ind w:right="153"/>
              <w:jc w:val="right"/>
              <w:rPr>
                <w:sz w:val="22"/>
              </w:rPr>
            </w:pPr>
            <w:r>
              <w:rPr>
                <w:spacing w:val="-2"/>
                <w:sz w:val="22"/>
              </w:rPr>
              <w:t>73.60</w:t>
            </w:r>
          </w:p>
        </w:tc>
        <w:tc>
          <w:tcPr>
            <w:tcW w:w="1482" w:type="dxa"/>
          </w:tcPr>
          <w:p>
            <w:pPr>
              <w:pStyle w:val="TableParagraph"/>
              <w:ind w:right="148"/>
              <w:jc w:val="right"/>
              <w:rPr>
                <w:sz w:val="22"/>
              </w:rPr>
            </w:pPr>
            <w:r>
              <w:rPr>
                <w:spacing w:val="-2"/>
                <w:sz w:val="22"/>
              </w:rPr>
              <w:t>163.0</w:t>
            </w:r>
          </w:p>
        </w:tc>
      </w:tr>
      <w:tr>
        <w:trPr>
          <w:trHeight w:val="288"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tcBorders>
              <w:top w:val="nil"/>
            </w:tcBorders>
          </w:tcPr>
          <w:p>
            <w:pPr>
              <w:rPr>
                <w:sz w:val="2"/>
                <w:szCs w:val="2"/>
              </w:rPr>
            </w:pPr>
          </w:p>
        </w:tc>
        <w:tc>
          <w:tcPr>
            <w:tcW w:w="1619" w:type="dxa"/>
          </w:tcPr>
          <w:p>
            <w:pPr>
              <w:pStyle w:val="TableParagraph"/>
              <w:ind w:left="167"/>
              <w:rPr>
                <w:sz w:val="22"/>
              </w:rPr>
            </w:pPr>
            <w:r>
              <w:rPr>
                <w:spacing w:val="-2"/>
                <w:sz w:val="22"/>
              </w:rPr>
              <w:t>Maximum</w:t>
            </w:r>
          </w:p>
        </w:tc>
        <w:tc>
          <w:tcPr>
            <w:tcW w:w="1845" w:type="dxa"/>
          </w:tcPr>
          <w:p>
            <w:pPr>
              <w:pStyle w:val="TableParagraph"/>
              <w:ind w:right="153"/>
              <w:jc w:val="right"/>
              <w:rPr>
                <w:sz w:val="22"/>
              </w:rPr>
            </w:pPr>
            <w:r>
              <w:rPr>
                <w:spacing w:val="-2"/>
                <w:sz w:val="22"/>
              </w:rPr>
              <w:t>106.56</w:t>
            </w:r>
          </w:p>
        </w:tc>
        <w:tc>
          <w:tcPr>
            <w:tcW w:w="1482" w:type="dxa"/>
          </w:tcPr>
          <w:p>
            <w:pPr>
              <w:pStyle w:val="TableParagraph"/>
              <w:ind w:right="148"/>
              <w:jc w:val="right"/>
              <w:rPr>
                <w:sz w:val="22"/>
              </w:rPr>
            </w:pPr>
            <w:r>
              <w:rPr>
                <w:spacing w:val="-2"/>
                <w:sz w:val="22"/>
              </w:rPr>
              <w:t>320.5</w:t>
            </w:r>
          </w:p>
        </w:tc>
      </w:tr>
      <w:tr>
        <w:trPr>
          <w:trHeight w:val="289"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1079" w:type="dxa"/>
            <w:vMerge/>
            <w:tcBorders>
              <w:top w:val="nil"/>
            </w:tcBorders>
          </w:tcPr>
          <w:p>
            <w:pPr>
              <w:rPr>
                <w:sz w:val="2"/>
                <w:szCs w:val="2"/>
              </w:rPr>
            </w:pPr>
          </w:p>
        </w:tc>
        <w:tc>
          <w:tcPr>
            <w:tcW w:w="1619" w:type="dxa"/>
          </w:tcPr>
          <w:p>
            <w:pPr>
              <w:pStyle w:val="TableParagraph"/>
              <w:spacing w:line="240" w:lineRule="auto" w:before="1"/>
              <w:ind w:left="167"/>
              <w:rPr>
                <w:sz w:val="22"/>
              </w:rPr>
            </w:pPr>
            <w:r>
              <w:rPr>
                <w:sz w:val="22"/>
              </w:rPr>
              <w:t>Std.</w:t>
            </w:r>
            <w:r>
              <w:rPr>
                <w:spacing w:val="-5"/>
                <w:sz w:val="22"/>
              </w:rPr>
              <w:t> </w:t>
            </w:r>
            <w:r>
              <w:rPr>
                <w:spacing w:val="-2"/>
                <w:sz w:val="22"/>
              </w:rPr>
              <w:t>Deviation</w:t>
            </w:r>
          </w:p>
        </w:tc>
        <w:tc>
          <w:tcPr>
            <w:tcW w:w="1845" w:type="dxa"/>
          </w:tcPr>
          <w:p>
            <w:pPr>
              <w:pStyle w:val="TableParagraph"/>
              <w:spacing w:line="240" w:lineRule="auto" w:before="1"/>
              <w:ind w:right="153"/>
              <w:jc w:val="right"/>
              <w:rPr>
                <w:sz w:val="22"/>
              </w:rPr>
            </w:pPr>
            <w:r>
              <w:rPr>
                <w:spacing w:val="-2"/>
                <w:sz w:val="22"/>
              </w:rPr>
              <w:t>16.87662</w:t>
            </w:r>
          </w:p>
        </w:tc>
        <w:tc>
          <w:tcPr>
            <w:tcW w:w="1482" w:type="dxa"/>
          </w:tcPr>
          <w:p>
            <w:pPr>
              <w:pStyle w:val="TableParagraph"/>
              <w:spacing w:line="240" w:lineRule="auto" w:before="1"/>
              <w:ind w:right="149"/>
              <w:jc w:val="right"/>
              <w:rPr>
                <w:sz w:val="22"/>
              </w:rPr>
            </w:pPr>
            <w:r>
              <w:rPr>
                <w:spacing w:val="-2"/>
                <w:sz w:val="22"/>
              </w:rPr>
              <w:t>80.7264</w:t>
            </w:r>
          </w:p>
        </w:tc>
      </w:tr>
      <w:tr>
        <w:trPr>
          <w:trHeight w:val="290" w:hRule="atLeast"/>
        </w:trPr>
        <w:tc>
          <w:tcPr>
            <w:tcW w:w="266" w:type="dxa"/>
            <w:vMerge/>
            <w:tcBorders>
              <w:top w:val="nil"/>
            </w:tcBorders>
          </w:tcPr>
          <w:p>
            <w:pPr>
              <w:rPr>
                <w:sz w:val="2"/>
                <w:szCs w:val="2"/>
              </w:rPr>
            </w:pPr>
          </w:p>
        </w:tc>
        <w:tc>
          <w:tcPr>
            <w:tcW w:w="1980" w:type="dxa"/>
            <w:vMerge w:val="restart"/>
          </w:tcPr>
          <w:p>
            <w:pPr>
              <w:pStyle w:val="TableParagraph"/>
              <w:ind w:left="165"/>
              <w:rPr>
                <w:sz w:val="22"/>
              </w:rPr>
            </w:pPr>
            <w:r>
              <w:rPr>
                <w:spacing w:val="-2"/>
                <w:sz w:val="22"/>
              </w:rPr>
              <w:t>Total</w:t>
            </w:r>
          </w:p>
        </w:tc>
        <w:tc>
          <w:tcPr>
            <w:tcW w:w="2698" w:type="dxa"/>
            <w:gridSpan w:val="2"/>
          </w:tcPr>
          <w:p>
            <w:pPr>
              <w:pStyle w:val="TableParagraph"/>
              <w:ind w:left="166"/>
              <w:rPr>
                <w:sz w:val="22"/>
              </w:rPr>
            </w:pPr>
            <w:r>
              <w:rPr>
                <w:spacing w:val="-10"/>
                <w:sz w:val="22"/>
              </w:rPr>
              <w:t>N</w:t>
            </w:r>
          </w:p>
        </w:tc>
        <w:tc>
          <w:tcPr>
            <w:tcW w:w="1845" w:type="dxa"/>
          </w:tcPr>
          <w:p>
            <w:pPr>
              <w:pStyle w:val="TableParagraph"/>
              <w:ind w:right="152"/>
              <w:jc w:val="right"/>
              <w:rPr>
                <w:sz w:val="22"/>
              </w:rPr>
            </w:pPr>
            <w:r>
              <w:rPr>
                <w:spacing w:val="-5"/>
                <w:sz w:val="22"/>
              </w:rPr>
              <w:t>16</w:t>
            </w:r>
          </w:p>
        </w:tc>
        <w:tc>
          <w:tcPr>
            <w:tcW w:w="1482" w:type="dxa"/>
          </w:tcPr>
          <w:p>
            <w:pPr>
              <w:pStyle w:val="TableParagraph"/>
              <w:ind w:right="148"/>
              <w:jc w:val="right"/>
              <w:rPr>
                <w:sz w:val="22"/>
              </w:rPr>
            </w:pPr>
            <w:r>
              <w:rPr>
                <w:spacing w:val="-5"/>
                <w:sz w:val="22"/>
              </w:rPr>
              <w:t>16</w:t>
            </w:r>
          </w:p>
        </w:tc>
      </w:tr>
      <w:tr>
        <w:trPr>
          <w:trHeight w:val="287"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4"/>
                <w:sz w:val="22"/>
              </w:rPr>
              <w:t>Mean</w:t>
            </w:r>
          </w:p>
        </w:tc>
        <w:tc>
          <w:tcPr>
            <w:tcW w:w="1845" w:type="dxa"/>
          </w:tcPr>
          <w:p>
            <w:pPr>
              <w:pStyle w:val="TableParagraph"/>
              <w:ind w:right="153"/>
              <w:jc w:val="right"/>
              <w:rPr>
                <w:sz w:val="22"/>
              </w:rPr>
            </w:pPr>
            <w:r>
              <w:rPr>
                <w:spacing w:val="-2"/>
                <w:sz w:val="22"/>
              </w:rPr>
              <w:t>111.8613</w:t>
            </w:r>
          </w:p>
        </w:tc>
        <w:tc>
          <w:tcPr>
            <w:tcW w:w="1482" w:type="dxa"/>
          </w:tcPr>
          <w:p>
            <w:pPr>
              <w:pStyle w:val="TableParagraph"/>
              <w:ind w:right="149"/>
              <w:jc w:val="right"/>
              <w:rPr>
                <w:sz w:val="22"/>
              </w:rPr>
            </w:pPr>
            <w:r>
              <w:rPr>
                <w:spacing w:val="-2"/>
                <w:sz w:val="22"/>
              </w:rPr>
              <w:t>333.688</w:t>
            </w:r>
          </w:p>
        </w:tc>
      </w:tr>
      <w:tr>
        <w:trPr>
          <w:trHeight w:val="29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2"/>
                <w:sz w:val="22"/>
              </w:rPr>
              <w:t>Minimum</w:t>
            </w:r>
          </w:p>
        </w:tc>
        <w:tc>
          <w:tcPr>
            <w:tcW w:w="1845" w:type="dxa"/>
          </w:tcPr>
          <w:p>
            <w:pPr>
              <w:pStyle w:val="TableParagraph"/>
              <w:ind w:right="153"/>
              <w:jc w:val="right"/>
              <w:rPr>
                <w:sz w:val="22"/>
              </w:rPr>
            </w:pPr>
            <w:r>
              <w:rPr>
                <w:spacing w:val="-2"/>
                <w:sz w:val="22"/>
              </w:rPr>
              <w:t>66.69</w:t>
            </w:r>
          </w:p>
        </w:tc>
        <w:tc>
          <w:tcPr>
            <w:tcW w:w="1482" w:type="dxa"/>
          </w:tcPr>
          <w:p>
            <w:pPr>
              <w:pStyle w:val="TableParagraph"/>
              <w:ind w:right="148"/>
              <w:jc w:val="right"/>
              <w:rPr>
                <w:sz w:val="22"/>
              </w:rPr>
            </w:pPr>
            <w:r>
              <w:rPr>
                <w:spacing w:val="-2"/>
                <w:sz w:val="22"/>
              </w:rPr>
              <w:t>163.0</w:t>
            </w:r>
          </w:p>
        </w:tc>
      </w:tr>
      <w:tr>
        <w:trPr>
          <w:trHeight w:val="287"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ind w:left="166"/>
              <w:rPr>
                <w:sz w:val="22"/>
              </w:rPr>
            </w:pPr>
            <w:r>
              <w:rPr>
                <w:spacing w:val="-2"/>
                <w:sz w:val="22"/>
              </w:rPr>
              <w:t>Maximum</w:t>
            </w:r>
          </w:p>
        </w:tc>
        <w:tc>
          <w:tcPr>
            <w:tcW w:w="1845" w:type="dxa"/>
          </w:tcPr>
          <w:p>
            <w:pPr>
              <w:pStyle w:val="TableParagraph"/>
              <w:ind w:right="153"/>
              <w:jc w:val="right"/>
              <w:rPr>
                <w:sz w:val="22"/>
              </w:rPr>
            </w:pPr>
            <w:r>
              <w:rPr>
                <w:spacing w:val="-2"/>
                <w:sz w:val="22"/>
              </w:rPr>
              <w:t>204.86</w:t>
            </w:r>
          </w:p>
        </w:tc>
        <w:tc>
          <w:tcPr>
            <w:tcW w:w="1482" w:type="dxa"/>
          </w:tcPr>
          <w:p>
            <w:pPr>
              <w:pStyle w:val="TableParagraph"/>
              <w:ind w:right="148"/>
              <w:jc w:val="right"/>
              <w:rPr>
                <w:sz w:val="22"/>
              </w:rPr>
            </w:pPr>
            <w:r>
              <w:rPr>
                <w:spacing w:val="-2"/>
                <w:sz w:val="22"/>
              </w:rPr>
              <w:t>692.0</w:t>
            </w:r>
          </w:p>
        </w:tc>
      </w:tr>
      <w:tr>
        <w:trPr>
          <w:trHeight w:val="270" w:hRule="atLeast"/>
        </w:trPr>
        <w:tc>
          <w:tcPr>
            <w:tcW w:w="266" w:type="dxa"/>
            <w:vMerge/>
            <w:tcBorders>
              <w:top w:val="nil"/>
            </w:tcBorders>
          </w:tcPr>
          <w:p>
            <w:pPr>
              <w:rPr>
                <w:sz w:val="2"/>
                <w:szCs w:val="2"/>
              </w:rPr>
            </w:pPr>
          </w:p>
        </w:tc>
        <w:tc>
          <w:tcPr>
            <w:tcW w:w="1980" w:type="dxa"/>
            <w:vMerge/>
            <w:tcBorders>
              <w:top w:val="nil"/>
            </w:tcBorders>
          </w:tcPr>
          <w:p>
            <w:pPr>
              <w:rPr>
                <w:sz w:val="2"/>
                <w:szCs w:val="2"/>
              </w:rPr>
            </w:pPr>
          </w:p>
        </w:tc>
        <w:tc>
          <w:tcPr>
            <w:tcW w:w="2698" w:type="dxa"/>
            <w:gridSpan w:val="2"/>
          </w:tcPr>
          <w:p>
            <w:pPr>
              <w:pStyle w:val="TableParagraph"/>
              <w:spacing w:line="251" w:lineRule="exact"/>
              <w:ind w:left="166"/>
              <w:rPr>
                <w:sz w:val="22"/>
              </w:rPr>
            </w:pPr>
            <w:r>
              <w:rPr>
                <w:sz w:val="22"/>
              </w:rPr>
              <w:t>Std.</w:t>
            </w:r>
            <w:r>
              <w:rPr>
                <w:spacing w:val="-5"/>
                <w:sz w:val="22"/>
              </w:rPr>
              <w:t> </w:t>
            </w:r>
            <w:r>
              <w:rPr>
                <w:spacing w:val="-2"/>
                <w:sz w:val="22"/>
              </w:rPr>
              <w:t>Deviation</w:t>
            </w:r>
          </w:p>
        </w:tc>
        <w:tc>
          <w:tcPr>
            <w:tcW w:w="1845" w:type="dxa"/>
          </w:tcPr>
          <w:p>
            <w:pPr>
              <w:pStyle w:val="TableParagraph"/>
              <w:spacing w:line="251" w:lineRule="exact"/>
              <w:ind w:right="153"/>
              <w:jc w:val="right"/>
              <w:rPr>
                <w:sz w:val="22"/>
              </w:rPr>
            </w:pPr>
            <w:r>
              <w:rPr>
                <w:spacing w:val="-2"/>
                <w:sz w:val="22"/>
              </w:rPr>
              <w:t>41.35546</w:t>
            </w:r>
          </w:p>
        </w:tc>
        <w:tc>
          <w:tcPr>
            <w:tcW w:w="1482" w:type="dxa"/>
          </w:tcPr>
          <w:p>
            <w:pPr>
              <w:pStyle w:val="TableParagraph"/>
              <w:spacing w:line="251" w:lineRule="exact"/>
              <w:ind w:right="149"/>
              <w:jc w:val="right"/>
              <w:rPr>
                <w:sz w:val="22"/>
              </w:rPr>
            </w:pPr>
            <w:r>
              <w:rPr>
                <w:spacing w:val="-2"/>
                <w:sz w:val="22"/>
              </w:rPr>
              <w:t>151.1380</w:t>
            </w:r>
          </w:p>
        </w:tc>
      </w:tr>
    </w:tbl>
    <w:p>
      <w:pPr>
        <w:spacing w:after="0" w:line="251" w:lineRule="exact"/>
        <w:jc w:val="right"/>
        <w:rPr>
          <w:sz w:val="22"/>
        </w:rPr>
        <w:sectPr>
          <w:pgSz w:w="11910" w:h="16840"/>
          <w:pgMar w:header="0" w:footer="1012" w:top="1640" w:bottom="1200" w:left="1680" w:right="1240"/>
        </w:sectPr>
      </w:pPr>
    </w:p>
    <w:p>
      <w:pPr>
        <w:pStyle w:val="BodyText"/>
        <w:spacing w:before="71"/>
        <w:rPr>
          <w:rFonts w:ascii="Calibri"/>
          <w:sz w:val="20"/>
        </w:rPr>
      </w:pPr>
    </w:p>
    <w:tbl>
      <w:tblPr>
        <w:tblW w:w="0" w:type="auto"/>
        <w:jc w:val="left"/>
        <w:tblInd w:w="7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110"/>
        <w:gridCol w:w="3886"/>
      </w:tblGrid>
      <w:tr>
        <w:trPr>
          <w:trHeight w:val="3595" w:hRule="atLeast"/>
        </w:trPr>
        <w:tc>
          <w:tcPr>
            <w:tcW w:w="4110" w:type="dxa"/>
          </w:tcPr>
          <w:p>
            <w:pPr>
              <w:pStyle w:val="TableParagraph"/>
              <w:spacing w:line="240" w:lineRule="auto" w:before="355"/>
              <w:ind w:left="405"/>
              <w:rPr>
                <w:sz w:val="40"/>
              </w:rPr>
            </w:pPr>
            <w:r>
              <w:rPr/>
              <mc:AlternateContent>
                <mc:Choice Requires="wps">
                  <w:drawing>
                    <wp:anchor distT="0" distB="0" distL="0" distR="0" allowOverlap="1" layoutInCell="1" locked="0" behindDoc="1" simplePos="0" relativeHeight="486989824">
                      <wp:simplePos x="0" y="0"/>
                      <wp:positionH relativeFrom="column">
                        <wp:posOffset>3047</wp:posOffset>
                      </wp:positionH>
                      <wp:positionV relativeFrom="paragraph">
                        <wp:posOffset>499467</wp:posOffset>
                      </wp:positionV>
                      <wp:extent cx="5070475" cy="3785235"/>
                      <wp:effectExtent l="0" t="0" r="0" b="0"/>
                      <wp:wrapNone/>
                      <wp:docPr id="19" name="Group 19"/>
                      <wp:cNvGraphicFramePr>
                        <a:graphicFrameLocks/>
                      </wp:cNvGraphicFramePr>
                      <a:graphic>
                        <a:graphicData uri="http://schemas.microsoft.com/office/word/2010/wordprocessingGroup">
                          <wpg:wgp>
                            <wpg:cNvPr id="19" name="Group 19"/>
                            <wpg:cNvGrpSpPr/>
                            <wpg:grpSpPr>
                              <a:xfrm>
                                <a:off x="0" y="0"/>
                                <a:ext cx="5070475" cy="3785235"/>
                                <a:chExt cx="5070475" cy="3785235"/>
                              </a:xfrm>
                            </wpg:grpSpPr>
                            <pic:pic>
                              <pic:nvPicPr>
                                <pic:cNvPr id="20" name="Image 20" descr="C:\Users\muhammad.yahaya\AppData\Local\Microsoft\Windows\Temporary Internet Files\Content.Word\HH 58a.jpg"/>
                                <pic:cNvPicPr/>
                              </pic:nvPicPr>
                              <pic:blipFill>
                                <a:blip r:embed="rId15" cstate="print"/>
                                <a:stretch>
                                  <a:fillRect/>
                                </a:stretch>
                              </pic:blipFill>
                              <pic:spPr>
                                <a:xfrm>
                                  <a:off x="199252" y="0"/>
                                  <a:ext cx="2258196" cy="1782633"/>
                                </a:xfrm>
                                <a:prstGeom prst="rect">
                                  <a:avLst/>
                                </a:prstGeom>
                              </pic:spPr>
                            </pic:pic>
                            <pic:pic>
                              <pic:nvPicPr>
                                <pic:cNvPr id="21" name="Image 21"/>
                                <pic:cNvPicPr/>
                              </pic:nvPicPr>
                              <pic:blipFill>
                                <a:blip r:embed="rId16" cstate="print"/>
                                <a:stretch>
                                  <a:fillRect/>
                                </a:stretch>
                              </pic:blipFill>
                              <pic:spPr>
                                <a:xfrm>
                                  <a:off x="0" y="1829369"/>
                                  <a:ext cx="5070094" cy="1955799"/>
                                </a:xfrm>
                                <a:prstGeom prst="rect">
                                  <a:avLst/>
                                </a:prstGeom>
                              </pic:spPr>
                            </pic:pic>
                            <wps:wsp>
                              <wps:cNvPr id="22" name="Graphic 22"/>
                              <wps:cNvSpPr/>
                              <wps:spPr>
                                <a:xfrm>
                                  <a:off x="53975" y="1799524"/>
                                  <a:ext cx="2936240" cy="451484"/>
                                </a:xfrm>
                                <a:custGeom>
                                  <a:avLst/>
                                  <a:gdLst/>
                                  <a:ahLst/>
                                  <a:cxnLst/>
                                  <a:rect l="l" t="t" r="r" b="b"/>
                                  <a:pathLst>
                                    <a:path w="2936240" h="451484">
                                      <a:moveTo>
                                        <a:pt x="383540" y="0"/>
                                      </a:moveTo>
                                      <a:lnTo>
                                        <a:pt x="0" y="0"/>
                                      </a:lnTo>
                                      <a:lnTo>
                                        <a:pt x="0" y="365760"/>
                                      </a:lnTo>
                                      <a:lnTo>
                                        <a:pt x="383540" y="365760"/>
                                      </a:lnTo>
                                      <a:lnTo>
                                        <a:pt x="383540" y="0"/>
                                      </a:lnTo>
                                      <a:close/>
                                    </a:path>
                                    <a:path w="2936240" h="451484">
                                      <a:moveTo>
                                        <a:pt x="2936240" y="19050"/>
                                      </a:moveTo>
                                      <a:lnTo>
                                        <a:pt x="2621915" y="19050"/>
                                      </a:lnTo>
                                      <a:lnTo>
                                        <a:pt x="2621915" y="450862"/>
                                      </a:lnTo>
                                      <a:lnTo>
                                        <a:pt x="2936240" y="450862"/>
                                      </a:lnTo>
                                      <a:lnTo>
                                        <a:pt x="2936240" y="1905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style="position:absolute;margin-left:.24pt;margin-top:39.328152pt;width:399.25pt;height:298.05pt;mso-position-horizontal-relative:column;mso-position-vertical-relative:paragraph;z-index:-16326656" id="docshapegroup11" coordorigin="5,787" coordsize="7985,5961">
                      <v:shape style="position:absolute;left:318;top:786;width:3557;height:2808" type="#_x0000_t75" id="docshape12" alt="C:\Users\muhammad.yahaya\AppData\Local\Microsoft\Windows\Temporary Internet Files\Content.Word\HH 58a.jpg" stroked="false">
                        <v:imagedata r:id="rId15" o:title=""/>
                      </v:shape>
                      <v:shape style="position:absolute;left:4;top:3667;width:7985;height:3080" type="#_x0000_t75" id="docshape13" stroked="false">
                        <v:imagedata r:id="rId16" o:title=""/>
                      </v:shape>
                      <v:shape style="position:absolute;left:89;top:3620;width:4624;height:711" id="docshape14" coordorigin="90,3620" coordsize="4624,711" path="m694,3620l90,3620,90,4196,694,4196,694,3620xm4714,3650l4219,3650,4219,4330,4714,4330,4714,3650xe" filled="true" fillcolor="#ffffff" stroked="false">
                        <v:path arrowok="t"/>
                        <v:fill type="solid"/>
                      </v:shape>
                      <w10:wrap type="none"/>
                    </v:group>
                  </w:pict>
                </mc:Fallback>
              </mc:AlternateContent>
            </w:r>
            <w:r>
              <w:rPr>
                <w:spacing w:val="-10"/>
                <w:sz w:val="40"/>
              </w:rPr>
              <w:t>a</w:t>
            </w:r>
          </w:p>
        </w:tc>
        <w:tc>
          <w:tcPr>
            <w:tcW w:w="3886" w:type="dxa"/>
          </w:tcPr>
          <w:p>
            <w:pPr>
              <w:pStyle w:val="TableParagraph"/>
              <w:spacing w:line="240" w:lineRule="auto" w:before="250"/>
              <w:ind w:left="246"/>
              <w:rPr>
                <w:sz w:val="40"/>
              </w:rPr>
            </w:pPr>
            <w:r>
              <w:rPr/>
              <mc:AlternateContent>
                <mc:Choice Requires="wps">
                  <w:drawing>
                    <wp:anchor distT="0" distB="0" distL="0" distR="0" allowOverlap="1" layoutInCell="1" locked="0" behindDoc="1" simplePos="0" relativeHeight="486990336">
                      <wp:simplePos x="0" y="0"/>
                      <wp:positionH relativeFrom="column">
                        <wp:posOffset>2159</wp:posOffset>
                      </wp:positionH>
                      <wp:positionV relativeFrom="paragraph">
                        <wp:posOffset>107987</wp:posOffset>
                      </wp:positionV>
                      <wp:extent cx="2461260" cy="2073910"/>
                      <wp:effectExtent l="0" t="0" r="0" b="0"/>
                      <wp:wrapNone/>
                      <wp:docPr id="23" name="Group 23"/>
                      <wp:cNvGraphicFramePr>
                        <a:graphicFrameLocks/>
                      </wp:cNvGraphicFramePr>
                      <a:graphic>
                        <a:graphicData uri="http://schemas.microsoft.com/office/word/2010/wordprocessingGroup">
                          <wpg:wgp>
                            <wpg:cNvPr id="23" name="Group 23"/>
                            <wpg:cNvGrpSpPr/>
                            <wpg:grpSpPr>
                              <a:xfrm>
                                <a:off x="0" y="0"/>
                                <a:ext cx="2461260" cy="2073910"/>
                                <a:chExt cx="2461260" cy="2073910"/>
                              </a:xfrm>
                            </wpg:grpSpPr>
                            <pic:pic>
                              <pic:nvPicPr>
                                <pic:cNvPr id="24" name="Image 24" descr="C:\Users\muhammad.yahaya\AppData\Local\Microsoft\Windows\Temporary Internet Files\Content.Word\HH 58b.jpg"/>
                                <pic:cNvPicPr/>
                              </pic:nvPicPr>
                              <pic:blipFill>
                                <a:blip r:embed="rId17" cstate="print"/>
                                <a:stretch>
                                  <a:fillRect/>
                                </a:stretch>
                              </pic:blipFill>
                              <pic:spPr>
                                <a:xfrm>
                                  <a:off x="0" y="249554"/>
                                  <a:ext cx="2461259" cy="1824354"/>
                                </a:xfrm>
                                <a:prstGeom prst="rect">
                                  <a:avLst/>
                                </a:prstGeom>
                              </pic:spPr>
                            </pic:pic>
                            <wps:wsp>
                              <wps:cNvPr id="25" name="Graphic 25"/>
                              <wps:cNvSpPr/>
                              <wps:spPr>
                                <a:xfrm>
                                  <a:off x="57531" y="0"/>
                                  <a:ext cx="219075" cy="390525"/>
                                </a:xfrm>
                                <a:custGeom>
                                  <a:avLst/>
                                  <a:gdLst/>
                                  <a:ahLst/>
                                  <a:cxnLst/>
                                  <a:rect l="l" t="t" r="r" b="b"/>
                                  <a:pathLst>
                                    <a:path w="219075" h="390525">
                                      <a:moveTo>
                                        <a:pt x="219075" y="0"/>
                                      </a:moveTo>
                                      <a:lnTo>
                                        <a:pt x="0" y="0"/>
                                      </a:lnTo>
                                      <a:lnTo>
                                        <a:pt x="0" y="390525"/>
                                      </a:lnTo>
                                      <a:lnTo>
                                        <a:pt x="219075" y="390525"/>
                                      </a:lnTo>
                                      <a:lnTo>
                                        <a:pt x="219075"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style="position:absolute;margin-left:.17001pt;margin-top:8.502961pt;width:193.8pt;height:163.3pt;mso-position-horizontal-relative:column;mso-position-vertical-relative:paragraph;z-index:-16326144" id="docshapegroup15" coordorigin="3,170" coordsize="3876,3266">
                      <v:shape style="position:absolute;left:3;top:563;width:3876;height:2873" type="#_x0000_t75" id="docshape16" alt="C:\Users\muhammad.yahaya\AppData\Local\Microsoft\Windows\Temporary Internet Files\Content.Word\HH 58b.jpg" stroked="false">
                        <v:imagedata r:id="rId17" o:title=""/>
                      </v:shape>
                      <v:rect style="position:absolute;left:94;top:170;width:345;height:615" id="docshape17" filled="true" fillcolor="#ffffff" stroked="false">
                        <v:fill type="solid"/>
                      </v:rect>
                      <w10:wrap type="none"/>
                    </v:group>
                  </w:pict>
                </mc:Fallback>
              </mc:AlternateContent>
            </w:r>
            <w:r>
              <w:rPr>
                <w:spacing w:val="-10"/>
                <w:sz w:val="40"/>
              </w:rPr>
              <w:t>b</w:t>
            </w:r>
          </w:p>
        </w:tc>
      </w:tr>
      <w:tr>
        <w:trPr>
          <w:trHeight w:val="3705" w:hRule="atLeast"/>
        </w:trPr>
        <w:tc>
          <w:tcPr>
            <w:tcW w:w="4110" w:type="dxa"/>
          </w:tcPr>
          <w:p>
            <w:pPr>
              <w:pStyle w:val="TableParagraph"/>
              <w:spacing w:line="240" w:lineRule="auto" w:before="96"/>
              <w:ind w:left="242"/>
              <w:rPr>
                <w:sz w:val="40"/>
              </w:rPr>
            </w:pPr>
            <w:r>
              <w:rPr>
                <w:spacing w:val="-10"/>
                <w:sz w:val="40"/>
              </w:rPr>
              <w:t>c</w:t>
            </w:r>
          </w:p>
        </w:tc>
        <w:tc>
          <w:tcPr>
            <w:tcW w:w="3886" w:type="dxa"/>
          </w:tcPr>
          <w:p>
            <w:pPr>
              <w:pStyle w:val="TableParagraph"/>
              <w:spacing w:line="240" w:lineRule="auto" w:before="125"/>
              <w:ind w:left="261"/>
              <w:rPr>
                <w:sz w:val="40"/>
              </w:rPr>
            </w:pPr>
            <w:r>
              <w:rPr>
                <w:spacing w:val="-10"/>
                <w:sz w:val="40"/>
              </w:rPr>
              <w:t>d</w:t>
            </w:r>
          </w:p>
        </w:tc>
      </w:tr>
    </w:tbl>
    <w:p>
      <w:pPr>
        <w:spacing w:before="0"/>
        <w:ind w:left="696" w:right="257" w:firstLine="0"/>
        <w:jc w:val="left"/>
        <w:rPr>
          <w:rFonts w:ascii="Calibri" w:hAnsi="Calibri"/>
          <w:sz w:val="22"/>
        </w:rPr>
      </w:pPr>
      <w:r>
        <w:rPr>
          <w:rFonts w:ascii="Calibri" w:hAnsi="Calibri"/>
          <w:b/>
          <w:sz w:val="22"/>
        </w:rPr>
        <w:t>Fig. 9. </w:t>
      </w:r>
      <w:r>
        <w:rPr>
          <w:rFonts w:ascii="Calibri" w:hAnsi="Calibri"/>
          <w:sz w:val="22"/>
        </w:rPr>
        <w:t>Cooking period in minutes and levels of CO (ppm) measured during cooking in Docochi</w:t>
      </w:r>
      <w:r>
        <w:rPr>
          <w:rFonts w:ascii="Calibri" w:hAnsi="Calibri"/>
          <w:spacing w:val="-3"/>
          <w:sz w:val="22"/>
        </w:rPr>
        <w:t> </w:t>
      </w:r>
      <w:r>
        <w:rPr>
          <w:rFonts w:ascii="Calibri" w:hAnsi="Calibri"/>
          <w:sz w:val="22"/>
        </w:rPr>
        <w:t>HH4</w:t>
      </w:r>
      <w:r>
        <w:rPr>
          <w:rFonts w:ascii="Calibri" w:hAnsi="Calibri"/>
          <w:spacing w:val="-2"/>
          <w:sz w:val="22"/>
        </w:rPr>
        <w:t> </w:t>
      </w:r>
      <w:r>
        <w:rPr>
          <w:rFonts w:ascii="Calibri" w:hAnsi="Calibri"/>
          <w:sz w:val="22"/>
        </w:rPr>
        <w:t>a)</w:t>
      </w:r>
      <w:r>
        <w:rPr>
          <w:rFonts w:ascii="Calibri" w:hAnsi="Calibri"/>
          <w:spacing w:val="-3"/>
          <w:sz w:val="22"/>
        </w:rPr>
        <w:t> </w:t>
      </w:r>
      <w:r>
        <w:rPr>
          <w:rFonts w:ascii="Calibri" w:hAnsi="Calibri"/>
          <w:sz w:val="22"/>
        </w:rPr>
        <w:t>over</w:t>
      </w:r>
      <w:r>
        <w:rPr>
          <w:rFonts w:ascii="Calibri" w:hAnsi="Calibri"/>
          <w:spacing w:val="-4"/>
          <w:sz w:val="22"/>
        </w:rPr>
        <w:t> </w:t>
      </w:r>
      <w:r>
        <w:rPr>
          <w:rFonts w:ascii="Calibri" w:hAnsi="Calibri"/>
          <w:sz w:val="22"/>
        </w:rPr>
        <w:t>a</w:t>
      </w:r>
      <w:r>
        <w:rPr>
          <w:rFonts w:ascii="Calibri" w:hAnsi="Calibri"/>
          <w:spacing w:val="-2"/>
          <w:sz w:val="22"/>
        </w:rPr>
        <w:t> </w:t>
      </w:r>
      <w:r>
        <w:rPr>
          <w:rFonts w:ascii="Calibri" w:hAnsi="Calibri"/>
          <w:sz w:val="22"/>
        </w:rPr>
        <w:t>7-hour</w:t>
      </w:r>
      <w:r>
        <w:rPr>
          <w:rFonts w:ascii="Calibri" w:hAnsi="Calibri"/>
          <w:spacing w:val="-2"/>
          <w:sz w:val="22"/>
        </w:rPr>
        <w:t> </w:t>
      </w:r>
      <w:r>
        <w:rPr>
          <w:rFonts w:ascii="Calibri" w:hAnsi="Calibri"/>
          <w:sz w:val="22"/>
        </w:rPr>
        <w:t>period</w:t>
      </w:r>
      <w:r>
        <w:rPr>
          <w:rFonts w:ascii="Calibri" w:hAnsi="Calibri"/>
          <w:spacing w:val="-3"/>
          <w:sz w:val="22"/>
        </w:rPr>
        <w:t> </w:t>
      </w:r>
      <w:r>
        <w:rPr>
          <w:rFonts w:ascii="Calibri" w:hAnsi="Calibri"/>
          <w:sz w:val="22"/>
        </w:rPr>
        <w:t>recoded</w:t>
      </w:r>
      <w:r>
        <w:rPr>
          <w:rFonts w:ascii="Calibri" w:hAnsi="Calibri"/>
          <w:spacing w:val="-2"/>
          <w:sz w:val="22"/>
        </w:rPr>
        <w:t> </w:t>
      </w:r>
      <w:r>
        <w:rPr>
          <w:rFonts w:ascii="Calibri" w:hAnsi="Calibri"/>
          <w:sz w:val="22"/>
        </w:rPr>
        <w:t>on</w:t>
      </w:r>
      <w:r>
        <w:rPr>
          <w:rFonts w:ascii="Calibri" w:hAnsi="Calibri"/>
          <w:spacing w:val="-6"/>
          <w:sz w:val="22"/>
        </w:rPr>
        <w:t> </w:t>
      </w:r>
      <w:r>
        <w:rPr>
          <w:rFonts w:ascii="Calibri" w:hAnsi="Calibri"/>
          <w:sz w:val="22"/>
        </w:rPr>
        <w:t>Tuesday, September</w:t>
      </w:r>
      <w:r>
        <w:rPr>
          <w:rFonts w:ascii="Calibri" w:hAnsi="Calibri"/>
          <w:spacing w:val="-2"/>
          <w:sz w:val="22"/>
        </w:rPr>
        <w:t> </w:t>
      </w:r>
      <w:r>
        <w:rPr>
          <w:rFonts w:ascii="Calibri" w:hAnsi="Calibri"/>
          <w:sz w:val="22"/>
        </w:rPr>
        <w:t>12,</w:t>
      </w:r>
      <w:r>
        <w:rPr>
          <w:rFonts w:ascii="Calibri" w:hAnsi="Calibri"/>
          <w:spacing w:val="-4"/>
          <w:sz w:val="22"/>
        </w:rPr>
        <w:t> </w:t>
      </w:r>
      <w:r>
        <w:rPr>
          <w:rFonts w:ascii="Calibri" w:hAnsi="Calibri"/>
          <w:sz w:val="22"/>
        </w:rPr>
        <w:t>2017 b)</w:t>
      </w:r>
      <w:r>
        <w:rPr>
          <w:rFonts w:ascii="Calibri" w:hAnsi="Calibri"/>
          <w:spacing w:val="-2"/>
          <w:sz w:val="22"/>
        </w:rPr>
        <w:t> </w:t>
      </w:r>
      <w:r>
        <w:rPr>
          <w:rFonts w:ascii="Calibri" w:hAnsi="Calibri"/>
          <w:sz w:val="22"/>
        </w:rPr>
        <w:t>7-hour period on Wednesday, September 13, 2017 from 6:00am-1:00pm c) 5-hour period Wednesday, September 13, 2017 from 5:46 – 9:43 d) 6-hour Thursday, September 14,</w:t>
      </w:r>
    </w:p>
    <w:p>
      <w:pPr>
        <w:spacing w:before="1"/>
        <w:ind w:left="696" w:right="0" w:firstLine="0"/>
        <w:jc w:val="left"/>
        <w:rPr>
          <w:rFonts w:ascii="Calibri"/>
          <w:sz w:val="22"/>
        </w:rPr>
      </w:pPr>
      <w:r>
        <w:rPr>
          <w:rFonts w:ascii="Calibri"/>
          <w:spacing w:val="-4"/>
          <w:sz w:val="22"/>
        </w:rPr>
        <w:t>2017</w:t>
      </w:r>
    </w:p>
    <w:p>
      <w:pPr>
        <w:spacing w:after="0"/>
        <w:jc w:val="left"/>
        <w:rPr>
          <w:rFonts w:ascii="Calibri"/>
          <w:sz w:val="22"/>
        </w:rPr>
        <w:sectPr>
          <w:pgSz w:w="11910" w:h="16840"/>
          <w:pgMar w:header="0" w:footer="1012" w:top="1920" w:bottom="1200" w:left="1680" w:right="1240"/>
        </w:sectPr>
      </w:pPr>
    </w:p>
    <w:tbl>
      <w:tblPr>
        <w:tblW w:w="0" w:type="auto"/>
        <w:jc w:val="left"/>
        <w:tblInd w:w="5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3"/>
        <w:gridCol w:w="613"/>
        <w:gridCol w:w="3325"/>
        <w:gridCol w:w="4048"/>
        <w:gridCol w:w="112"/>
      </w:tblGrid>
      <w:tr>
        <w:trPr>
          <w:trHeight w:val="3645" w:hRule="atLeast"/>
        </w:trPr>
        <w:tc>
          <w:tcPr>
            <w:tcW w:w="113" w:type="dxa"/>
            <w:tcBorders>
              <w:bottom w:val="nil"/>
            </w:tcBorders>
          </w:tcPr>
          <w:p>
            <w:pPr>
              <w:pStyle w:val="TableParagraph"/>
              <w:spacing w:line="240" w:lineRule="auto"/>
              <w:rPr>
                <w:rFonts w:ascii="Times New Roman"/>
                <w:sz w:val="22"/>
              </w:rPr>
            </w:pPr>
          </w:p>
        </w:tc>
        <w:tc>
          <w:tcPr>
            <w:tcW w:w="3938" w:type="dxa"/>
            <w:gridSpan w:val="2"/>
            <w:tcBorders>
              <w:top w:val="single" w:sz="8" w:space="0" w:color="000000"/>
            </w:tcBorders>
          </w:tcPr>
          <w:p>
            <w:pPr>
              <w:pStyle w:val="TableParagraph"/>
              <w:spacing w:line="240" w:lineRule="auto" w:before="117"/>
              <w:ind w:left="155"/>
              <w:rPr>
                <w:sz w:val="28"/>
              </w:rPr>
            </w:pPr>
            <w:r>
              <w:rPr/>
              <mc:AlternateContent>
                <mc:Choice Requires="wps">
                  <w:drawing>
                    <wp:anchor distT="0" distB="0" distL="0" distR="0" allowOverlap="1" layoutInCell="1" locked="0" behindDoc="1" simplePos="0" relativeHeight="486990848">
                      <wp:simplePos x="0" y="0"/>
                      <wp:positionH relativeFrom="column">
                        <wp:posOffset>3175</wp:posOffset>
                      </wp:positionH>
                      <wp:positionV relativeFrom="paragraph">
                        <wp:posOffset>24258</wp:posOffset>
                      </wp:positionV>
                      <wp:extent cx="2474595" cy="2259965"/>
                      <wp:effectExtent l="0" t="0" r="0" b="0"/>
                      <wp:wrapNone/>
                      <wp:docPr id="26" name="Group 26"/>
                      <wp:cNvGraphicFramePr>
                        <a:graphicFrameLocks/>
                      </wp:cNvGraphicFramePr>
                      <a:graphic>
                        <a:graphicData uri="http://schemas.microsoft.com/office/word/2010/wordprocessingGroup">
                          <wpg:wgp>
                            <wpg:cNvPr id="26" name="Group 26"/>
                            <wpg:cNvGrpSpPr/>
                            <wpg:grpSpPr>
                              <a:xfrm>
                                <a:off x="0" y="0"/>
                                <a:ext cx="2474595" cy="2259965"/>
                                <a:chExt cx="2474595" cy="2259965"/>
                              </a:xfrm>
                            </wpg:grpSpPr>
                            <pic:pic>
                              <pic:nvPicPr>
                                <pic:cNvPr id="27" name="Image 27"/>
                                <pic:cNvPicPr/>
                              </pic:nvPicPr>
                              <pic:blipFill>
                                <a:blip r:embed="rId18" cstate="print"/>
                                <a:stretch>
                                  <a:fillRect/>
                                </a:stretch>
                              </pic:blipFill>
                              <pic:spPr>
                                <a:xfrm>
                                  <a:off x="0" y="156210"/>
                                  <a:ext cx="2474594" cy="2103452"/>
                                </a:xfrm>
                                <a:prstGeom prst="rect">
                                  <a:avLst/>
                                </a:prstGeom>
                              </pic:spPr>
                            </pic:pic>
                            <wps:wsp>
                              <wps:cNvPr id="28" name="Graphic 28"/>
                              <wps:cNvSpPr/>
                              <wps:spPr>
                                <a:xfrm>
                                  <a:off x="0" y="0"/>
                                  <a:ext cx="401955" cy="310515"/>
                                </a:xfrm>
                                <a:custGeom>
                                  <a:avLst/>
                                  <a:gdLst/>
                                  <a:ahLst/>
                                  <a:cxnLst/>
                                  <a:rect l="l" t="t" r="r" b="b"/>
                                  <a:pathLst>
                                    <a:path w="401955" h="310515">
                                      <a:moveTo>
                                        <a:pt x="401954" y="0"/>
                                      </a:moveTo>
                                      <a:lnTo>
                                        <a:pt x="0" y="0"/>
                                      </a:lnTo>
                                      <a:lnTo>
                                        <a:pt x="0" y="310515"/>
                                      </a:lnTo>
                                      <a:lnTo>
                                        <a:pt x="401954" y="310515"/>
                                      </a:lnTo>
                                      <a:lnTo>
                                        <a:pt x="401954"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style="position:absolute;margin-left:.25pt;margin-top:1.910102pt;width:194.85pt;height:177.95pt;mso-position-horizontal-relative:column;mso-position-vertical-relative:paragraph;z-index:-16325632" id="docshapegroup18" coordorigin="5,38" coordsize="3897,3559">
                      <v:shape style="position:absolute;left:5;top:284;width:3897;height:3313" type="#_x0000_t75" id="docshape19" stroked="false">
                        <v:imagedata r:id="rId18" o:title=""/>
                      </v:shape>
                      <v:rect style="position:absolute;left:5;top:38;width:633;height:489" id="docshape20" filled="true" fillcolor="#ffffff" stroked="false">
                        <v:fill type="solid"/>
                      </v:rect>
                      <w10:wrap type="none"/>
                    </v:group>
                  </w:pict>
                </mc:Fallback>
              </mc:AlternateContent>
            </w:r>
            <w:r>
              <w:rPr>
                <w:spacing w:val="-5"/>
                <w:sz w:val="28"/>
              </w:rPr>
              <w:t>(a)</w:t>
            </w:r>
          </w:p>
        </w:tc>
        <w:tc>
          <w:tcPr>
            <w:tcW w:w="4048" w:type="dxa"/>
            <w:tcBorders>
              <w:top w:val="single" w:sz="8" w:space="0" w:color="000000"/>
            </w:tcBorders>
          </w:tcPr>
          <w:p>
            <w:pPr>
              <w:pStyle w:val="TableParagraph"/>
              <w:spacing w:line="240" w:lineRule="auto" w:before="191"/>
              <w:ind w:left="217"/>
              <w:rPr>
                <w:sz w:val="28"/>
              </w:rPr>
            </w:pPr>
            <w:r>
              <w:rPr/>
              <mc:AlternateContent>
                <mc:Choice Requires="wps">
                  <w:drawing>
                    <wp:anchor distT="0" distB="0" distL="0" distR="0" allowOverlap="1" layoutInCell="1" locked="0" behindDoc="1" simplePos="0" relativeHeight="486991360">
                      <wp:simplePos x="0" y="0"/>
                      <wp:positionH relativeFrom="column">
                        <wp:posOffset>41910</wp:posOffset>
                      </wp:positionH>
                      <wp:positionV relativeFrom="paragraph">
                        <wp:posOffset>71628</wp:posOffset>
                      </wp:positionV>
                      <wp:extent cx="2433320" cy="2005330"/>
                      <wp:effectExtent l="0" t="0" r="0" b="0"/>
                      <wp:wrapNone/>
                      <wp:docPr id="29" name="Group 29"/>
                      <wp:cNvGraphicFramePr>
                        <a:graphicFrameLocks/>
                      </wp:cNvGraphicFramePr>
                      <a:graphic>
                        <a:graphicData uri="http://schemas.microsoft.com/office/word/2010/wordprocessingGroup">
                          <wpg:wgp>
                            <wpg:cNvPr id="29" name="Group 29"/>
                            <wpg:cNvGrpSpPr/>
                            <wpg:grpSpPr>
                              <a:xfrm>
                                <a:off x="0" y="0"/>
                                <a:ext cx="2433320" cy="2005330"/>
                                <a:chExt cx="2433320" cy="2005330"/>
                              </a:xfrm>
                            </wpg:grpSpPr>
                            <pic:pic>
                              <pic:nvPicPr>
                                <pic:cNvPr id="30" name="Image 30" descr="C:\Users\muhammad.yahaya\AppData\Local\Microsoft\Windows\Temporary Internet Files\Content.Word\HH 61b.jpg"/>
                                <pic:cNvPicPr/>
                              </pic:nvPicPr>
                              <pic:blipFill>
                                <a:blip r:embed="rId19" cstate="print"/>
                                <a:stretch>
                                  <a:fillRect/>
                                </a:stretch>
                              </pic:blipFill>
                              <pic:spPr>
                                <a:xfrm>
                                  <a:off x="34162" y="218036"/>
                                  <a:ext cx="2399030" cy="1787293"/>
                                </a:xfrm>
                                <a:prstGeom prst="rect">
                                  <a:avLst/>
                                </a:prstGeom>
                              </pic:spPr>
                            </pic:pic>
                            <wps:wsp>
                              <wps:cNvPr id="31" name="Graphic 31"/>
                              <wps:cNvSpPr/>
                              <wps:spPr>
                                <a:xfrm>
                                  <a:off x="0" y="0"/>
                                  <a:ext cx="466725" cy="314325"/>
                                </a:xfrm>
                                <a:custGeom>
                                  <a:avLst/>
                                  <a:gdLst/>
                                  <a:ahLst/>
                                  <a:cxnLst/>
                                  <a:rect l="l" t="t" r="r" b="b"/>
                                  <a:pathLst>
                                    <a:path w="466725" h="314325">
                                      <a:moveTo>
                                        <a:pt x="466725" y="0"/>
                                      </a:moveTo>
                                      <a:lnTo>
                                        <a:pt x="0" y="0"/>
                                      </a:lnTo>
                                      <a:lnTo>
                                        <a:pt x="0" y="314325"/>
                                      </a:lnTo>
                                      <a:lnTo>
                                        <a:pt x="466725" y="314325"/>
                                      </a:lnTo>
                                      <a:lnTo>
                                        <a:pt x="466725"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style="position:absolute;margin-left:3.300003pt;margin-top:5.640071pt;width:191.6pt;height:157.9pt;mso-position-horizontal-relative:column;mso-position-vertical-relative:paragraph;z-index:-16325120" id="docshapegroup21" coordorigin="66,113" coordsize="3832,3158">
                      <v:shape style="position:absolute;left:119;top:456;width:3778;height:2815" type="#_x0000_t75" id="docshape22" alt="C:\Users\muhammad.yahaya\AppData\Local\Microsoft\Windows\Temporary Internet Files\Content.Word\HH 61b.jpg" stroked="false">
                        <v:imagedata r:id="rId19" o:title=""/>
                      </v:shape>
                      <v:rect style="position:absolute;left:66;top:112;width:735;height:495" id="docshape23" filled="true" fillcolor="#ffffff" stroked="false">
                        <v:fill type="solid"/>
                      </v:rect>
                      <w10:wrap type="none"/>
                    </v:group>
                  </w:pict>
                </mc:Fallback>
              </mc:AlternateContent>
            </w:r>
            <w:r>
              <w:rPr>
                <w:spacing w:val="-5"/>
                <w:sz w:val="28"/>
              </w:rPr>
              <w:t>(b)</w:t>
            </w:r>
          </w:p>
        </w:tc>
        <w:tc>
          <w:tcPr>
            <w:tcW w:w="112" w:type="dxa"/>
            <w:tcBorders>
              <w:bottom w:val="nil"/>
            </w:tcBorders>
          </w:tcPr>
          <w:p>
            <w:pPr>
              <w:pStyle w:val="TableParagraph"/>
              <w:spacing w:line="240" w:lineRule="auto"/>
              <w:rPr>
                <w:rFonts w:ascii="Times New Roman"/>
                <w:sz w:val="22"/>
              </w:rPr>
            </w:pPr>
          </w:p>
        </w:tc>
      </w:tr>
      <w:tr>
        <w:trPr>
          <w:trHeight w:val="806" w:hRule="atLeast"/>
        </w:trPr>
        <w:tc>
          <w:tcPr>
            <w:tcW w:w="8211" w:type="dxa"/>
            <w:gridSpan w:val="5"/>
          </w:tcPr>
          <w:p>
            <w:pPr>
              <w:pStyle w:val="TableParagraph"/>
              <w:spacing w:line="240" w:lineRule="auto"/>
              <w:ind w:left="107"/>
              <w:rPr>
                <w:sz w:val="22"/>
              </w:rPr>
            </w:pPr>
            <w:r>
              <w:rPr>
                <w:b/>
                <w:sz w:val="22"/>
              </w:rPr>
              <w:t>Fig. 10.</w:t>
            </w:r>
            <w:r>
              <w:rPr>
                <w:b/>
                <w:spacing w:val="23"/>
                <w:sz w:val="22"/>
              </w:rPr>
              <w:t> </w:t>
            </w:r>
            <w:r>
              <w:rPr>
                <w:sz w:val="22"/>
              </w:rPr>
              <w:t>Cooking period in minutes and levels of CO (ppm) measured during cooking</w:t>
            </w:r>
            <w:r>
              <w:rPr>
                <w:spacing w:val="28"/>
                <w:sz w:val="22"/>
              </w:rPr>
              <w:t> </w:t>
            </w:r>
            <w:r>
              <w:rPr>
                <w:sz w:val="22"/>
              </w:rPr>
              <w:t>in</w:t>
            </w:r>
            <w:r>
              <w:rPr>
                <w:spacing w:val="80"/>
                <w:sz w:val="22"/>
              </w:rPr>
              <w:t> </w:t>
            </w:r>
            <w:r>
              <w:rPr>
                <w:sz w:val="22"/>
              </w:rPr>
              <w:t>Docochi</w:t>
            </w:r>
            <w:r>
              <w:rPr>
                <w:spacing w:val="12"/>
                <w:sz w:val="22"/>
              </w:rPr>
              <w:t> </w:t>
            </w:r>
            <w:r>
              <w:rPr>
                <w:sz w:val="22"/>
              </w:rPr>
              <w:t>HH7.</w:t>
            </w:r>
            <w:r>
              <w:rPr>
                <w:spacing w:val="16"/>
                <w:sz w:val="22"/>
              </w:rPr>
              <w:t> </w:t>
            </w:r>
            <w:r>
              <w:rPr>
                <w:sz w:val="22"/>
              </w:rPr>
              <w:t>(a)</w:t>
            </w:r>
            <w:r>
              <w:rPr>
                <w:spacing w:val="15"/>
                <w:sz w:val="22"/>
              </w:rPr>
              <w:t> </w:t>
            </w:r>
            <w:r>
              <w:rPr>
                <w:sz w:val="22"/>
              </w:rPr>
              <w:t>2-hour</w:t>
            </w:r>
            <w:r>
              <w:rPr>
                <w:spacing w:val="15"/>
                <w:sz w:val="22"/>
              </w:rPr>
              <w:t> </w:t>
            </w:r>
            <w:r>
              <w:rPr>
                <w:sz w:val="22"/>
              </w:rPr>
              <w:t>period</w:t>
            </w:r>
            <w:r>
              <w:rPr>
                <w:spacing w:val="15"/>
                <w:sz w:val="22"/>
              </w:rPr>
              <w:t> </w:t>
            </w:r>
            <w:r>
              <w:rPr>
                <w:sz w:val="22"/>
              </w:rPr>
              <w:t>recorded</w:t>
            </w:r>
            <w:r>
              <w:rPr>
                <w:spacing w:val="13"/>
                <w:sz w:val="22"/>
              </w:rPr>
              <w:t> </w:t>
            </w:r>
            <w:r>
              <w:rPr>
                <w:sz w:val="22"/>
              </w:rPr>
              <w:t>on</w:t>
            </w:r>
            <w:r>
              <w:rPr>
                <w:spacing w:val="15"/>
                <w:sz w:val="22"/>
              </w:rPr>
              <w:t> </w:t>
            </w:r>
            <w:r>
              <w:rPr>
                <w:sz w:val="22"/>
              </w:rPr>
              <w:t>Thursday,</w:t>
            </w:r>
            <w:r>
              <w:rPr>
                <w:spacing w:val="15"/>
                <w:sz w:val="22"/>
              </w:rPr>
              <w:t> </w:t>
            </w:r>
            <w:r>
              <w:rPr>
                <w:sz w:val="22"/>
              </w:rPr>
              <w:t>October</w:t>
            </w:r>
            <w:r>
              <w:rPr>
                <w:spacing w:val="14"/>
                <w:sz w:val="22"/>
              </w:rPr>
              <w:t> </w:t>
            </w:r>
            <w:r>
              <w:rPr>
                <w:sz w:val="22"/>
              </w:rPr>
              <w:t>5,</w:t>
            </w:r>
            <w:r>
              <w:rPr>
                <w:spacing w:val="14"/>
                <w:sz w:val="22"/>
              </w:rPr>
              <w:t> </w:t>
            </w:r>
            <w:r>
              <w:rPr>
                <w:sz w:val="22"/>
              </w:rPr>
              <w:t>2017</w:t>
            </w:r>
            <w:r>
              <w:rPr>
                <w:spacing w:val="19"/>
                <w:sz w:val="22"/>
              </w:rPr>
              <w:t> </w:t>
            </w:r>
            <w:r>
              <w:rPr>
                <w:sz w:val="22"/>
              </w:rPr>
              <w:t>(b)</w:t>
            </w:r>
            <w:r>
              <w:rPr>
                <w:spacing w:val="14"/>
                <w:sz w:val="22"/>
              </w:rPr>
              <w:t> </w:t>
            </w:r>
            <w:r>
              <w:rPr>
                <w:sz w:val="22"/>
              </w:rPr>
              <w:t>over</w:t>
            </w:r>
            <w:r>
              <w:rPr>
                <w:spacing w:val="16"/>
                <w:sz w:val="22"/>
              </w:rPr>
              <w:t> </w:t>
            </w:r>
            <w:r>
              <w:rPr>
                <w:sz w:val="22"/>
              </w:rPr>
              <w:t>2-</w:t>
            </w:r>
            <w:r>
              <w:rPr>
                <w:spacing w:val="-4"/>
                <w:sz w:val="22"/>
              </w:rPr>
              <w:t>hour</w:t>
            </w:r>
          </w:p>
          <w:p>
            <w:pPr>
              <w:pStyle w:val="TableParagraph"/>
              <w:spacing w:line="249" w:lineRule="exact"/>
              <w:ind w:left="107"/>
              <w:rPr>
                <w:sz w:val="22"/>
              </w:rPr>
            </w:pPr>
            <w:r>
              <w:rPr>
                <w:sz w:val="22"/>
              </w:rPr>
              <w:t>period</w:t>
            </w:r>
            <w:r>
              <w:rPr>
                <w:spacing w:val="-5"/>
                <w:sz w:val="22"/>
              </w:rPr>
              <w:t> </w:t>
            </w:r>
            <w:r>
              <w:rPr>
                <w:sz w:val="22"/>
              </w:rPr>
              <w:t>recorded</w:t>
            </w:r>
            <w:r>
              <w:rPr>
                <w:spacing w:val="-5"/>
                <w:sz w:val="22"/>
              </w:rPr>
              <w:t> </w:t>
            </w:r>
            <w:r>
              <w:rPr>
                <w:sz w:val="22"/>
              </w:rPr>
              <w:t>on</w:t>
            </w:r>
            <w:r>
              <w:rPr>
                <w:spacing w:val="-6"/>
                <w:sz w:val="22"/>
              </w:rPr>
              <w:t> </w:t>
            </w:r>
            <w:r>
              <w:rPr>
                <w:sz w:val="22"/>
              </w:rPr>
              <w:t>Thursday,</w:t>
            </w:r>
            <w:r>
              <w:rPr>
                <w:spacing w:val="-3"/>
                <w:sz w:val="22"/>
              </w:rPr>
              <w:t> </w:t>
            </w:r>
            <w:r>
              <w:rPr>
                <w:sz w:val="22"/>
              </w:rPr>
              <w:t>October</w:t>
            </w:r>
            <w:r>
              <w:rPr>
                <w:spacing w:val="-6"/>
                <w:sz w:val="22"/>
              </w:rPr>
              <w:t> </w:t>
            </w:r>
            <w:r>
              <w:rPr>
                <w:sz w:val="22"/>
              </w:rPr>
              <w:t>5,</w:t>
            </w:r>
            <w:r>
              <w:rPr>
                <w:spacing w:val="-4"/>
                <w:sz w:val="22"/>
              </w:rPr>
              <w:t> </w:t>
            </w:r>
            <w:r>
              <w:rPr>
                <w:sz w:val="22"/>
              </w:rPr>
              <w:t>2017</w:t>
            </w:r>
            <w:r>
              <w:rPr>
                <w:spacing w:val="-4"/>
                <w:sz w:val="22"/>
              </w:rPr>
              <w:t> </w:t>
            </w:r>
            <w:r>
              <w:rPr>
                <w:sz w:val="22"/>
              </w:rPr>
              <w:t>from</w:t>
            </w:r>
            <w:r>
              <w:rPr>
                <w:spacing w:val="-5"/>
                <w:sz w:val="22"/>
              </w:rPr>
              <w:t> </w:t>
            </w:r>
            <w:r>
              <w:rPr>
                <w:sz w:val="22"/>
              </w:rPr>
              <w:t>6:20</w:t>
            </w:r>
            <w:r>
              <w:rPr>
                <w:spacing w:val="-5"/>
                <w:sz w:val="22"/>
              </w:rPr>
              <w:t> </w:t>
            </w:r>
            <w:r>
              <w:rPr>
                <w:sz w:val="22"/>
              </w:rPr>
              <w:t>to</w:t>
            </w:r>
            <w:r>
              <w:rPr>
                <w:spacing w:val="-4"/>
                <w:sz w:val="22"/>
              </w:rPr>
              <w:t> 7:56</w:t>
            </w:r>
          </w:p>
        </w:tc>
      </w:tr>
      <w:tr>
        <w:trPr>
          <w:trHeight w:val="196" w:hRule="atLeast"/>
        </w:trPr>
        <w:tc>
          <w:tcPr>
            <w:tcW w:w="8211" w:type="dxa"/>
            <w:gridSpan w:val="5"/>
          </w:tcPr>
          <w:p>
            <w:pPr>
              <w:pStyle w:val="TableParagraph"/>
              <w:spacing w:line="240" w:lineRule="auto"/>
              <w:rPr>
                <w:rFonts w:ascii="Times New Roman"/>
                <w:sz w:val="12"/>
              </w:rPr>
            </w:pPr>
          </w:p>
        </w:tc>
      </w:tr>
      <w:tr>
        <w:trPr>
          <w:trHeight w:val="4228" w:hRule="atLeast"/>
        </w:trPr>
        <w:tc>
          <w:tcPr>
            <w:tcW w:w="113" w:type="dxa"/>
            <w:tcBorders>
              <w:top w:val="nil"/>
              <w:bottom w:val="nil"/>
            </w:tcBorders>
          </w:tcPr>
          <w:p>
            <w:pPr>
              <w:pStyle w:val="TableParagraph"/>
              <w:spacing w:line="240" w:lineRule="auto"/>
              <w:rPr>
                <w:rFonts w:ascii="Times New Roman"/>
                <w:sz w:val="22"/>
              </w:rPr>
            </w:pPr>
          </w:p>
        </w:tc>
        <w:tc>
          <w:tcPr>
            <w:tcW w:w="3938" w:type="dxa"/>
            <w:gridSpan w:val="2"/>
          </w:tcPr>
          <w:p>
            <w:pPr>
              <w:pStyle w:val="TableParagraph"/>
              <w:spacing w:line="240" w:lineRule="auto" w:before="133"/>
              <w:ind w:left="299"/>
              <w:rPr>
                <w:sz w:val="22"/>
              </w:rPr>
            </w:pPr>
            <w:r>
              <w:rPr/>
              <mc:AlternateContent>
                <mc:Choice Requires="wps">
                  <w:drawing>
                    <wp:anchor distT="0" distB="0" distL="0" distR="0" allowOverlap="1" layoutInCell="1" locked="0" behindDoc="1" simplePos="0" relativeHeight="486991872">
                      <wp:simplePos x="0" y="0"/>
                      <wp:positionH relativeFrom="column">
                        <wp:posOffset>89852</wp:posOffset>
                      </wp:positionH>
                      <wp:positionV relativeFrom="paragraph">
                        <wp:posOffset>29700</wp:posOffset>
                      </wp:positionV>
                      <wp:extent cx="2261870" cy="2106930"/>
                      <wp:effectExtent l="0" t="0" r="0" b="0"/>
                      <wp:wrapNone/>
                      <wp:docPr id="32" name="Group 32"/>
                      <wp:cNvGraphicFramePr>
                        <a:graphicFrameLocks/>
                      </wp:cNvGraphicFramePr>
                      <a:graphic>
                        <a:graphicData uri="http://schemas.microsoft.com/office/word/2010/wordprocessingGroup">
                          <wpg:wgp>
                            <wpg:cNvPr id="32" name="Group 32"/>
                            <wpg:cNvGrpSpPr/>
                            <wpg:grpSpPr>
                              <a:xfrm>
                                <a:off x="0" y="0"/>
                                <a:ext cx="2261870" cy="2106930"/>
                                <a:chExt cx="2261870" cy="2106930"/>
                              </a:xfrm>
                            </wpg:grpSpPr>
                            <pic:pic>
                              <pic:nvPicPr>
                                <pic:cNvPr id="33" name="Image 33" descr="C:\Users\muhammad.yahaya\AppData\Local\Microsoft\Windows\Temporary Internet Files\Content.Word\HH 2.jpg"/>
                                <pic:cNvPicPr/>
                              </pic:nvPicPr>
                              <pic:blipFill>
                                <a:blip r:embed="rId20" cstate="print"/>
                                <a:stretch>
                                  <a:fillRect/>
                                </a:stretch>
                              </pic:blipFill>
                              <pic:spPr>
                                <a:xfrm>
                                  <a:off x="91212" y="183545"/>
                                  <a:ext cx="2170256" cy="1923375"/>
                                </a:xfrm>
                                <a:prstGeom prst="rect">
                                  <a:avLst/>
                                </a:prstGeom>
                              </pic:spPr>
                            </pic:pic>
                            <wps:wsp>
                              <wps:cNvPr id="34" name="Graphic 34"/>
                              <wps:cNvSpPr/>
                              <wps:spPr>
                                <a:xfrm>
                                  <a:off x="4762" y="4762"/>
                                  <a:ext cx="352425" cy="252729"/>
                                </a:xfrm>
                                <a:custGeom>
                                  <a:avLst/>
                                  <a:gdLst/>
                                  <a:ahLst/>
                                  <a:cxnLst/>
                                  <a:rect l="l" t="t" r="r" b="b"/>
                                  <a:pathLst>
                                    <a:path w="352425" h="252729">
                                      <a:moveTo>
                                        <a:pt x="0" y="252730"/>
                                      </a:moveTo>
                                      <a:lnTo>
                                        <a:pt x="352425" y="252730"/>
                                      </a:lnTo>
                                      <a:lnTo>
                                        <a:pt x="352425" y="0"/>
                                      </a:lnTo>
                                      <a:lnTo>
                                        <a:pt x="0" y="0"/>
                                      </a:lnTo>
                                      <a:lnTo>
                                        <a:pt x="0" y="252730"/>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7.075pt;margin-top:2.338632pt;width:178.1pt;height:165.9pt;mso-position-horizontal-relative:column;mso-position-vertical-relative:paragraph;z-index:-16324608" id="docshapegroup24" coordorigin="141,47" coordsize="3562,3318">
                      <v:shape style="position:absolute;left:285;top:335;width:3418;height:3029" type="#_x0000_t75" id="docshape25" alt="C:\Users\muhammad.yahaya\AppData\Local\Microsoft\Windows\Temporary Internet Files\Content.Word\HH 2.jpg" stroked="false">
                        <v:imagedata r:id="rId20" o:title=""/>
                      </v:shape>
                      <v:rect style="position:absolute;left:149;top:54;width:555;height:398" id="docshape26" filled="false" stroked="true" strokeweight=".75pt" strokecolor="#000000">
                        <v:stroke dashstyle="solid"/>
                      </v:rect>
                      <w10:wrap type="none"/>
                    </v:group>
                  </w:pict>
                </mc:Fallback>
              </mc:AlternateContent>
            </w:r>
            <w:r>
              <w:rPr>
                <w:spacing w:val="-5"/>
                <w:sz w:val="22"/>
              </w:rPr>
              <w:t>(a)</w:t>
            </w:r>
          </w:p>
        </w:tc>
        <w:tc>
          <w:tcPr>
            <w:tcW w:w="4048" w:type="dxa"/>
          </w:tcPr>
          <w:p>
            <w:pPr>
              <w:pStyle w:val="TableParagraph"/>
              <w:spacing w:line="240" w:lineRule="auto" w:before="179"/>
              <w:ind w:left="269"/>
              <w:rPr>
                <w:sz w:val="22"/>
              </w:rPr>
            </w:pPr>
            <w:r>
              <w:rPr/>
              <mc:AlternateContent>
                <mc:Choice Requires="wps">
                  <w:drawing>
                    <wp:anchor distT="0" distB="0" distL="0" distR="0" allowOverlap="1" layoutInCell="1" locked="0" behindDoc="1" simplePos="0" relativeHeight="486992384">
                      <wp:simplePos x="0" y="0"/>
                      <wp:positionH relativeFrom="column">
                        <wp:posOffset>69532</wp:posOffset>
                      </wp:positionH>
                      <wp:positionV relativeFrom="paragraph">
                        <wp:posOffset>58529</wp:posOffset>
                      </wp:positionV>
                      <wp:extent cx="2367915" cy="1891030"/>
                      <wp:effectExtent l="0" t="0" r="0" b="0"/>
                      <wp:wrapNone/>
                      <wp:docPr id="35" name="Group 35"/>
                      <wp:cNvGraphicFramePr>
                        <a:graphicFrameLocks/>
                      </wp:cNvGraphicFramePr>
                      <a:graphic>
                        <a:graphicData uri="http://schemas.microsoft.com/office/word/2010/wordprocessingGroup">
                          <wpg:wgp>
                            <wpg:cNvPr id="35" name="Group 35"/>
                            <wpg:cNvGrpSpPr/>
                            <wpg:grpSpPr>
                              <a:xfrm>
                                <a:off x="0" y="0"/>
                                <a:ext cx="2367915" cy="1891030"/>
                                <a:chExt cx="2367915" cy="1891030"/>
                              </a:xfrm>
                            </wpg:grpSpPr>
                            <pic:pic>
                              <pic:nvPicPr>
                                <pic:cNvPr id="36" name="Image 36" descr="C:\Users\muhammad.yahaya\AppData\Local\Microsoft\Windows\Temporary Internet Files\Content.Word\HH 3.jpg"/>
                                <pic:cNvPicPr/>
                              </pic:nvPicPr>
                              <pic:blipFill>
                                <a:blip r:embed="rId21" cstate="print"/>
                                <a:stretch>
                                  <a:fillRect/>
                                </a:stretch>
                              </pic:blipFill>
                              <pic:spPr>
                                <a:xfrm>
                                  <a:off x="151303" y="151667"/>
                                  <a:ext cx="2216465" cy="1739045"/>
                                </a:xfrm>
                                <a:prstGeom prst="rect">
                                  <a:avLst/>
                                </a:prstGeom>
                              </pic:spPr>
                            </pic:pic>
                            <wps:wsp>
                              <wps:cNvPr id="37" name="Graphic 37"/>
                              <wps:cNvSpPr/>
                              <wps:spPr>
                                <a:xfrm>
                                  <a:off x="4762" y="4762"/>
                                  <a:ext cx="352425" cy="252729"/>
                                </a:xfrm>
                                <a:custGeom>
                                  <a:avLst/>
                                  <a:gdLst/>
                                  <a:ahLst/>
                                  <a:cxnLst/>
                                  <a:rect l="l" t="t" r="r" b="b"/>
                                  <a:pathLst>
                                    <a:path w="352425" h="252729">
                                      <a:moveTo>
                                        <a:pt x="0" y="252730"/>
                                      </a:moveTo>
                                      <a:lnTo>
                                        <a:pt x="352425" y="252730"/>
                                      </a:lnTo>
                                      <a:lnTo>
                                        <a:pt x="352425" y="0"/>
                                      </a:lnTo>
                                      <a:lnTo>
                                        <a:pt x="0" y="0"/>
                                      </a:lnTo>
                                      <a:lnTo>
                                        <a:pt x="0" y="252730"/>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5.475002pt;margin-top:4.608633pt;width:186.45pt;height:148.9pt;mso-position-horizontal-relative:column;mso-position-vertical-relative:paragraph;z-index:-16324096" id="docshapegroup27" coordorigin="110,92" coordsize="3729,2978">
                      <v:shape style="position:absolute;left:347;top:331;width:3491;height:2739" type="#_x0000_t75" id="docshape28" alt="C:\Users\muhammad.yahaya\AppData\Local\Microsoft\Windows\Temporary Internet Files\Content.Word\HH 3.jpg" stroked="false">
                        <v:imagedata r:id="rId21" o:title=""/>
                      </v:shape>
                      <v:rect style="position:absolute;left:117;top:99;width:555;height:398" id="docshape29" filled="false" stroked="true" strokeweight=".75pt" strokecolor="#000000">
                        <v:stroke dashstyle="solid"/>
                      </v:rect>
                      <w10:wrap type="none"/>
                    </v:group>
                  </w:pict>
                </mc:Fallback>
              </mc:AlternateContent>
            </w:r>
            <w:r>
              <w:rPr>
                <w:spacing w:val="-5"/>
                <w:sz w:val="22"/>
              </w:rPr>
              <w:t>(b)</w:t>
            </w:r>
          </w:p>
        </w:tc>
        <w:tc>
          <w:tcPr>
            <w:tcW w:w="112" w:type="dxa"/>
            <w:tcBorders>
              <w:top w:val="nil"/>
              <w:bottom w:val="nil"/>
            </w:tcBorders>
          </w:tcPr>
          <w:p>
            <w:pPr>
              <w:pStyle w:val="TableParagraph"/>
              <w:spacing w:line="240" w:lineRule="auto"/>
              <w:rPr>
                <w:rFonts w:ascii="Times New Roman"/>
                <w:sz w:val="22"/>
              </w:rPr>
            </w:pPr>
          </w:p>
        </w:tc>
      </w:tr>
      <w:tr>
        <w:trPr>
          <w:trHeight w:val="419" w:hRule="atLeast"/>
        </w:trPr>
        <w:tc>
          <w:tcPr>
            <w:tcW w:w="113" w:type="dxa"/>
            <w:vMerge w:val="restart"/>
            <w:tcBorders>
              <w:top w:val="nil"/>
            </w:tcBorders>
          </w:tcPr>
          <w:p>
            <w:pPr>
              <w:pStyle w:val="TableParagraph"/>
              <w:spacing w:line="240" w:lineRule="auto"/>
              <w:rPr>
                <w:rFonts w:ascii="Times New Roman"/>
                <w:sz w:val="22"/>
              </w:rPr>
            </w:pPr>
          </w:p>
        </w:tc>
        <w:tc>
          <w:tcPr>
            <w:tcW w:w="613" w:type="dxa"/>
            <w:tcBorders>
              <w:bottom w:val="single" w:sz="6" w:space="0" w:color="000000"/>
              <w:right w:val="single" w:sz="6" w:space="0" w:color="000000"/>
            </w:tcBorders>
          </w:tcPr>
          <w:p>
            <w:pPr>
              <w:pStyle w:val="TableParagraph"/>
              <w:spacing w:line="240" w:lineRule="auto" w:before="112"/>
              <w:ind w:left="208"/>
              <w:rPr>
                <w:sz w:val="22"/>
              </w:rPr>
            </w:pPr>
            <w:r>
              <w:rPr/>
              <mc:AlternateContent>
                <mc:Choice Requires="wps">
                  <w:drawing>
                    <wp:anchor distT="0" distB="0" distL="0" distR="0" allowOverlap="1" layoutInCell="1" locked="0" behindDoc="1" simplePos="0" relativeHeight="486992896">
                      <wp:simplePos x="0" y="0"/>
                      <wp:positionH relativeFrom="column">
                        <wp:posOffset>194539</wp:posOffset>
                      </wp:positionH>
                      <wp:positionV relativeFrom="paragraph">
                        <wp:posOffset>238270</wp:posOffset>
                      </wp:positionV>
                      <wp:extent cx="2205355" cy="1727835"/>
                      <wp:effectExtent l="0" t="0" r="0" b="0"/>
                      <wp:wrapNone/>
                      <wp:docPr id="38" name="Group 38" descr="C:\Users\muhammad.yahaya\AppData\Local\Microsoft\Windows\Temporary Internet Files\Content.Word\HH 4.jpg"/>
                      <wp:cNvGraphicFramePr>
                        <a:graphicFrameLocks/>
                      </wp:cNvGraphicFramePr>
                      <a:graphic>
                        <a:graphicData uri="http://schemas.microsoft.com/office/word/2010/wordprocessingGroup">
                          <wpg:wgp>
                            <wpg:cNvPr id="38" name="Group 38" descr="C:\Users\muhammad.yahaya\AppData\Local\Microsoft\Windows\Temporary Internet Files\Content.Word\HH 4.jpg"/>
                            <wpg:cNvGrpSpPr/>
                            <wpg:grpSpPr>
                              <a:xfrm>
                                <a:off x="0" y="0"/>
                                <a:ext cx="2205355" cy="1727835"/>
                                <a:chExt cx="2205355" cy="1727835"/>
                              </a:xfrm>
                            </wpg:grpSpPr>
                            <pic:pic>
                              <pic:nvPicPr>
                                <pic:cNvPr id="39" name="Image 39" descr="C:\Users\muhammad.yahaya\AppData\Local\Microsoft\Windows\Temporary Internet Files\Content.Word\HH 4.jpg"/>
                                <pic:cNvPicPr/>
                              </pic:nvPicPr>
                              <pic:blipFill>
                                <a:blip r:embed="rId22" cstate="print"/>
                                <a:stretch>
                                  <a:fillRect/>
                                </a:stretch>
                              </pic:blipFill>
                              <pic:spPr>
                                <a:xfrm>
                                  <a:off x="0" y="0"/>
                                  <a:ext cx="2224819" cy="1743456"/>
                                </a:xfrm>
                                <a:prstGeom prst="rect">
                                  <a:avLst/>
                                </a:prstGeom>
                              </pic:spPr>
                            </pic:pic>
                          </wpg:wgp>
                        </a:graphicData>
                      </a:graphic>
                    </wp:anchor>
                  </w:drawing>
                </mc:Choice>
                <mc:Fallback>
                  <w:pict>
                    <v:group style="position:absolute;margin-left:15.318047pt;margin-top:18.761459pt;width:173.65pt;height:136.050pt;mso-position-horizontal-relative:column;mso-position-vertical-relative:paragraph;z-index:-16323584" id="docshapegroup30" coordorigin="306,375" coordsize="3473,2721" alt="C:\Users\muhammad.yahaya\AppData\Local\Microsoft\Windows\Temporary Internet Files\Content.Word\HH 4.jpg">
                      <v:shape style="position:absolute;left:306;top:375;width:3504;height:2746" type="#_x0000_t75" id="docshape31" alt="C:\Users\muhammad.yahaya\AppData\Local\Microsoft\Windows\Temporary Internet Files\Content.Word\HH 4.jpg" stroked="false">
                        <v:imagedata r:id="rId22" o:title=""/>
                      </v:shape>
                      <w10:wrap type="none"/>
                    </v:group>
                  </w:pict>
                </mc:Fallback>
              </mc:AlternateContent>
            </w:r>
            <w:r>
              <w:rPr>
                <w:spacing w:val="-5"/>
                <w:sz w:val="22"/>
              </w:rPr>
              <w:t>(c)</w:t>
            </w:r>
          </w:p>
        </w:tc>
        <w:tc>
          <w:tcPr>
            <w:tcW w:w="3325" w:type="dxa"/>
            <w:tcBorders>
              <w:left w:val="single" w:sz="6" w:space="0" w:color="000000"/>
              <w:bottom w:val="nil"/>
            </w:tcBorders>
          </w:tcPr>
          <w:p>
            <w:pPr>
              <w:pStyle w:val="TableParagraph"/>
              <w:spacing w:line="240" w:lineRule="auto"/>
              <w:rPr>
                <w:rFonts w:ascii="Times New Roman"/>
                <w:sz w:val="22"/>
              </w:rPr>
            </w:pPr>
          </w:p>
        </w:tc>
        <w:tc>
          <w:tcPr>
            <w:tcW w:w="4048" w:type="dxa"/>
            <w:vMerge w:val="restart"/>
            <w:tcBorders>
              <w:bottom w:val="single" w:sz="8" w:space="0" w:color="000000"/>
            </w:tcBorders>
          </w:tcPr>
          <w:p>
            <w:pPr>
              <w:pStyle w:val="TableParagraph"/>
              <w:spacing w:line="240" w:lineRule="auto" w:before="176"/>
              <w:ind w:left="262"/>
              <w:rPr>
                <w:sz w:val="22"/>
              </w:rPr>
            </w:pPr>
            <w:r>
              <w:rPr/>
              <mc:AlternateContent>
                <mc:Choice Requires="wps">
                  <w:drawing>
                    <wp:anchor distT="0" distB="0" distL="0" distR="0" allowOverlap="1" layoutInCell="1" locked="0" behindDoc="1" simplePos="0" relativeHeight="486993408">
                      <wp:simplePos x="0" y="0"/>
                      <wp:positionH relativeFrom="column">
                        <wp:posOffset>28575</wp:posOffset>
                      </wp:positionH>
                      <wp:positionV relativeFrom="paragraph">
                        <wp:posOffset>26970</wp:posOffset>
                      </wp:positionV>
                      <wp:extent cx="2448560" cy="2028825"/>
                      <wp:effectExtent l="0" t="0" r="0" b="0"/>
                      <wp:wrapNone/>
                      <wp:docPr id="40" name="Group 40" descr="C:\Users\muhammad.yahaya\AppData\Local\Microsoft\Windows\Temporary Internet Files\Content.Word\HH 59.jpg"/>
                      <wp:cNvGraphicFramePr>
                        <a:graphicFrameLocks/>
                      </wp:cNvGraphicFramePr>
                      <a:graphic>
                        <a:graphicData uri="http://schemas.microsoft.com/office/word/2010/wordprocessingGroup">
                          <wpg:wgp>
                            <wpg:cNvPr id="40" name="Group 40" descr="C:\Users\muhammad.yahaya\AppData\Local\Microsoft\Windows\Temporary Internet Files\Content.Word\HH 59.jpg"/>
                            <wpg:cNvGrpSpPr/>
                            <wpg:grpSpPr>
                              <a:xfrm>
                                <a:off x="0" y="0"/>
                                <a:ext cx="2448560" cy="2028825"/>
                                <a:chExt cx="2448560" cy="2028825"/>
                              </a:xfrm>
                            </wpg:grpSpPr>
                            <pic:pic>
                              <pic:nvPicPr>
                                <pic:cNvPr id="41" name="Image 41" descr="C:\Users\muhammad.yahaya\AppData\Local\Microsoft\Windows\Temporary Internet Files\Content.Word\HH 59.jpg"/>
                                <pic:cNvPicPr/>
                              </pic:nvPicPr>
                              <pic:blipFill>
                                <a:blip r:embed="rId23" cstate="print"/>
                                <a:stretch>
                                  <a:fillRect/>
                                </a:stretch>
                              </pic:blipFill>
                              <pic:spPr>
                                <a:xfrm>
                                  <a:off x="0" y="0"/>
                                  <a:ext cx="2448202" cy="2028698"/>
                                </a:xfrm>
                                <a:prstGeom prst="rect">
                                  <a:avLst/>
                                </a:prstGeom>
                              </pic:spPr>
                            </pic:pic>
                            <wps:wsp>
                              <wps:cNvPr id="42" name="Graphic 42"/>
                              <wps:cNvSpPr/>
                              <wps:spPr>
                                <a:xfrm>
                                  <a:off x="41275" y="33655"/>
                                  <a:ext cx="352425" cy="252729"/>
                                </a:xfrm>
                                <a:custGeom>
                                  <a:avLst/>
                                  <a:gdLst/>
                                  <a:ahLst/>
                                  <a:cxnLst/>
                                  <a:rect l="l" t="t" r="r" b="b"/>
                                  <a:pathLst>
                                    <a:path w="352425" h="252729">
                                      <a:moveTo>
                                        <a:pt x="352425" y="0"/>
                                      </a:moveTo>
                                      <a:lnTo>
                                        <a:pt x="0" y="0"/>
                                      </a:lnTo>
                                      <a:lnTo>
                                        <a:pt x="0" y="252729"/>
                                      </a:lnTo>
                                      <a:lnTo>
                                        <a:pt x="352425" y="252729"/>
                                      </a:lnTo>
                                      <a:lnTo>
                                        <a:pt x="352425" y="0"/>
                                      </a:lnTo>
                                      <a:close/>
                                    </a:path>
                                  </a:pathLst>
                                </a:custGeom>
                                <a:solidFill>
                                  <a:srgbClr val="FFFFFF"/>
                                </a:solidFill>
                              </wps:spPr>
                              <wps:bodyPr wrap="square" lIns="0" tIns="0" rIns="0" bIns="0" rtlCol="0">
                                <a:prstTxWarp prst="textNoShape">
                                  <a:avLst/>
                                </a:prstTxWarp>
                                <a:noAutofit/>
                              </wps:bodyPr>
                            </wps:wsp>
                            <wps:wsp>
                              <wps:cNvPr id="43" name="Graphic 43"/>
                              <wps:cNvSpPr/>
                              <wps:spPr>
                                <a:xfrm>
                                  <a:off x="41275" y="33655"/>
                                  <a:ext cx="352425" cy="252729"/>
                                </a:xfrm>
                                <a:custGeom>
                                  <a:avLst/>
                                  <a:gdLst/>
                                  <a:ahLst/>
                                  <a:cxnLst/>
                                  <a:rect l="l" t="t" r="r" b="b"/>
                                  <a:pathLst>
                                    <a:path w="352425" h="252729">
                                      <a:moveTo>
                                        <a:pt x="0" y="252729"/>
                                      </a:moveTo>
                                      <a:lnTo>
                                        <a:pt x="352425" y="252729"/>
                                      </a:lnTo>
                                      <a:lnTo>
                                        <a:pt x="352425" y="0"/>
                                      </a:lnTo>
                                      <a:lnTo>
                                        <a:pt x="0" y="0"/>
                                      </a:lnTo>
                                      <a:lnTo>
                                        <a:pt x="0" y="252729"/>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250002pt;margin-top:2.123626pt;width:192.8pt;height:159.75pt;mso-position-horizontal-relative:column;mso-position-vertical-relative:paragraph;z-index:-16323072" id="docshapegroup32" coordorigin="45,42" coordsize="3856,3195" alt="C:\Users\muhammad.yahaya\AppData\Local\Microsoft\Windows\Temporary Internet Files\Content.Word\HH 59.jpg">
                      <v:shape style="position:absolute;left:45;top:42;width:3856;height:3195" type="#_x0000_t75" id="docshape33" alt="C:\Users\muhammad.yahaya\AppData\Local\Microsoft\Windows\Temporary Internet Files\Content.Word\HH 59.jpg" stroked="false">
                        <v:imagedata r:id="rId23" o:title=""/>
                      </v:shape>
                      <v:rect style="position:absolute;left:110;top:95;width:555;height:398" id="docshape34" filled="true" fillcolor="#ffffff" stroked="false">
                        <v:fill type="solid"/>
                      </v:rect>
                      <v:rect style="position:absolute;left:110;top:95;width:555;height:398" id="docshape35" filled="false" stroked="true" strokeweight=".75pt" strokecolor="#000000">
                        <v:stroke dashstyle="solid"/>
                      </v:rect>
                      <w10:wrap type="none"/>
                    </v:group>
                  </w:pict>
                </mc:Fallback>
              </mc:AlternateContent>
            </w:r>
            <w:r>
              <w:rPr>
                <w:spacing w:val="-5"/>
                <w:sz w:val="22"/>
              </w:rPr>
              <w:t>(d)</w:t>
            </w:r>
          </w:p>
        </w:tc>
        <w:tc>
          <w:tcPr>
            <w:tcW w:w="112" w:type="dxa"/>
            <w:vMerge w:val="restart"/>
            <w:tcBorders>
              <w:top w:val="nil"/>
            </w:tcBorders>
          </w:tcPr>
          <w:p>
            <w:pPr>
              <w:pStyle w:val="TableParagraph"/>
              <w:spacing w:line="240" w:lineRule="auto"/>
              <w:rPr>
                <w:rFonts w:ascii="Times New Roman"/>
                <w:sz w:val="22"/>
              </w:rPr>
            </w:pPr>
          </w:p>
        </w:tc>
      </w:tr>
      <w:tr>
        <w:trPr>
          <w:trHeight w:val="3465" w:hRule="atLeast"/>
        </w:trPr>
        <w:tc>
          <w:tcPr>
            <w:tcW w:w="113" w:type="dxa"/>
            <w:vMerge/>
            <w:tcBorders>
              <w:top w:val="nil"/>
            </w:tcBorders>
          </w:tcPr>
          <w:p>
            <w:pPr>
              <w:rPr>
                <w:sz w:val="2"/>
                <w:szCs w:val="2"/>
              </w:rPr>
            </w:pPr>
          </w:p>
        </w:tc>
        <w:tc>
          <w:tcPr>
            <w:tcW w:w="3938" w:type="dxa"/>
            <w:gridSpan w:val="2"/>
            <w:tcBorders>
              <w:top w:val="nil"/>
              <w:bottom w:val="single" w:sz="8" w:space="0" w:color="000000"/>
            </w:tcBorders>
          </w:tcPr>
          <w:p>
            <w:pPr>
              <w:pStyle w:val="TableParagraph"/>
              <w:spacing w:line="240" w:lineRule="auto"/>
              <w:rPr>
                <w:rFonts w:ascii="Times New Roman"/>
                <w:sz w:val="22"/>
              </w:rPr>
            </w:pPr>
          </w:p>
        </w:tc>
        <w:tc>
          <w:tcPr>
            <w:tcW w:w="4048" w:type="dxa"/>
            <w:vMerge/>
            <w:tcBorders>
              <w:top w:val="nil"/>
              <w:bottom w:val="single" w:sz="8" w:space="0" w:color="000000"/>
            </w:tcBorders>
          </w:tcPr>
          <w:p>
            <w:pPr>
              <w:rPr>
                <w:sz w:val="2"/>
                <w:szCs w:val="2"/>
              </w:rPr>
            </w:pPr>
          </w:p>
        </w:tc>
        <w:tc>
          <w:tcPr>
            <w:tcW w:w="112" w:type="dxa"/>
            <w:vMerge/>
            <w:tcBorders>
              <w:top w:val="nil"/>
            </w:tcBorders>
          </w:tcPr>
          <w:p>
            <w:pPr>
              <w:rPr>
                <w:sz w:val="2"/>
                <w:szCs w:val="2"/>
              </w:rPr>
            </w:pPr>
          </w:p>
        </w:tc>
      </w:tr>
    </w:tbl>
    <w:p>
      <w:pPr>
        <w:spacing w:after="0"/>
        <w:rPr>
          <w:sz w:val="2"/>
          <w:szCs w:val="2"/>
        </w:rPr>
        <w:sectPr>
          <w:pgSz w:w="11910" w:h="16840"/>
          <w:pgMar w:header="0" w:footer="1012" w:top="1660" w:bottom="1200" w:left="1680" w:right="1240"/>
        </w:sectPr>
      </w:pPr>
    </w:p>
    <w:p>
      <w:pPr>
        <w:pStyle w:val="BodyText"/>
        <w:ind w:left="588"/>
        <w:rPr>
          <w:rFonts w:ascii="Calibri"/>
          <w:sz w:val="20"/>
        </w:rPr>
      </w:pPr>
      <w:r>
        <w:rPr>
          <w:rFonts w:ascii="Calibri"/>
          <w:sz w:val="20"/>
        </w:rPr>
        <mc:AlternateContent>
          <mc:Choice Requires="wps">
            <w:drawing>
              <wp:inline distT="0" distB="0" distL="0" distR="0">
                <wp:extent cx="5220970" cy="7007225"/>
                <wp:effectExtent l="0" t="0" r="0" b="3175"/>
                <wp:docPr id="44" name="Group 44"/>
                <wp:cNvGraphicFramePr>
                  <a:graphicFrameLocks/>
                </wp:cNvGraphicFramePr>
                <a:graphic>
                  <a:graphicData uri="http://schemas.microsoft.com/office/word/2010/wordprocessingGroup">
                    <wpg:wgp>
                      <wpg:cNvPr id="44" name="Group 44"/>
                      <wpg:cNvGrpSpPr/>
                      <wpg:grpSpPr>
                        <a:xfrm>
                          <a:off x="0" y="0"/>
                          <a:ext cx="5220970" cy="7007225"/>
                          <a:chExt cx="5220970" cy="7007225"/>
                        </a:xfrm>
                      </wpg:grpSpPr>
                      <wps:wsp>
                        <wps:cNvPr id="45" name="Graphic 45"/>
                        <wps:cNvSpPr/>
                        <wps:spPr>
                          <a:xfrm>
                            <a:off x="0" y="0"/>
                            <a:ext cx="5220970" cy="7007225"/>
                          </a:xfrm>
                          <a:custGeom>
                            <a:avLst/>
                            <a:gdLst/>
                            <a:ahLst/>
                            <a:cxnLst/>
                            <a:rect l="l" t="t" r="r" b="b"/>
                            <a:pathLst>
                              <a:path w="5220970" h="7007225">
                                <a:moveTo>
                                  <a:pt x="6096" y="6223"/>
                                </a:moveTo>
                                <a:lnTo>
                                  <a:pt x="0" y="6223"/>
                                </a:lnTo>
                                <a:lnTo>
                                  <a:pt x="0" y="7000748"/>
                                </a:lnTo>
                                <a:lnTo>
                                  <a:pt x="6096" y="7000748"/>
                                </a:lnTo>
                                <a:lnTo>
                                  <a:pt x="6096" y="6223"/>
                                </a:lnTo>
                                <a:close/>
                              </a:path>
                              <a:path w="5220970" h="7007225">
                                <a:moveTo>
                                  <a:pt x="77724" y="4697730"/>
                                </a:moveTo>
                                <a:lnTo>
                                  <a:pt x="71628" y="4697730"/>
                                </a:lnTo>
                                <a:lnTo>
                                  <a:pt x="71628" y="6994652"/>
                                </a:lnTo>
                                <a:lnTo>
                                  <a:pt x="77724" y="6994652"/>
                                </a:lnTo>
                                <a:lnTo>
                                  <a:pt x="77724" y="4697730"/>
                                </a:lnTo>
                                <a:close/>
                              </a:path>
                              <a:path w="5220970" h="7007225">
                                <a:moveTo>
                                  <a:pt x="77724" y="12331"/>
                                </a:moveTo>
                                <a:lnTo>
                                  <a:pt x="71628" y="12331"/>
                                </a:lnTo>
                                <a:lnTo>
                                  <a:pt x="71628" y="2365629"/>
                                </a:lnTo>
                                <a:lnTo>
                                  <a:pt x="77724" y="2365629"/>
                                </a:lnTo>
                                <a:lnTo>
                                  <a:pt x="77724" y="12331"/>
                                </a:lnTo>
                                <a:close/>
                              </a:path>
                              <a:path w="5220970" h="7007225">
                                <a:moveTo>
                                  <a:pt x="2597518" y="6994665"/>
                                </a:moveTo>
                                <a:lnTo>
                                  <a:pt x="2591435" y="6994665"/>
                                </a:lnTo>
                                <a:lnTo>
                                  <a:pt x="77724" y="6994665"/>
                                </a:lnTo>
                                <a:lnTo>
                                  <a:pt x="71628" y="6994665"/>
                                </a:lnTo>
                                <a:lnTo>
                                  <a:pt x="71628" y="7000748"/>
                                </a:lnTo>
                                <a:lnTo>
                                  <a:pt x="77724" y="7000748"/>
                                </a:lnTo>
                                <a:lnTo>
                                  <a:pt x="2591435" y="7000748"/>
                                </a:lnTo>
                                <a:lnTo>
                                  <a:pt x="2597518" y="7000748"/>
                                </a:lnTo>
                                <a:lnTo>
                                  <a:pt x="2597518" y="6994665"/>
                                </a:lnTo>
                                <a:close/>
                              </a:path>
                              <a:path w="5220970" h="7007225">
                                <a:moveTo>
                                  <a:pt x="2597518" y="4697730"/>
                                </a:moveTo>
                                <a:lnTo>
                                  <a:pt x="2591435" y="4697730"/>
                                </a:lnTo>
                                <a:lnTo>
                                  <a:pt x="2591435" y="6994652"/>
                                </a:lnTo>
                                <a:lnTo>
                                  <a:pt x="2597518" y="6994652"/>
                                </a:lnTo>
                                <a:lnTo>
                                  <a:pt x="2597518" y="4697730"/>
                                </a:lnTo>
                                <a:close/>
                              </a:path>
                              <a:path w="5220970" h="7007225">
                                <a:moveTo>
                                  <a:pt x="2597518" y="2365641"/>
                                </a:moveTo>
                                <a:lnTo>
                                  <a:pt x="2591435" y="2365641"/>
                                </a:lnTo>
                                <a:lnTo>
                                  <a:pt x="2591435" y="2371725"/>
                                </a:lnTo>
                                <a:lnTo>
                                  <a:pt x="2591435" y="4691507"/>
                                </a:lnTo>
                                <a:lnTo>
                                  <a:pt x="77724" y="4691507"/>
                                </a:lnTo>
                                <a:lnTo>
                                  <a:pt x="77724" y="2371725"/>
                                </a:lnTo>
                                <a:lnTo>
                                  <a:pt x="2591435" y="2371725"/>
                                </a:lnTo>
                                <a:lnTo>
                                  <a:pt x="2591435" y="2365641"/>
                                </a:lnTo>
                                <a:lnTo>
                                  <a:pt x="77724" y="2365641"/>
                                </a:lnTo>
                                <a:lnTo>
                                  <a:pt x="71628" y="2365641"/>
                                </a:lnTo>
                                <a:lnTo>
                                  <a:pt x="71628" y="2371725"/>
                                </a:lnTo>
                                <a:lnTo>
                                  <a:pt x="71628" y="4691507"/>
                                </a:lnTo>
                                <a:lnTo>
                                  <a:pt x="71628" y="4697603"/>
                                </a:lnTo>
                                <a:lnTo>
                                  <a:pt x="77724" y="4697603"/>
                                </a:lnTo>
                                <a:lnTo>
                                  <a:pt x="2591435" y="4697603"/>
                                </a:lnTo>
                                <a:lnTo>
                                  <a:pt x="2597518" y="4697603"/>
                                </a:lnTo>
                                <a:lnTo>
                                  <a:pt x="2597518" y="4691507"/>
                                </a:lnTo>
                                <a:lnTo>
                                  <a:pt x="2597518" y="2371725"/>
                                </a:lnTo>
                                <a:lnTo>
                                  <a:pt x="2597518" y="2365641"/>
                                </a:lnTo>
                                <a:close/>
                              </a:path>
                              <a:path w="5220970" h="7007225">
                                <a:moveTo>
                                  <a:pt x="2597518" y="12331"/>
                                </a:moveTo>
                                <a:lnTo>
                                  <a:pt x="2591435" y="12331"/>
                                </a:lnTo>
                                <a:lnTo>
                                  <a:pt x="2591435" y="2365629"/>
                                </a:lnTo>
                                <a:lnTo>
                                  <a:pt x="2597518" y="2365629"/>
                                </a:lnTo>
                                <a:lnTo>
                                  <a:pt x="2597518" y="12331"/>
                                </a:lnTo>
                                <a:close/>
                              </a:path>
                              <a:path w="5220970" h="7007225">
                                <a:moveTo>
                                  <a:pt x="5142865" y="6994665"/>
                                </a:moveTo>
                                <a:lnTo>
                                  <a:pt x="2597531" y="6994665"/>
                                </a:lnTo>
                                <a:lnTo>
                                  <a:pt x="2597531" y="7000748"/>
                                </a:lnTo>
                                <a:lnTo>
                                  <a:pt x="5142865" y="7000748"/>
                                </a:lnTo>
                                <a:lnTo>
                                  <a:pt x="5142865" y="6994665"/>
                                </a:lnTo>
                                <a:close/>
                              </a:path>
                              <a:path w="5220970" h="7007225">
                                <a:moveTo>
                                  <a:pt x="5142865" y="4691507"/>
                                </a:moveTo>
                                <a:lnTo>
                                  <a:pt x="2597531" y="4691507"/>
                                </a:lnTo>
                                <a:lnTo>
                                  <a:pt x="2597531" y="4697603"/>
                                </a:lnTo>
                                <a:lnTo>
                                  <a:pt x="5142865" y="4697603"/>
                                </a:lnTo>
                                <a:lnTo>
                                  <a:pt x="5142865" y="4691507"/>
                                </a:lnTo>
                                <a:close/>
                              </a:path>
                              <a:path w="5220970" h="7007225">
                                <a:moveTo>
                                  <a:pt x="5142865" y="2365641"/>
                                </a:moveTo>
                                <a:lnTo>
                                  <a:pt x="2597531" y="2365641"/>
                                </a:lnTo>
                                <a:lnTo>
                                  <a:pt x="2597531" y="2371725"/>
                                </a:lnTo>
                                <a:lnTo>
                                  <a:pt x="5142865" y="2371725"/>
                                </a:lnTo>
                                <a:lnTo>
                                  <a:pt x="5142865" y="2365641"/>
                                </a:lnTo>
                                <a:close/>
                              </a:path>
                              <a:path w="5220970" h="7007225">
                                <a:moveTo>
                                  <a:pt x="5149088" y="6994665"/>
                                </a:moveTo>
                                <a:lnTo>
                                  <a:pt x="5142992" y="6994665"/>
                                </a:lnTo>
                                <a:lnTo>
                                  <a:pt x="5142992" y="7000748"/>
                                </a:lnTo>
                                <a:lnTo>
                                  <a:pt x="5149088" y="7000748"/>
                                </a:lnTo>
                                <a:lnTo>
                                  <a:pt x="5149088" y="6994665"/>
                                </a:lnTo>
                                <a:close/>
                              </a:path>
                              <a:path w="5220970" h="7007225">
                                <a:moveTo>
                                  <a:pt x="5149088" y="4697730"/>
                                </a:moveTo>
                                <a:lnTo>
                                  <a:pt x="5142992" y="4697730"/>
                                </a:lnTo>
                                <a:lnTo>
                                  <a:pt x="5142992" y="6994652"/>
                                </a:lnTo>
                                <a:lnTo>
                                  <a:pt x="5149088" y="6994652"/>
                                </a:lnTo>
                                <a:lnTo>
                                  <a:pt x="5149088" y="4697730"/>
                                </a:lnTo>
                                <a:close/>
                              </a:path>
                              <a:path w="5220970" h="7007225">
                                <a:moveTo>
                                  <a:pt x="5149088" y="2365641"/>
                                </a:moveTo>
                                <a:lnTo>
                                  <a:pt x="5142992" y="2365641"/>
                                </a:lnTo>
                                <a:lnTo>
                                  <a:pt x="5142992" y="2371725"/>
                                </a:lnTo>
                                <a:lnTo>
                                  <a:pt x="5142992" y="4691507"/>
                                </a:lnTo>
                                <a:lnTo>
                                  <a:pt x="5142992" y="4697603"/>
                                </a:lnTo>
                                <a:lnTo>
                                  <a:pt x="5149088" y="4697603"/>
                                </a:lnTo>
                                <a:lnTo>
                                  <a:pt x="5149088" y="4691507"/>
                                </a:lnTo>
                                <a:lnTo>
                                  <a:pt x="5149088" y="2371725"/>
                                </a:lnTo>
                                <a:lnTo>
                                  <a:pt x="5149088" y="2365641"/>
                                </a:lnTo>
                                <a:close/>
                              </a:path>
                              <a:path w="5220970" h="7007225">
                                <a:moveTo>
                                  <a:pt x="5149088" y="12331"/>
                                </a:moveTo>
                                <a:lnTo>
                                  <a:pt x="5142992" y="12331"/>
                                </a:lnTo>
                                <a:lnTo>
                                  <a:pt x="5142992" y="2365629"/>
                                </a:lnTo>
                                <a:lnTo>
                                  <a:pt x="5149088" y="2365629"/>
                                </a:lnTo>
                                <a:lnTo>
                                  <a:pt x="5149088" y="12331"/>
                                </a:lnTo>
                                <a:close/>
                              </a:path>
                              <a:path w="5220970" h="7007225">
                                <a:moveTo>
                                  <a:pt x="5214493" y="7000761"/>
                                </a:moveTo>
                                <a:lnTo>
                                  <a:pt x="6096" y="7000761"/>
                                </a:lnTo>
                                <a:lnTo>
                                  <a:pt x="0" y="7000761"/>
                                </a:lnTo>
                                <a:lnTo>
                                  <a:pt x="0" y="7006844"/>
                                </a:lnTo>
                                <a:lnTo>
                                  <a:pt x="6096" y="7006844"/>
                                </a:lnTo>
                                <a:lnTo>
                                  <a:pt x="5214493" y="7006844"/>
                                </a:lnTo>
                                <a:lnTo>
                                  <a:pt x="5214493" y="7000761"/>
                                </a:lnTo>
                                <a:close/>
                              </a:path>
                              <a:path w="5220970" h="7007225">
                                <a:moveTo>
                                  <a:pt x="5214493" y="0"/>
                                </a:moveTo>
                                <a:lnTo>
                                  <a:pt x="6096" y="0"/>
                                </a:lnTo>
                                <a:lnTo>
                                  <a:pt x="0" y="0"/>
                                </a:lnTo>
                                <a:lnTo>
                                  <a:pt x="0" y="6096"/>
                                </a:lnTo>
                                <a:lnTo>
                                  <a:pt x="6096" y="6096"/>
                                </a:lnTo>
                                <a:lnTo>
                                  <a:pt x="71628" y="6096"/>
                                </a:lnTo>
                                <a:lnTo>
                                  <a:pt x="71628" y="12192"/>
                                </a:lnTo>
                                <a:lnTo>
                                  <a:pt x="77724" y="12192"/>
                                </a:lnTo>
                                <a:lnTo>
                                  <a:pt x="2591435" y="12192"/>
                                </a:lnTo>
                                <a:lnTo>
                                  <a:pt x="2597518" y="12192"/>
                                </a:lnTo>
                                <a:lnTo>
                                  <a:pt x="2597518" y="6096"/>
                                </a:lnTo>
                                <a:lnTo>
                                  <a:pt x="2597531" y="12192"/>
                                </a:lnTo>
                                <a:lnTo>
                                  <a:pt x="5142865" y="12192"/>
                                </a:lnTo>
                                <a:lnTo>
                                  <a:pt x="5142865" y="6096"/>
                                </a:lnTo>
                                <a:lnTo>
                                  <a:pt x="5142992" y="6096"/>
                                </a:lnTo>
                                <a:lnTo>
                                  <a:pt x="5142992" y="12192"/>
                                </a:lnTo>
                                <a:lnTo>
                                  <a:pt x="5149088" y="12192"/>
                                </a:lnTo>
                                <a:lnTo>
                                  <a:pt x="5149088" y="6096"/>
                                </a:lnTo>
                                <a:lnTo>
                                  <a:pt x="5214493" y="6096"/>
                                </a:lnTo>
                                <a:lnTo>
                                  <a:pt x="5214493" y="0"/>
                                </a:lnTo>
                                <a:close/>
                              </a:path>
                              <a:path w="5220970" h="7007225">
                                <a:moveTo>
                                  <a:pt x="5220716" y="7000761"/>
                                </a:moveTo>
                                <a:lnTo>
                                  <a:pt x="5214620" y="7000761"/>
                                </a:lnTo>
                                <a:lnTo>
                                  <a:pt x="5214620" y="7006844"/>
                                </a:lnTo>
                                <a:lnTo>
                                  <a:pt x="5220716" y="7006844"/>
                                </a:lnTo>
                                <a:lnTo>
                                  <a:pt x="5220716" y="7000761"/>
                                </a:lnTo>
                                <a:close/>
                              </a:path>
                              <a:path w="5220970" h="7007225">
                                <a:moveTo>
                                  <a:pt x="5220716" y="6223"/>
                                </a:moveTo>
                                <a:lnTo>
                                  <a:pt x="5214620" y="6223"/>
                                </a:lnTo>
                                <a:lnTo>
                                  <a:pt x="5214620" y="7000748"/>
                                </a:lnTo>
                                <a:lnTo>
                                  <a:pt x="5220716" y="7000748"/>
                                </a:lnTo>
                                <a:lnTo>
                                  <a:pt x="5220716" y="6223"/>
                                </a:lnTo>
                                <a:close/>
                              </a:path>
                              <a:path w="5220970" h="7007225">
                                <a:moveTo>
                                  <a:pt x="5220716" y="0"/>
                                </a:moveTo>
                                <a:lnTo>
                                  <a:pt x="5214620" y="0"/>
                                </a:lnTo>
                                <a:lnTo>
                                  <a:pt x="5214620" y="6096"/>
                                </a:lnTo>
                                <a:lnTo>
                                  <a:pt x="5220716" y="6096"/>
                                </a:lnTo>
                                <a:lnTo>
                                  <a:pt x="5220716" y="0"/>
                                </a:lnTo>
                                <a:close/>
                              </a:path>
                            </a:pathLst>
                          </a:custGeom>
                          <a:solidFill>
                            <a:srgbClr val="000000"/>
                          </a:solidFill>
                        </wps:spPr>
                        <wps:bodyPr wrap="square" lIns="0" tIns="0" rIns="0" bIns="0" rtlCol="0">
                          <a:prstTxWarp prst="textNoShape">
                            <a:avLst/>
                          </a:prstTxWarp>
                          <a:noAutofit/>
                        </wps:bodyPr>
                      </wps:wsp>
                      <pic:pic>
                        <pic:nvPicPr>
                          <pic:cNvPr id="46" name="Image 46" descr="C:\Users\muhammad.yahaya\AppData\Local\Microsoft\Windows\Temporary Internet Files\Content.Word\HH 77.jpg"/>
                          <pic:cNvPicPr/>
                        </pic:nvPicPr>
                        <pic:blipFill>
                          <a:blip r:embed="rId24" cstate="print"/>
                          <a:stretch>
                            <a:fillRect/>
                          </a:stretch>
                        </pic:blipFill>
                        <pic:spPr>
                          <a:xfrm>
                            <a:off x="112140" y="2386457"/>
                            <a:ext cx="2388270" cy="1791888"/>
                          </a:xfrm>
                          <a:prstGeom prst="rect">
                            <a:avLst/>
                          </a:prstGeom>
                        </pic:spPr>
                      </pic:pic>
                      <pic:pic>
                        <pic:nvPicPr>
                          <pic:cNvPr id="47" name="Image 47" descr="C:\Users\muhammad.yahaya\AppData\Local\Microsoft\Windows\Temporary Internet Files\Content.Word\HH 27.jpg"/>
                          <pic:cNvPicPr/>
                        </pic:nvPicPr>
                        <pic:blipFill>
                          <a:blip r:embed="rId25" cstate="print"/>
                          <a:stretch>
                            <a:fillRect/>
                          </a:stretch>
                        </pic:blipFill>
                        <pic:spPr>
                          <a:xfrm>
                            <a:off x="123254" y="4727702"/>
                            <a:ext cx="2460465" cy="1885109"/>
                          </a:xfrm>
                          <a:prstGeom prst="rect">
                            <a:avLst/>
                          </a:prstGeom>
                        </pic:spPr>
                      </pic:pic>
                      <pic:pic>
                        <pic:nvPicPr>
                          <pic:cNvPr id="48" name="Image 48" descr="C:\Users\muhammad.yahaya\AppData\Local\Microsoft\Windows\Temporary Internet Files\Content.Word\HH 38.jpg"/>
                          <pic:cNvPicPr/>
                        </pic:nvPicPr>
                        <pic:blipFill>
                          <a:blip r:embed="rId26" cstate="print"/>
                          <a:stretch>
                            <a:fillRect/>
                          </a:stretch>
                        </pic:blipFill>
                        <pic:spPr>
                          <a:xfrm>
                            <a:off x="2780813" y="4856668"/>
                            <a:ext cx="2146715" cy="1603866"/>
                          </a:xfrm>
                          <a:prstGeom prst="rect">
                            <a:avLst/>
                          </a:prstGeom>
                        </pic:spPr>
                      </pic:pic>
                      <wps:wsp>
                        <wps:cNvPr id="49" name="Graphic 49"/>
                        <wps:cNvSpPr/>
                        <wps:spPr>
                          <a:xfrm>
                            <a:off x="92456" y="2371851"/>
                            <a:ext cx="352425" cy="252729"/>
                          </a:xfrm>
                          <a:custGeom>
                            <a:avLst/>
                            <a:gdLst/>
                            <a:ahLst/>
                            <a:cxnLst/>
                            <a:rect l="l" t="t" r="r" b="b"/>
                            <a:pathLst>
                              <a:path w="352425" h="252729">
                                <a:moveTo>
                                  <a:pt x="352424" y="0"/>
                                </a:moveTo>
                                <a:lnTo>
                                  <a:pt x="0" y="0"/>
                                </a:lnTo>
                                <a:lnTo>
                                  <a:pt x="0" y="252729"/>
                                </a:lnTo>
                                <a:lnTo>
                                  <a:pt x="352424" y="252729"/>
                                </a:lnTo>
                                <a:lnTo>
                                  <a:pt x="352424" y="0"/>
                                </a:lnTo>
                                <a:close/>
                              </a:path>
                            </a:pathLst>
                          </a:custGeom>
                          <a:solidFill>
                            <a:srgbClr val="FFFFFF"/>
                          </a:solidFill>
                        </wps:spPr>
                        <wps:bodyPr wrap="square" lIns="0" tIns="0" rIns="0" bIns="0" rtlCol="0">
                          <a:prstTxWarp prst="textNoShape">
                            <a:avLst/>
                          </a:prstTxWarp>
                          <a:noAutofit/>
                        </wps:bodyPr>
                      </wps:wsp>
                      <wps:wsp>
                        <wps:cNvPr id="50" name="Graphic 50"/>
                        <wps:cNvSpPr/>
                        <wps:spPr>
                          <a:xfrm>
                            <a:off x="92456" y="2371851"/>
                            <a:ext cx="352425" cy="252729"/>
                          </a:xfrm>
                          <a:custGeom>
                            <a:avLst/>
                            <a:gdLst/>
                            <a:ahLst/>
                            <a:cxnLst/>
                            <a:rect l="l" t="t" r="r" b="b"/>
                            <a:pathLst>
                              <a:path w="352425" h="252729">
                                <a:moveTo>
                                  <a:pt x="0" y="252729"/>
                                </a:moveTo>
                                <a:lnTo>
                                  <a:pt x="352424" y="252729"/>
                                </a:lnTo>
                                <a:lnTo>
                                  <a:pt x="352424" y="0"/>
                                </a:lnTo>
                                <a:lnTo>
                                  <a:pt x="0" y="0"/>
                                </a:lnTo>
                                <a:lnTo>
                                  <a:pt x="0" y="252729"/>
                                </a:lnTo>
                                <a:close/>
                              </a:path>
                            </a:pathLst>
                          </a:custGeom>
                          <a:ln w="9524">
                            <a:solidFill>
                              <a:srgbClr val="000000"/>
                            </a:solidFill>
                            <a:prstDash val="solid"/>
                          </a:ln>
                        </wps:spPr>
                        <wps:bodyPr wrap="square" lIns="0" tIns="0" rIns="0" bIns="0" rtlCol="0">
                          <a:prstTxWarp prst="textNoShape">
                            <a:avLst/>
                          </a:prstTxWarp>
                          <a:noAutofit/>
                        </wps:bodyPr>
                      </wps:wsp>
                      <wps:wsp>
                        <wps:cNvPr id="51" name="Graphic 51"/>
                        <wps:cNvSpPr/>
                        <wps:spPr>
                          <a:xfrm>
                            <a:off x="102615" y="4696586"/>
                            <a:ext cx="352425" cy="290830"/>
                          </a:xfrm>
                          <a:custGeom>
                            <a:avLst/>
                            <a:gdLst/>
                            <a:ahLst/>
                            <a:cxnLst/>
                            <a:rect l="l" t="t" r="r" b="b"/>
                            <a:pathLst>
                              <a:path w="352425" h="290830">
                                <a:moveTo>
                                  <a:pt x="352425" y="0"/>
                                </a:moveTo>
                                <a:lnTo>
                                  <a:pt x="0" y="0"/>
                                </a:lnTo>
                                <a:lnTo>
                                  <a:pt x="0" y="290829"/>
                                </a:lnTo>
                                <a:lnTo>
                                  <a:pt x="352425" y="290829"/>
                                </a:lnTo>
                                <a:lnTo>
                                  <a:pt x="352425" y="0"/>
                                </a:lnTo>
                                <a:close/>
                              </a:path>
                            </a:pathLst>
                          </a:custGeom>
                          <a:solidFill>
                            <a:srgbClr val="FFFFFF"/>
                          </a:solidFill>
                        </wps:spPr>
                        <wps:bodyPr wrap="square" lIns="0" tIns="0" rIns="0" bIns="0" rtlCol="0">
                          <a:prstTxWarp prst="textNoShape">
                            <a:avLst/>
                          </a:prstTxWarp>
                          <a:noAutofit/>
                        </wps:bodyPr>
                      </wps:wsp>
                      <wps:wsp>
                        <wps:cNvPr id="52" name="Graphic 52"/>
                        <wps:cNvSpPr/>
                        <wps:spPr>
                          <a:xfrm>
                            <a:off x="102615" y="4696586"/>
                            <a:ext cx="352425" cy="290830"/>
                          </a:xfrm>
                          <a:custGeom>
                            <a:avLst/>
                            <a:gdLst/>
                            <a:ahLst/>
                            <a:cxnLst/>
                            <a:rect l="l" t="t" r="r" b="b"/>
                            <a:pathLst>
                              <a:path w="352425" h="290830">
                                <a:moveTo>
                                  <a:pt x="0" y="290829"/>
                                </a:moveTo>
                                <a:lnTo>
                                  <a:pt x="352425" y="290829"/>
                                </a:lnTo>
                                <a:lnTo>
                                  <a:pt x="352425" y="0"/>
                                </a:lnTo>
                                <a:lnTo>
                                  <a:pt x="0" y="0"/>
                                </a:lnTo>
                                <a:lnTo>
                                  <a:pt x="0" y="290829"/>
                                </a:lnTo>
                                <a:close/>
                              </a:path>
                            </a:pathLst>
                          </a:custGeom>
                          <a:ln w="9525">
                            <a:solidFill>
                              <a:srgbClr val="000000"/>
                            </a:solidFill>
                            <a:prstDash val="solid"/>
                          </a:ln>
                        </wps:spPr>
                        <wps:bodyPr wrap="square" lIns="0" tIns="0" rIns="0" bIns="0" rtlCol="0">
                          <a:prstTxWarp prst="textNoShape">
                            <a:avLst/>
                          </a:prstTxWarp>
                          <a:noAutofit/>
                        </wps:bodyPr>
                      </wps:wsp>
                      <wps:wsp>
                        <wps:cNvPr id="53" name="Graphic 53"/>
                        <wps:cNvSpPr/>
                        <wps:spPr>
                          <a:xfrm>
                            <a:off x="2687701" y="4704841"/>
                            <a:ext cx="352425" cy="252729"/>
                          </a:xfrm>
                          <a:custGeom>
                            <a:avLst/>
                            <a:gdLst/>
                            <a:ahLst/>
                            <a:cxnLst/>
                            <a:rect l="l" t="t" r="r" b="b"/>
                            <a:pathLst>
                              <a:path w="352425" h="252729">
                                <a:moveTo>
                                  <a:pt x="352425" y="0"/>
                                </a:moveTo>
                                <a:lnTo>
                                  <a:pt x="0" y="0"/>
                                </a:lnTo>
                                <a:lnTo>
                                  <a:pt x="0" y="252729"/>
                                </a:lnTo>
                                <a:lnTo>
                                  <a:pt x="352425" y="252729"/>
                                </a:lnTo>
                                <a:lnTo>
                                  <a:pt x="352425" y="0"/>
                                </a:lnTo>
                                <a:close/>
                              </a:path>
                            </a:pathLst>
                          </a:custGeom>
                          <a:solidFill>
                            <a:srgbClr val="FFFFFF"/>
                          </a:solidFill>
                        </wps:spPr>
                        <wps:bodyPr wrap="square" lIns="0" tIns="0" rIns="0" bIns="0" rtlCol="0">
                          <a:prstTxWarp prst="textNoShape">
                            <a:avLst/>
                          </a:prstTxWarp>
                          <a:noAutofit/>
                        </wps:bodyPr>
                      </wps:wsp>
                      <wps:wsp>
                        <wps:cNvPr id="54" name="Graphic 54"/>
                        <wps:cNvSpPr/>
                        <wps:spPr>
                          <a:xfrm>
                            <a:off x="2687701" y="4704841"/>
                            <a:ext cx="352425" cy="252729"/>
                          </a:xfrm>
                          <a:custGeom>
                            <a:avLst/>
                            <a:gdLst/>
                            <a:ahLst/>
                            <a:cxnLst/>
                            <a:rect l="l" t="t" r="r" b="b"/>
                            <a:pathLst>
                              <a:path w="352425" h="252729">
                                <a:moveTo>
                                  <a:pt x="0" y="252729"/>
                                </a:moveTo>
                                <a:lnTo>
                                  <a:pt x="352425" y="252729"/>
                                </a:lnTo>
                                <a:lnTo>
                                  <a:pt x="352425" y="0"/>
                                </a:lnTo>
                                <a:lnTo>
                                  <a:pt x="0" y="0"/>
                                </a:lnTo>
                                <a:lnTo>
                                  <a:pt x="0" y="252729"/>
                                </a:lnTo>
                                <a:close/>
                              </a:path>
                            </a:pathLst>
                          </a:custGeom>
                          <a:ln w="9525">
                            <a:solidFill>
                              <a:srgbClr val="000000"/>
                            </a:solidFill>
                            <a:prstDash val="solid"/>
                          </a:ln>
                        </wps:spPr>
                        <wps:bodyPr wrap="square" lIns="0" tIns="0" rIns="0" bIns="0" rtlCol="0">
                          <a:prstTxWarp prst="textNoShape">
                            <a:avLst/>
                          </a:prstTxWarp>
                          <a:noAutofit/>
                        </wps:bodyPr>
                      </wps:wsp>
                      <pic:pic>
                        <pic:nvPicPr>
                          <pic:cNvPr id="55" name="Image 55" descr="C:\Users\muhammad.yahaya\AppData\Local\Microsoft\Windows\Temporary Internet Files\Content.Word\HH 147.jpg"/>
                          <pic:cNvPicPr/>
                        </pic:nvPicPr>
                        <pic:blipFill>
                          <a:blip r:embed="rId27" cstate="print"/>
                          <a:stretch>
                            <a:fillRect/>
                          </a:stretch>
                        </pic:blipFill>
                        <pic:spPr>
                          <a:xfrm>
                            <a:off x="2621660" y="2401061"/>
                            <a:ext cx="2394565" cy="1948179"/>
                          </a:xfrm>
                          <a:prstGeom prst="rect">
                            <a:avLst/>
                          </a:prstGeom>
                        </pic:spPr>
                      </pic:pic>
                      <pic:pic>
                        <pic:nvPicPr>
                          <pic:cNvPr id="56" name="Image 56" descr="C:\Users\muhammad.yahaya\AppData\Local\Microsoft\Windows\Temporary Internet Files\Content.Word\HH 60.jpg"/>
                          <pic:cNvPicPr/>
                        </pic:nvPicPr>
                        <pic:blipFill>
                          <a:blip r:embed="rId28" cstate="print"/>
                          <a:stretch>
                            <a:fillRect/>
                          </a:stretch>
                        </pic:blipFill>
                        <pic:spPr>
                          <a:xfrm>
                            <a:off x="94360" y="24129"/>
                            <a:ext cx="2399116" cy="1993900"/>
                          </a:xfrm>
                          <a:prstGeom prst="rect">
                            <a:avLst/>
                          </a:prstGeom>
                        </pic:spPr>
                      </pic:pic>
                      <wps:wsp>
                        <wps:cNvPr id="57" name="Graphic 57"/>
                        <wps:cNvSpPr/>
                        <wps:spPr>
                          <a:xfrm>
                            <a:off x="235965" y="12064"/>
                            <a:ext cx="352425" cy="276225"/>
                          </a:xfrm>
                          <a:custGeom>
                            <a:avLst/>
                            <a:gdLst/>
                            <a:ahLst/>
                            <a:cxnLst/>
                            <a:rect l="l" t="t" r="r" b="b"/>
                            <a:pathLst>
                              <a:path w="352425" h="276225">
                                <a:moveTo>
                                  <a:pt x="352425" y="0"/>
                                </a:moveTo>
                                <a:lnTo>
                                  <a:pt x="0" y="0"/>
                                </a:lnTo>
                                <a:lnTo>
                                  <a:pt x="0" y="276225"/>
                                </a:lnTo>
                                <a:lnTo>
                                  <a:pt x="352425" y="276225"/>
                                </a:lnTo>
                                <a:lnTo>
                                  <a:pt x="352425" y="0"/>
                                </a:lnTo>
                                <a:close/>
                              </a:path>
                            </a:pathLst>
                          </a:custGeom>
                          <a:solidFill>
                            <a:srgbClr val="FFFFFF"/>
                          </a:solidFill>
                        </wps:spPr>
                        <wps:bodyPr wrap="square" lIns="0" tIns="0" rIns="0" bIns="0" rtlCol="0">
                          <a:prstTxWarp prst="textNoShape">
                            <a:avLst/>
                          </a:prstTxWarp>
                          <a:noAutofit/>
                        </wps:bodyPr>
                      </wps:wsp>
                      <wps:wsp>
                        <wps:cNvPr id="58" name="Graphic 58"/>
                        <wps:cNvSpPr/>
                        <wps:spPr>
                          <a:xfrm>
                            <a:off x="235965" y="12064"/>
                            <a:ext cx="352425" cy="276225"/>
                          </a:xfrm>
                          <a:custGeom>
                            <a:avLst/>
                            <a:gdLst/>
                            <a:ahLst/>
                            <a:cxnLst/>
                            <a:rect l="l" t="t" r="r" b="b"/>
                            <a:pathLst>
                              <a:path w="352425" h="276225">
                                <a:moveTo>
                                  <a:pt x="0" y="276225"/>
                                </a:moveTo>
                                <a:lnTo>
                                  <a:pt x="352425" y="276225"/>
                                </a:lnTo>
                                <a:lnTo>
                                  <a:pt x="352425" y="0"/>
                                </a:lnTo>
                                <a:lnTo>
                                  <a:pt x="0" y="0"/>
                                </a:lnTo>
                                <a:lnTo>
                                  <a:pt x="0" y="276225"/>
                                </a:lnTo>
                                <a:close/>
                              </a:path>
                            </a:pathLst>
                          </a:custGeom>
                          <a:ln w="9525">
                            <a:solidFill>
                              <a:srgbClr val="000000"/>
                            </a:solidFill>
                            <a:prstDash val="solid"/>
                          </a:ln>
                        </wps:spPr>
                        <wps:bodyPr wrap="square" lIns="0" tIns="0" rIns="0" bIns="0" rtlCol="0">
                          <a:prstTxWarp prst="textNoShape">
                            <a:avLst/>
                          </a:prstTxWarp>
                          <a:noAutofit/>
                        </wps:bodyPr>
                      </wps:wsp>
                      <pic:pic>
                        <pic:nvPicPr>
                          <pic:cNvPr id="59" name="Image 59" descr="C:\Users\muhammad.yahaya\AppData\Local\Microsoft\Windows\Temporary Internet Files\Content.Word\HH 73.jpg"/>
                          <pic:cNvPicPr/>
                        </pic:nvPicPr>
                        <pic:blipFill>
                          <a:blip r:embed="rId29" cstate="print"/>
                          <a:stretch>
                            <a:fillRect/>
                          </a:stretch>
                        </pic:blipFill>
                        <pic:spPr>
                          <a:xfrm>
                            <a:off x="2598166" y="51616"/>
                            <a:ext cx="2543555" cy="1925682"/>
                          </a:xfrm>
                          <a:prstGeom prst="rect">
                            <a:avLst/>
                          </a:prstGeom>
                        </pic:spPr>
                      </pic:pic>
                      <wps:wsp>
                        <wps:cNvPr id="60" name="Graphic 60"/>
                        <wps:cNvSpPr/>
                        <wps:spPr>
                          <a:xfrm>
                            <a:off x="2597530" y="41909"/>
                            <a:ext cx="352425" cy="252729"/>
                          </a:xfrm>
                          <a:custGeom>
                            <a:avLst/>
                            <a:gdLst/>
                            <a:ahLst/>
                            <a:cxnLst/>
                            <a:rect l="l" t="t" r="r" b="b"/>
                            <a:pathLst>
                              <a:path w="352425" h="252729">
                                <a:moveTo>
                                  <a:pt x="352425" y="0"/>
                                </a:moveTo>
                                <a:lnTo>
                                  <a:pt x="0" y="0"/>
                                </a:lnTo>
                                <a:lnTo>
                                  <a:pt x="0" y="252729"/>
                                </a:lnTo>
                                <a:lnTo>
                                  <a:pt x="352425" y="252729"/>
                                </a:lnTo>
                                <a:lnTo>
                                  <a:pt x="352425" y="0"/>
                                </a:lnTo>
                                <a:close/>
                              </a:path>
                            </a:pathLst>
                          </a:custGeom>
                          <a:solidFill>
                            <a:srgbClr val="FFFFFF"/>
                          </a:solidFill>
                        </wps:spPr>
                        <wps:bodyPr wrap="square" lIns="0" tIns="0" rIns="0" bIns="0" rtlCol="0">
                          <a:prstTxWarp prst="textNoShape">
                            <a:avLst/>
                          </a:prstTxWarp>
                          <a:noAutofit/>
                        </wps:bodyPr>
                      </wps:wsp>
                      <wps:wsp>
                        <wps:cNvPr id="61" name="Graphic 61"/>
                        <wps:cNvSpPr/>
                        <wps:spPr>
                          <a:xfrm>
                            <a:off x="2597530" y="41909"/>
                            <a:ext cx="352425" cy="252729"/>
                          </a:xfrm>
                          <a:custGeom>
                            <a:avLst/>
                            <a:gdLst/>
                            <a:ahLst/>
                            <a:cxnLst/>
                            <a:rect l="l" t="t" r="r" b="b"/>
                            <a:pathLst>
                              <a:path w="352425" h="252729">
                                <a:moveTo>
                                  <a:pt x="0" y="252729"/>
                                </a:moveTo>
                                <a:lnTo>
                                  <a:pt x="352425" y="252729"/>
                                </a:lnTo>
                                <a:lnTo>
                                  <a:pt x="352425" y="0"/>
                                </a:lnTo>
                                <a:lnTo>
                                  <a:pt x="0" y="0"/>
                                </a:lnTo>
                                <a:lnTo>
                                  <a:pt x="0" y="252729"/>
                                </a:lnTo>
                                <a:close/>
                              </a:path>
                            </a:pathLst>
                          </a:custGeom>
                          <a:ln w="9525">
                            <a:solidFill>
                              <a:srgbClr val="000000"/>
                            </a:solidFill>
                            <a:prstDash val="solid"/>
                          </a:ln>
                        </wps:spPr>
                        <wps:bodyPr wrap="square" lIns="0" tIns="0" rIns="0" bIns="0" rtlCol="0">
                          <a:prstTxWarp prst="textNoShape">
                            <a:avLst/>
                          </a:prstTxWarp>
                          <a:noAutofit/>
                        </wps:bodyPr>
                      </wps:wsp>
                      <wps:wsp>
                        <wps:cNvPr id="62" name="Textbox 62"/>
                        <wps:cNvSpPr txBox="1"/>
                        <wps:spPr>
                          <a:xfrm>
                            <a:off x="2692463" y="4697603"/>
                            <a:ext cx="342900" cy="270510"/>
                          </a:xfrm>
                          <a:prstGeom prst="rect">
                            <a:avLst/>
                          </a:prstGeom>
                        </wps:spPr>
                        <wps:txbx>
                          <w:txbxContent>
                            <w:p>
                              <w:pPr>
                                <w:spacing w:before="90"/>
                                <w:ind w:left="145" w:right="0" w:firstLine="0"/>
                                <w:jc w:val="left"/>
                                <w:rPr>
                                  <w:rFonts w:ascii="Calibri"/>
                                  <w:sz w:val="22"/>
                                </w:rPr>
                              </w:pPr>
                              <w:r>
                                <w:rPr>
                                  <w:rFonts w:ascii="Calibri"/>
                                  <w:spacing w:val="-5"/>
                                  <w:sz w:val="22"/>
                                </w:rPr>
                                <w:t>(j)</w:t>
                              </w:r>
                            </w:p>
                          </w:txbxContent>
                        </wps:txbx>
                        <wps:bodyPr wrap="square" lIns="0" tIns="0" rIns="0" bIns="0" rtlCol="0">
                          <a:noAutofit/>
                        </wps:bodyPr>
                      </wps:wsp>
                      <wps:wsp>
                        <wps:cNvPr id="63" name="Textbox 63"/>
                        <wps:cNvSpPr txBox="1"/>
                        <wps:spPr>
                          <a:xfrm>
                            <a:off x="77723" y="4697603"/>
                            <a:ext cx="367665" cy="270510"/>
                          </a:xfrm>
                          <a:prstGeom prst="rect">
                            <a:avLst/>
                          </a:prstGeom>
                        </wps:spPr>
                        <wps:txbx>
                          <w:txbxContent>
                            <w:p>
                              <w:pPr>
                                <w:spacing w:before="78"/>
                                <w:ind w:left="189" w:right="0" w:firstLine="0"/>
                                <w:jc w:val="left"/>
                                <w:rPr>
                                  <w:rFonts w:ascii="Calibri"/>
                                  <w:sz w:val="22"/>
                                </w:rPr>
                              </w:pPr>
                              <w:r>
                                <w:rPr>
                                  <w:rFonts w:ascii="Calibri"/>
                                  <w:spacing w:val="-5"/>
                                  <w:sz w:val="22"/>
                                </w:rPr>
                                <w:t>(i)</w:t>
                              </w:r>
                            </w:p>
                          </w:txbxContent>
                        </wps:txbx>
                        <wps:bodyPr wrap="square" lIns="0" tIns="0" rIns="0" bIns="0" rtlCol="0">
                          <a:noAutofit/>
                        </wps:bodyPr>
                      </wps:wsp>
                      <wps:wsp>
                        <wps:cNvPr id="64" name="Textbox 64"/>
                        <wps:cNvSpPr txBox="1"/>
                        <wps:spPr>
                          <a:xfrm>
                            <a:off x="77723" y="2374169"/>
                            <a:ext cx="367665" cy="245745"/>
                          </a:xfrm>
                          <a:prstGeom prst="rect">
                            <a:avLst/>
                          </a:prstGeom>
                        </wps:spPr>
                        <wps:txbx>
                          <w:txbxContent>
                            <w:p>
                              <w:pPr>
                                <w:spacing w:before="74"/>
                                <w:ind w:left="175" w:right="0" w:firstLine="0"/>
                                <w:jc w:val="left"/>
                                <w:rPr>
                                  <w:rFonts w:ascii="Calibri"/>
                                  <w:sz w:val="22"/>
                                </w:rPr>
                              </w:pPr>
                              <w:r>
                                <w:rPr>
                                  <w:rFonts w:ascii="Calibri"/>
                                  <w:spacing w:val="-5"/>
                                  <w:sz w:val="22"/>
                                </w:rPr>
                                <w:t>(g)</w:t>
                              </w:r>
                            </w:p>
                          </w:txbxContent>
                        </wps:txbx>
                        <wps:bodyPr wrap="square" lIns="0" tIns="0" rIns="0" bIns="0" rtlCol="0">
                          <a:noAutofit/>
                        </wps:bodyPr>
                      </wps:wsp>
                      <wps:wsp>
                        <wps:cNvPr id="65" name="Textbox 65"/>
                        <wps:cNvSpPr txBox="1"/>
                        <wps:spPr>
                          <a:xfrm>
                            <a:off x="2597530" y="9144"/>
                            <a:ext cx="347980" cy="278130"/>
                          </a:xfrm>
                          <a:prstGeom prst="rect">
                            <a:avLst/>
                          </a:prstGeom>
                        </wps:spPr>
                        <wps:txbx>
                          <w:txbxContent>
                            <w:p>
                              <w:pPr>
                                <w:spacing w:before="131"/>
                                <w:ind w:left="153" w:right="0" w:firstLine="0"/>
                                <w:jc w:val="left"/>
                                <w:rPr>
                                  <w:rFonts w:ascii="Calibri"/>
                                  <w:sz w:val="22"/>
                                </w:rPr>
                              </w:pPr>
                              <w:r>
                                <w:rPr>
                                  <w:rFonts w:ascii="Calibri"/>
                                  <w:spacing w:val="-5"/>
                                  <w:sz w:val="22"/>
                                </w:rPr>
                                <w:t>(f)</w:t>
                              </w:r>
                            </w:p>
                          </w:txbxContent>
                        </wps:txbx>
                        <wps:bodyPr wrap="square" lIns="0" tIns="0" rIns="0" bIns="0" rtlCol="0">
                          <a:noAutofit/>
                        </wps:bodyPr>
                      </wps:wsp>
                      <wps:wsp>
                        <wps:cNvPr id="66" name="Textbox 66"/>
                        <wps:cNvSpPr txBox="1"/>
                        <wps:spPr>
                          <a:xfrm>
                            <a:off x="240728" y="9144"/>
                            <a:ext cx="342900" cy="278130"/>
                          </a:xfrm>
                          <a:prstGeom prst="rect">
                            <a:avLst/>
                          </a:prstGeom>
                        </wps:spPr>
                        <wps:txbx>
                          <w:txbxContent>
                            <w:p>
                              <w:pPr>
                                <w:spacing w:before="83"/>
                                <w:ind w:left="144" w:right="0" w:firstLine="0"/>
                                <w:jc w:val="left"/>
                                <w:rPr>
                                  <w:rFonts w:ascii="Calibri"/>
                                  <w:sz w:val="22"/>
                                </w:rPr>
                              </w:pPr>
                              <w:r>
                                <w:rPr>
                                  <w:rFonts w:ascii="Calibri"/>
                                  <w:spacing w:val="-5"/>
                                  <w:sz w:val="22"/>
                                </w:rPr>
                                <w:t>(e)</w:t>
                              </w:r>
                            </w:p>
                          </w:txbxContent>
                        </wps:txbx>
                        <wps:bodyPr wrap="square" lIns="0" tIns="0" rIns="0" bIns="0" rtlCol="0">
                          <a:noAutofit/>
                        </wps:bodyPr>
                      </wps:wsp>
                      <wps:wsp>
                        <wps:cNvPr id="67" name="Textbox 67"/>
                        <wps:cNvSpPr txBox="1"/>
                        <wps:spPr>
                          <a:xfrm>
                            <a:off x="2716910" y="2425826"/>
                            <a:ext cx="409575" cy="304800"/>
                          </a:xfrm>
                          <a:prstGeom prst="rect">
                            <a:avLst/>
                          </a:prstGeom>
                          <a:solidFill>
                            <a:srgbClr val="FFFFFF"/>
                          </a:solidFill>
                          <a:ln w="9525">
                            <a:solidFill>
                              <a:srgbClr val="000000"/>
                            </a:solidFill>
                            <a:prstDash val="solid"/>
                          </a:ln>
                        </wps:spPr>
                        <wps:txbx>
                          <w:txbxContent>
                            <w:p>
                              <w:pPr>
                                <w:spacing w:before="72"/>
                                <w:ind w:left="145" w:right="0" w:firstLine="0"/>
                                <w:jc w:val="left"/>
                                <w:rPr>
                                  <w:rFonts w:ascii="Calibri"/>
                                  <w:color w:val="000000"/>
                                  <w:sz w:val="22"/>
                                </w:rPr>
                              </w:pPr>
                              <w:r>
                                <w:rPr>
                                  <w:rFonts w:ascii="Calibri"/>
                                  <w:color w:val="000000"/>
                                  <w:spacing w:val="-5"/>
                                  <w:sz w:val="22"/>
                                </w:rPr>
                                <w:t>(h)</w:t>
                              </w:r>
                            </w:p>
                          </w:txbxContent>
                        </wps:txbx>
                        <wps:bodyPr wrap="square" lIns="0" tIns="0" rIns="0" bIns="0" rtlCol="0">
                          <a:noAutofit/>
                        </wps:bodyPr>
                      </wps:wsp>
                    </wpg:wgp>
                  </a:graphicData>
                </a:graphic>
              </wp:inline>
            </w:drawing>
          </mc:Choice>
          <mc:Fallback>
            <w:pict>
              <v:group style="width:411.1pt;height:551.75pt;mso-position-horizontal-relative:char;mso-position-vertical-relative:line" id="docshapegroup36" coordorigin="0,0" coordsize="8222,11035">
                <v:shape style="position:absolute;left:0;top:0;width:8222;height:11035" id="docshape37" coordorigin="0,0" coordsize="8222,11035" path="m10,10l0,10,0,11025,10,11025,10,10xm122,7398l113,7398,113,11015,122,11015,122,7398xm122,19l113,19,113,3725,122,3725,122,19xm4091,11015l4081,11015,122,11015,113,11015,113,11025,122,11025,4081,11025,4091,11025,4091,11015xm4091,7398l4081,7398,4081,11015,4091,11015,4091,7398xm4091,3725l4081,3725,4081,3735,4081,7388,122,7388,122,3735,4081,3735,4081,3725,122,3725,113,3725,113,3735,113,7388,113,7398,122,7398,4081,7398,4091,7398,4091,7388,4091,3735,4091,3725xm4091,19l4081,19,4081,3725,4091,3725,4091,19xm8099,11015l4091,11015,4091,11025,8099,11025,8099,11015xm8099,7388l4091,7388,4091,7398,8099,7398,8099,7388xm8099,3725l4091,3725,4091,3735,8099,3735,8099,3725xm8109,11015l8099,11015,8099,11025,8109,11025,8109,11015xm8109,7398l8099,7398,8099,11015,8109,11015,8109,7398xm8109,3725l8099,3725,8099,3735,8099,7388,8099,7398,8109,7398,8109,7388,8109,3735,8109,3725xm8109,19l8099,19,8099,3725,8109,3725,8109,19xm8212,11025l10,11025,0,11025,0,11034,10,11034,8212,11034,8212,11025xm8212,0l10,0,0,0,0,10,10,10,113,10,113,19,122,19,4081,19,4091,19,4091,10,4091,10,4091,19,8099,19,8099,10,8099,10,8099,19,8109,19,8109,10,8212,10,8212,0xm8222,11025l8212,11025,8212,11034,8222,11034,8222,11025xm8222,10l8212,10,8212,11025,8222,11025,8222,10xm8222,0l8212,0,8212,10,8222,10,8222,0xe" filled="true" fillcolor="#000000" stroked="false">
                  <v:path arrowok="t"/>
                  <v:fill type="solid"/>
                </v:shape>
                <v:shape style="position:absolute;left:176;top:3758;width:3762;height:2822" type="#_x0000_t75" id="docshape38" alt="C:\Users\muhammad.yahaya\AppData\Local\Microsoft\Windows\Temporary Internet Files\Content.Word\HH 77.jpg" stroked="false">
                  <v:imagedata r:id="rId24" o:title=""/>
                </v:shape>
                <v:shape style="position:absolute;left:194;top:7445;width:3875;height:2969" type="#_x0000_t75" id="docshape39" alt="C:\Users\muhammad.yahaya\AppData\Local\Microsoft\Windows\Temporary Internet Files\Content.Word\HH 27.jpg" stroked="false">
                  <v:imagedata r:id="rId25" o:title=""/>
                </v:shape>
                <v:shape style="position:absolute;left:4379;top:7648;width:3381;height:2526" type="#_x0000_t75" id="docshape40" alt="C:\Users\muhammad.yahaya\AppData\Local\Microsoft\Windows\Temporary Internet Files\Content.Word\HH 38.jpg" stroked="false">
                  <v:imagedata r:id="rId26" o:title=""/>
                </v:shape>
                <v:rect style="position:absolute;left:145;top:3735;width:555;height:398" id="docshape41" filled="true" fillcolor="#ffffff" stroked="false">
                  <v:fill type="solid"/>
                </v:rect>
                <v:rect style="position:absolute;left:145;top:3735;width:555;height:398" id="docshape42" filled="false" stroked="true" strokeweight=".75pt" strokecolor="#000000">
                  <v:stroke dashstyle="solid"/>
                </v:rect>
                <v:rect style="position:absolute;left:161;top:7396;width:555;height:458" id="docshape43" filled="true" fillcolor="#ffffff" stroked="false">
                  <v:fill type="solid"/>
                </v:rect>
                <v:rect style="position:absolute;left:161;top:7396;width:555;height:458" id="docshape44" filled="false" stroked="true" strokeweight=".75pt" strokecolor="#000000">
                  <v:stroke dashstyle="solid"/>
                </v:rect>
                <v:rect style="position:absolute;left:4232;top:7409;width:555;height:398" id="docshape45" filled="true" fillcolor="#ffffff" stroked="false">
                  <v:fill type="solid"/>
                </v:rect>
                <v:rect style="position:absolute;left:4232;top:7409;width:555;height:398" id="docshape46" filled="false" stroked="true" strokeweight=".75pt" strokecolor="#000000">
                  <v:stroke dashstyle="solid"/>
                </v:rect>
                <v:shape style="position:absolute;left:4128;top:3781;width:3771;height:3068" type="#_x0000_t75" id="docshape47" alt="C:\Users\muhammad.yahaya\AppData\Local\Microsoft\Windows\Temporary Internet Files\Content.Word\HH 147.jpg" stroked="false">
                  <v:imagedata r:id="rId27" o:title=""/>
                </v:shape>
                <v:shape style="position:absolute;left:148;top:38;width:3779;height:3140" type="#_x0000_t75" id="docshape48" alt="C:\Users\muhammad.yahaya\AppData\Local\Microsoft\Windows\Temporary Internet Files\Content.Word\HH 60.jpg" stroked="false">
                  <v:imagedata r:id="rId28" o:title=""/>
                </v:shape>
                <v:rect style="position:absolute;left:371;top:19;width:555;height:435" id="docshape49" filled="true" fillcolor="#ffffff" stroked="false">
                  <v:fill type="solid"/>
                </v:rect>
                <v:rect style="position:absolute;left:371;top:19;width:555;height:435" id="docshape50" filled="false" stroked="true" strokeweight=".75pt" strokecolor="#000000">
                  <v:stroke dashstyle="solid"/>
                </v:rect>
                <v:shape style="position:absolute;left:4091;top:81;width:4006;height:3033" type="#_x0000_t75" id="docshape51" alt="C:\Users\muhammad.yahaya\AppData\Local\Microsoft\Windows\Temporary Internet Files\Content.Word\HH 73.jpg" stroked="false">
                  <v:imagedata r:id="rId29" o:title=""/>
                </v:shape>
                <v:rect style="position:absolute;left:4090;top:66;width:555;height:398" id="docshape52" filled="true" fillcolor="#ffffff" stroked="false">
                  <v:fill type="solid"/>
                </v:rect>
                <v:rect style="position:absolute;left:4090;top:66;width:555;height:398" id="docshape53" filled="false" stroked="true" strokeweight=".75pt" strokecolor="#000000">
                  <v:stroke dashstyle="solid"/>
                </v:rect>
                <v:shape style="position:absolute;left:4240;top:7397;width:540;height:426" type="#_x0000_t202" id="docshape54" filled="false" stroked="false">
                  <v:textbox inset="0,0,0,0">
                    <w:txbxContent>
                      <w:p>
                        <w:pPr>
                          <w:spacing w:before="90"/>
                          <w:ind w:left="145" w:right="0" w:firstLine="0"/>
                          <w:jc w:val="left"/>
                          <w:rPr>
                            <w:rFonts w:ascii="Calibri"/>
                            <w:sz w:val="22"/>
                          </w:rPr>
                        </w:pPr>
                        <w:r>
                          <w:rPr>
                            <w:rFonts w:ascii="Calibri"/>
                            <w:spacing w:val="-5"/>
                            <w:sz w:val="22"/>
                          </w:rPr>
                          <w:t>(j)</w:t>
                        </w:r>
                      </w:p>
                    </w:txbxContent>
                  </v:textbox>
                  <w10:wrap type="none"/>
                </v:shape>
                <v:shape style="position:absolute;left:122;top:7397;width:579;height:426" type="#_x0000_t202" id="docshape55" filled="false" stroked="false">
                  <v:textbox inset="0,0,0,0">
                    <w:txbxContent>
                      <w:p>
                        <w:pPr>
                          <w:spacing w:before="78"/>
                          <w:ind w:left="189" w:right="0" w:firstLine="0"/>
                          <w:jc w:val="left"/>
                          <w:rPr>
                            <w:rFonts w:ascii="Calibri"/>
                            <w:sz w:val="22"/>
                          </w:rPr>
                        </w:pPr>
                        <w:r>
                          <w:rPr>
                            <w:rFonts w:ascii="Calibri"/>
                            <w:spacing w:val="-5"/>
                            <w:sz w:val="22"/>
                          </w:rPr>
                          <w:t>(i)</w:t>
                        </w:r>
                      </w:p>
                    </w:txbxContent>
                  </v:textbox>
                  <w10:wrap type="none"/>
                </v:shape>
                <v:shape style="position:absolute;left:122;top:3738;width:579;height:387" type="#_x0000_t202" id="docshape56" filled="false" stroked="false">
                  <v:textbox inset="0,0,0,0">
                    <w:txbxContent>
                      <w:p>
                        <w:pPr>
                          <w:spacing w:before="74"/>
                          <w:ind w:left="175" w:right="0" w:firstLine="0"/>
                          <w:jc w:val="left"/>
                          <w:rPr>
                            <w:rFonts w:ascii="Calibri"/>
                            <w:sz w:val="22"/>
                          </w:rPr>
                        </w:pPr>
                        <w:r>
                          <w:rPr>
                            <w:rFonts w:ascii="Calibri"/>
                            <w:spacing w:val="-5"/>
                            <w:sz w:val="22"/>
                          </w:rPr>
                          <w:t>(g)</w:t>
                        </w:r>
                      </w:p>
                    </w:txbxContent>
                  </v:textbox>
                  <w10:wrap type="none"/>
                </v:shape>
                <v:shape style="position:absolute;left:4090;top:14;width:548;height:438" type="#_x0000_t202" id="docshape57" filled="false" stroked="false">
                  <v:textbox inset="0,0,0,0">
                    <w:txbxContent>
                      <w:p>
                        <w:pPr>
                          <w:spacing w:before="131"/>
                          <w:ind w:left="153" w:right="0" w:firstLine="0"/>
                          <w:jc w:val="left"/>
                          <w:rPr>
                            <w:rFonts w:ascii="Calibri"/>
                            <w:sz w:val="22"/>
                          </w:rPr>
                        </w:pPr>
                        <w:r>
                          <w:rPr>
                            <w:rFonts w:ascii="Calibri"/>
                            <w:spacing w:val="-5"/>
                            <w:sz w:val="22"/>
                          </w:rPr>
                          <w:t>(f)</w:t>
                        </w:r>
                      </w:p>
                    </w:txbxContent>
                  </v:textbox>
                  <w10:wrap type="none"/>
                </v:shape>
                <v:shape style="position:absolute;left:379;top:14;width:540;height:438" type="#_x0000_t202" id="docshape58" filled="false" stroked="false">
                  <v:textbox inset="0,0,0,0">
                    <w:txbxContent>
                      <w:p>
                        <w:pPr>
                          <w:spacing w:before="83"/>
                          <w:ind w:left="144" w:right="0" w:firstLine="0"/>
                          <w:jc w:val="left"/>
                          <w:rPr>
                            <w:rFonts w:ascii="Calibri"/>
                            <w:sz w:val="22"/>
                          </w:rPr>
                        </w:pPr>
                        <w:r>
                          <w:rPr>
                            <w:rFonts w:ascii="Calibri"/>
                            <w:spacing w:val="-5"/>
                            <w:sz w:val="22"/>
                          </w:rPr>
                          <w:t>(e)</w:t>
                        </w:r>
                      </w:p>
                    </w:txbxContent>
                  </v:textbox>
                  <w10:wrap type="none"/>
                </v:shape>
                <v:shape style="position:absolute;left:4278;top:3820;width:645;height:480" type="#_x0000_t202" id="docshape59" filled="true" fillcolor="#ffffff" stroked="true" strokeweight=".75pt" strokecolor="#000000">
                  <v:textbox inset="0,0,0,0">
                    <w:txbxContent>
                      <w:p>
                        <w:pPr>
                          <w:spacing w:before="72"/>
                          <w:ind w:left="145" w:right="0" w:firstLine="0"/>
                          <w:jc w:val="left"/>
                          <w:rPr>
                            <w:rFonts w:ascii="Calibri"/>
                            <w:color w:val="000000"/>
                            <w:sz w:val="22"/>
                          </w:rPr>
                        </w:pPr>
                        <w:r>
                          <w:rPr>
                            <w:rFonts w:ascii="Calibri"/>
                            <w:color w:val="000000"/>
                            <w:spacing w:val="-5"/>
                            <w:sz w:val="22"/>
                          </w:rPr>
                          <w:t>(h)</w:t>
                        </w:r>
                      </w:p>
                    </w:txbxContent>
                  </v:textbox>
                  <v:fill type="solid"/>
                  <v:stroke dashstyle="solid"/>
                  <w10:wrap type="none"/>
                </v:shape>
              </v:group>
            </w:pict>
          </mc:Fallback>
        </mc:AlternateContent>
      </w:r>
      <w:r>
        <w:rPr>
          <w:rFonts w:ascii="Calibri"/>
          <w:sz w:val="20"/>
        </w:rPr>
      </w:r>
    </w:p>
    <w:p>
      <w:pPr>
        <w:spacing w:after="0"/>
        <w:rPr>
          <w:rFonts w:ascii="Calibri"/>
          <w:sz w:val="20"/>
        </w:rPr>
        <w:sectPr>
          <w:pgSz w:w="11910" w:h="16840"/>
          <w:pgMar w:header="0" w:footer="1012" w:top="1680" w:bottom="1200" w:left="1680" w:right="1240"/>
        </w:sectPr>
      </w:pPr>
    </w:p>
    <w:tbl>
      <w:tblPr>
        <w:tblW w:w="0" w:type="auto"/>
        <w:jc w:val="left"/>
        <w:tblInd w:w="5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3"/>
        <w:gridCol w:w="3968"/>
        <w:gridCol w:w="4018"/>
        <w:gridCol w:w="113"/>
      </w:tblGrid>
      <w:tr>
        <w:trPr>
          <w:trHeight w:val="3667" w:hRule="atLeast"/>
        </w:trPr>
        <w:tc>
          <w:tcPr>
            <w:tcW w:w="113" w:type="dxa"/>
            <w:tcBorders>
              <w:bottom w:val="nil"/>
            </w:tcBorders>
          </w:tcPr>
          <w:p>
            <w:pPr>
              <w:pStyle w:val="TableParagraph"/>
              <w:spacing w:line="240" w:lineRule="auto"/>
              <w:rPr>
                <w:rFonts w:ascii="Times New Roman"/>
                <w:sz w:val="22"/>
              </w:rPr>
            </w:pPr>
          </w:p>
        </w:tc>
        <w:tc>
          <w:tcPr>
            <w:tcW w:w="3968" w:type="dxa"/>
            <w:tcBorders>
              <w:top w:val="single" w:sz="8" w:space="0" w:color="000000"/>
            </w:tcBorders>
          </w:tcPr>
          <w:p>
            <w:pPr>
              <w:pStyle w:val="TableParagraph"/>
              <w:spacing w:line="240" w:lineRule="auto" w:before="131"/>
              <w:ind w:left="314"/>
              <w:rPr>
                <w:sz w:val="22"/>
              </w:rPr>
            </w:pPr>
            <w:r>
              <w:rPr/>
              <mc:AlternateContent>
                <mc:Choice Requires="wps">
                  <w:drawing>
                    <wp:anchor distT="0" distB="0" distL="0" distR="0" allowOverlap="1" layoutInCell="1" locked="0" behindDoc="1" simplePos="0" relativeHeight="486994944">
                      <wp:simplePos x="0" y="0"/>
                      <wp:positionH relativeFrom="column">
                        <wp:posOffset>3175</wp:posOffset>
                      </wp:positionH>
                      <wp:positionV relativeFrom="paragraph">
                        <wp:posOffset>27795</wp:posOffset>
                      </wp:positionV>
                      <wp:extent cx="2418080" cy="2066925"/>
                      <wp:effectExtent l="0" t="0" r="0" b="0"/>
                      <wp:wrapNone/>
                      <wp:docPr id="68" name="Group 68"/>
                      <wp:cNvGraphicFramePr>
                        <a:graphicFrameLocks/>
                      </wp:cNvGraphicFramePr>
                      <a:graphic>
                        <a:graphicData uri="http://schemas.microsoft.com/office/word/2010/wordprocessingGroup">
                          <wpg:wgp>
                            <wpg:cNvPr id="68" name="Group 68"/>
                            <wpg:cNvGrpSpPr/>
                            <wpg:grpSpPr>
                              <a:xfrm>
                                <a:off x="0" y="0"/>
                                <a:ext cx="2418080" cy="2066925"/>
                                <a:chExt cx="2418080" cy="2066925"/>
                              </a:xfrm>
                            </wpg:grpSpPr>
                            <pic:pic>
                              <pic:nvPicPr>
                                <pic:cNvPr id="69" name="Image 69" descr="C:\Users\muhammad.yahaya\AppData\Local\Microsoft\Windows\Temporary Internet Files\Content.Word\HH 50.jpg"/>
                                <pic:cNvPicPr/>
                              </pic:nvPicPr>
                              <pic:blipFill>
                                <a:blip r:embed="rId30" cstate="print"/>
                                <a:stretch>
                                  <a:fillRect/>
                                </a:stretch>
                              </pic:blipFill>
                              <pic:spPr>
                                <a:xfrm>
                                  <a:off x="0" y="356111"/>
                                  <a:ext cx="2417688" cy="1710496"/>
                                </a:xfrm>
                                <a:prstGeom prst="rect">
                                  <a:avLst/>
                                </a:prstGeom>
                              </pic:spPr>
                            </pic:pic>
                            <wps:wsp>
                              <wps:cNvPr id="70" name="Graphic 70"/>
                              <wps:cNvSpPr/>
                              <wps:spPr>
                                <a:xfrm>
                                  <a:off x="100330" y="4762"/>
                                  <a:ext cx="428625" cy="314325"/>
                                </a:xfrm>
                                <a:custGeom>
                                  <a:avLst/>
                                  <a:gdLst/>
                                  <a:ahLst/>
                                  <a:cxnLst/>
                                  <a:rect l="l" t="t" r="r" b="b"/>
                                  <a:pathLst>
                                    <a:path w="428625" h="314325">
                                      <a:moveTo>
                                        <a:pt x="0" y="314325"/>
                                      </a:moveTo>
                                      <a:lnTo>
                                        <a:pt x="428624" y="314325"/>
                                      </a:lnTo>
                                      <a:lnTo>
                                        <a:pt x="428624" y="0"/>
                                      </a:lnTo>
                                      <a:lnTo>
                                        <a:pt x="0" y="0"/>
                                      </a:lnTo>
                                      <a:lnTo>
                                        <a:pt x="0" y="314325"/>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5pt;margin-top:2.188630pt;width:190.4pt;height:162.75pt;mso-position-horizontal-relative:column;mso-position-vertical-relative:paragraph;z-index:-16321536" id="docshapegroup60" coordorigin="5,44" coordsize="3808,3255">
                      <v:shape style="position:absolute;left:5;top:604;width:3808;height:2694" type="#_x0000_t75" id="docshape61" alt="C:\Users\muhammad.yahaya\AppData\Local\Microsoft\Windows\Temporary Internet Files\Content.Word\HH 50.jpg" stroked="false">
                        <v:imagedata r:id="rId30" o:title=""/>
                      </v:shape>
                      <v:rect style="position:absolute;left:163;top:51;width:675;height:495" id="docshape62" filled="false" stroked="true" strokeweight=".75pt" strokecolor="#000000">
                        <v:stroke dashstyle="solid"/>
                      </v:rect>
                      <w10:wrap type="none"/>
                    </v:group>
                  </w:pict>
                </mc:Fallback>
              </mc:AlternateContent>
            </w:r>
            <w:r>
              <w:rPr>
                <w:spacing w:val="-5"/>
                <w:sz w:val="22"/>
              </w:rPr>
              <w:t>(k)</w:t>
            </w:r>
          </w:p>
        </w:tc>
        <w:tc>
          <w:tcPr>
            <w:tcW w:w="4018" w:type="dxa"/>
            <w:tcBorders>
              <w:top w:val="single" w:sz="8" w:space="0" w:color="000000"/>
            </w:tcBorders>
          </w:tcPr>
          <w:p>
            <w:pPr>
              <w:pStyle w:val="TableParagraph"/>
              <w:spacing w:line="240" w:lineRule="auto" w:before="167"/>
              <w:ind w:left="314"/>
              <w:rPr>
                <w:sz w:val="22"/>
              </w:rPr>
            </w:pPr>
            <w:r>
              <w:rPr/>
              <mc:AlternateContent>
                <mc:Choice Requires="wps">
                  <w:drawing>
                    <wp:anchor distT="0" distB="0" distL="0" distR="0" allowOverlap="1" layoutInCell="1" locked="0" behindDoc="1" simplePos="0" relativeHeight="486994432">
                      <wp:simplePos x="0" y="0"/>
                      <wp:positionH relativeFrom="column">
                        <wp:posOffset>95508</wp:posOffset>
                      </wp:positionH>
                      <wp:positionV relativeFrom="paragraph">
                        <wp:posOffset>51925</wp:posOffset>
                      </wp:positionV>
                      <wp:extent cx="2369185" cy="1935480"/>
                      <wp:effectExtent l="0" t="0" r="0" b="0"/>
                      <wp:wrapNone/>
                      <wp:docPr id="71" name="Group 71"/>
                      <wp:cNvGraphicFramePr>
                        <a:graphicFrameLocks/>
                      </wp:cNvGraphicFramePr>
                      <a:graphic>
                        <a:graphicData uri="http://schemas.microsoft.com/office/word/2010/wordprocessingGroup">
                          <wpg:wgp>
                            <wpg:cNvPr id="71" name="Group 71"/>
                            <wpg:cNvGrpSpPr/>
                            <wpg:grpSpPr>
                              <a:xfrm>
                                <a:off x="0" y="0"/>
                                <a:ext cx="2369185" cy="1935480"/>
                                <a:chExt cx="2369185" cy="1935480"/>
                              </a:xfrm>
                            </wpg:grpSpPr>
                            <pic:pic>
                              <pic:nvPicPr>
                                <pic:cNvPr id="72" name="Image 72" descr="C:\Users\muhammad.yahaya\AppData\Local\Microsoft\Windows\Temporary Internet Files\Content.Word\HH 51.jpg"/>
                                <pic:cNvPicPr/>
                              </pic:nvPicPr>
                              <pic:blipFill>
                                <a:blip r:embed="rId31" cstate="print"/>
                                <a:stretch>
                                  <a:fillRect/>
                                </a:stretch>
                              </pic:blipFill>
                              <pic:spPr>
                                <a:xfrm>
                                  <a:off x="0" y="201815"/>
                                  <a:ext cx="2369088" cy="1733347"/>
                                </a:xfrm>
                                <a:prstGeom prst="rect">
                                  <a:avLst/>
                                </a:prstGeom>
                              </pic:spPr>
                            </pic:pic>
                            <wps:wsp>
                              <wps:cNvPr id="73" name="Graphic 73"/>
                              <wps:cNvSpPr/>
                              <wps:spPr>
                                <a:xfrm>
                                  <a:off x="7234" y="4762"/>
                                  <a:ext cx="352425" cy="252729"/>
                                </a:xfrm>
                                <a:custGeom>
                                  <a:avLst/>
                                  <a:gdLst/>
                                  <a:ahLst/>
                                  <a:cxnLst/>
                                  <a:rect l="l" t="t" r="r" b="b"/>
                                  <a:pathLst>
                                    <a:path w="352425" h="252729">
                                      <a:moveTo>
                                        <a:pt x="0" y="252729"/>
                                      </a:moveTo>
                                      <a:lnTo>
                                        <a:pt x="352425" y="252729"/>
                                      </a:lnTo>
                                      <a:lnTo>
                                        <a:pt x="352425" y="0"/>
                                      </a:lnTo>
                                      <a:lnTo>
                                        <a:pt x="0" y="0"/>
                                      </a:lnTo>
                                      <a:lnTo>
                                        <a:pt x="0" y="252729"/>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7.520335pt;margin-top:4.088643pt;width:186.55pt;height:152.4pt;mso-position-horizontal-relative:column;mso-position-vertical-relative:paragraph;z-index:-16322048" id="docshapegroup63" coordorigin="150,82" coordsize="3731,3048">
                      <v:shape style="position:absolute;left:150;top:399;width:3731;height:2730" type="#_x0000_t75" id="docshape64" alt="C:\Users\muhammad.yahaya\AppData\Local\Microsoft\Windows\Temporary Internet Files\Content.Word\HH 51.jpg" stroked="false">
                        <v:imagedata r:id="rId31" o:title=""/>
                      </v:shape>
                      <v:rect style="position:absolute;left:161;top:89;width:555;height:398" id="docshape65" filled="false" stroked="true" strokeweight=".75pt" strokecolor="#000000">
                        <v:stroke dashstyle="solid"/>
                      </v:rect>
                      <w10:wrap type="none"/>
                    </v:group>
                  </w:pict>
                </mc:Fallback>
              </mc:AlternateContent>
            </w:r>
            <w:r>
              <w:rPr>
                <w:spacing w:val="-5"/>
                <w:sz w:val="22"/>
              </w:rPr>
              <w:t>(l)</w:t>
            </w:r>
          </w:p>
        </w:tc>
        <w:tc>
          <w:tcPr>
            <w:tcW w:w="113" w:type="dxa"/>
            <w:tcBorders>
              <w:bottom w:val="nil"/>
            </w:tcBorders>
          </w:tcPr>
          <w:p>
            <w:pPr>
              <w:pStyle w:val="TableParagraph"/>
              <w:spacing w:line="240" w:lineRule="auto"/>
              <w:rPr>
                <w:rFonts w:ascii="Times New Roman"/>
                <w:sz w:val="22"/>
              </w:rPr>
            </w:pPr>
          </w:p>
        </w:tc>
      </w:tr>
      <w:tr>
        <w:trPr>
          <w:trHeight w:val="4312" w:hRule="atLeast"/>
        </w:trPr>
        <w:tc>
          <w:tcPr>
            <w:tcW w:w="8212" w:type="dxa"/>
            <w:gridSpan w:val="4"/>
          </w:tcPr>
          <w:p>
            <w:pPr>
              <w:pStyle w:val="TableParagraph"/>
              <w:spacing w:line="240" w:lineRule="auto"/>
              <w:ind w:left="107" w:right="91"/>
              <w:jc w:val="both"/>
              <w:rPr>
                <w:sz w:val="22"/>
              </w:rPr>
            </w:pPr>
            <w:r>
              <w:rPr>
                <w:b/>
                <w:sz w:val="22"/>
              </w:rPr>
              <w:t>Fig.</w:t>
            </w:r>
            <w:r>
              <w:rPr>
                <w:b/>
                <w:spacing w:val="-10"/>
                <w:sz w:val="22"/>
              </w:rPr>
              <w:t> </w:t>
            </w:r>
            <w:r>
              <w:rPr>
                <w:b/>
                <w:sz w:val="22"/>
              </w:rPr>
              <w:t>11.</w:t>
            </w:r>
            <w:r>
              <w:rPr>
                <w:b/>
                <w:spacing w:val="-6"/>
                <w:sz w:val="22"/>
              </w:rPr>
              <w:t> </w:t>
            </w:r>
            <w:r>
              <w:rPr>
                <w:sz w:val="22"/>
              </w:rPr>
              <w:t>Cooking</w:t>
            </w:r>
            <w:r>
              <w:rPr>
                <w:spacing w:val="-7"/>
                <w:sz w:val="22"/>
              </w:rPr>
              <w:t> </w:t>
            </w:r>
            <w:r>
              <w:rPr>
                <w:sz w:val="22"/>
              </w:rPr>
              <w:t>period</w:t>
            </w:r>
            <w:r>
              <w:rPr>
                <w:spacing w:val="-10"/>
                <w:sz w:val="22"/>
              </w:rPr>
              <w:t> </w:t>
            </w:r>
            <w:r>
              <w:rPr>
                <w:sz w:val="22"/>
              </w:rPr>
              <w:t>in</w:t>
            </w:r>
            <w:r>
              <w:rPr>
                <w:spacing w:val="-10"/>
                <w:sz w:val="22"/>
              </w:rPr>
              <w:t> </w:t>
            </w:r>
            <w:r>
              <w:rPr>
                <w:sz w:val="22"/>
              </w:rPr>
              <w:t>minutes</w:t>
            </w:r>
            <w:r>
              <w:rPr>
                <w:spacing w:val="-9"/>
                <w:sz w:val="22"/>
              </w:rPr>
              <w:t> </w:t>
            </w:r>
            <w:r>
              <w:rPr>
                <w:sz w:val="22"/>
              </w:rPr>
              <w:t>and</w:t>
            </w:r>
            <w:r>
              <w:rPr>
                <w:spacing w:val="-7"/>
                <w:sz w:val="22"/>
              </w:rPr>
              <w:t> </w:t>
            </w:r>
            <w:r>
              <w:rPr>
                <w:sz w:val="22"/>
              </w:rPr>
              <w:t>levels</w:t>
            </w:r>
            <w:r>
              <w:rPr>
                <w:spacing w:val="-9"/>
                <w:sz w:val="22"/>
              </w:rPr>
              <w:t> </w:t>
            </w:r>
            <w:r>
              <w:rPr>
                <w:sz w:val="22"/>
              </w:rPr>
              <w:t>of</w:t>
            </w:r>
            <w:r>
              <w:rPr>
                <w:spacing w:val="-9"/>
                <w:sz w:val="22"/>
              </w:rPr>
              <w:t> </w:t>
            </w:r>
            <w:r>
              <w:rPr>
                <w:sz w:val="22"/>
              </w:rPr>
              <w:t>CO</w:t>
            </w:r>
            <w:r>
              <w:rPr>
                <w:spacing w:val="-9"/>
                <w:sz w:val="22"/>
              </w:rPr>
              <w:t> </w:t>
            </w:r>
            <w:r>
              <w:rPr>
                <w:sz w:val="22"/>
              </w:rPr>
              <w:t>(ppm)</w:t>
            </w:r>
            <w:r>
              <w:rPr>
                <w:spacing w:val="-9"/>
                <w:sz w:val="22"/>
              </w:rPr>
              <w:t> </w:t>
            </w:r>
            <w:r>
              <w:rPr>
                <w:sz w:val="22"/>
              </w:rPr>
              <w:t>measured</w:t>
            </w:r>
            <w:r>
              <w:rPr>
                <w:spacing w:val="-7"/>
                <w:sz w:val="22"/>
              </w:rPr>
              <w:t> </w:t>
            </w:r>
            <w:r>
              <w:rPr>
                <w:sz w:val="22"/>
              </w:rPr>
              <w:t>during</w:t>
            </w:r>
            <w:r>
              <w:rPr>
                <w:spacing w:val="-10"/>
                <w:sz w:val="22"/>
              </w:rPr>
              <w:t> </w:t>
            </w:r>
            <w:r>
              <w:rPr>
                <w:sz w:val="22"/>
              </w:rPr>
              <w:t>cooking</w:t>
            </w:r>
            <w:r>
              <w:rPr>
                <w:spacing w:val="-3"/>
                <w:sz w:val="22"/>
              </w:rPr>
              <w:t> </w:t>
            </w:r>
            <w:r>
              <w:rPr>
                <w:sz w:val="22"/>
              </w:rPr>
              <w:t>in</w:t>
            </w:r>
            <w:r>
              <w:rPr>
                <w:spacing w:val="-8"/>
                <w:sz w:val="22"/>
              </w:rPr>
              <w:t> </w:t>
            </w:r>
            <w:r>
              <w:rPr>
                <w:sz w:val="22"/>
              </w:rPr>
              <w:t>four different ward (a) 5-hour period in Bole 3 HH2 (b) over a 3-hour period in Bole 3 HH3 (c) over a 1-hour period in Bole 3 HH4 (d)6-hour period in Docochi HH5 (e) 2-hour period in Docochi HH6 (f) over a</w:t>
            </w:r>
            <w:r>
              <w:rPr>
                <w:spacing w:val="-1"/>
                <w:sz w:val="22"/>
              </w:rPr>
              <w:t> </w:t>
            </w:r>
            <w:r>
              <w:rPr>
                <w:sz w:val="22"/>
              </w:rPr>
              <w:t>7-hour period in Docochi HH19 (g)over a</w:t>
            </w:r>
            <w:r>
              <w:rPr>
                <w:spacing w:val="-1"/>
                <w:sz w:val="22"/>
              </w:rPr>
              <w:t> </w:t>
            </w:r>
            <w:r>
              <w:rPr>
                <w:sz w:val="22"/>
              </w:rPr>
              <w:t>5-hour period in Docochi HH23 (h) over a 3-hour CO exposure in Bantaji HH18 (i) 2-hour period in Lakare HH2 (j) over a</w:t>
            </w:r>
            <w:r>
              <w:rPr>
                <w:spacing w:val="-1"/>
                <w:sz w:val="22"/>
              </w:rPr>
              <w:t> </w:t>
            </w:r>
            <w:r>
              <w:rPr>
                <w:sz w:val="22"/>
              </w:rPr>
              <w:t>4-hour period in Lakare HH 13 (k)</w:t>
            </w:r>
            <w:r>
              <w:rPr>
                <w:spacing w:val="-1"/>
                <w:sz w:val="22"/>
              </w:rPr>
              <w:t> </w:t>
            </w:r>
            <w:r>
              <w:rPr>
                <w:sz w:val="22"/>
              </w:rPr>
              <w:t>over a</w:t>
            </w:r>
            <w:r>
              <w:rPr>
                <w:spacing w:val="-1"/>
                <w:sz w:val="22"/>
              </w:rPr>
              <w:t> </w:t>
            </w:r>
            <w:r>
              <w:rPr>
                <w:sz w:val="22"/>
              </w:rPr>
              <w:t>4-hour</w:t>
            </w:r>
            <w:r>
              <w:rPr>
                <w:spacing w:val="-1"/>
                <w:sz w:val="22"/>
              </w:rPr>
              <w:t> </w:t>
            </w:r>
            <w:r>
              <w:rPr>
                <w:sz w:val="22"/>
              </w:rPr>
              <w:t>period in Lakare HH25 (l) over a</w:t>
            </w:r>
            <w:r>
              <w:rPr>
                <w:spacing w:val="-1"/>
                <w:sz w:val="22"/>
              </w:rPr>
              <w:t> </w:t>
            </w:r>
            <w:r>
              <w:rPr>
                <w:sz w:val="22"/>
              </w:rPr>
              <w:t>2- hour period in Lakare HH26</w:t>
            </w:r>
          </w:p>
        </w:tc>
      </w:tr>
    </w:tbl>
    <w:p>
      <w:pPr>
        <w:spacing w:after="0" w:line="240" w:lineRule="auto"/>
        <w:jc w:val="both"/>
        <w:rPr>
          <w:sz w:val="22"/>
        </w:rPr>
        <w:sectPr>
          <w:pgSz w:w="11910" w:h="16840"/>
          <w:pgMar w:header="0" w:footer="1012" w:top="1660" w:bottom="1200" w:left="1680" w:right="1240"/>
        </w:sectPr>
      </w:pPr>
    </w:p>
    <w:p>
      <w:pPr>
        <w:pStyle w:val="Heading1"/>
        <w:spacing w:line="480" w:lineRule="auto"/>
        <w:ind w:right="5621"/>
      </w:pPr>
      <w:r>
        <w:rPr/>
        <w:t>CHAPTER 4 </w:t>
      </w:r>
      <w:r>
        <w:rPr>
          <w:spacing w:val="-2"/>
        </w:rPr>
        <w:t>DISCUSSION</w:t>
      </w:r>
    </w:p>
    <w:p>
      <w:pPr>
        <w:pStyle w:val="BodyText"/>
        <w:spacing w:line="480" w:lineRule="auto" w:before="1"/>
        <w:ind w:left="588" w:right="255"/>
      </w:pPr>
      <w:r>
        <w:rPr/>
        <w:t>This study showed that most of the households in the Bole community use wood at least twice a day. The heavy reliance on wood is due to poverty and the inadequate supply</w:t>
      </w:r>
      <w:r>
        <w:rPr>
          <w:spacing w:val="-2"/>
        </w:rPr>
        <w:t> </w:t>
      </w:r>
      <w:r>
        <w:rPr/>
        <w:t>of electricity. Thus, woman cannot afford an electric cooker or a gas cooker. Since</w:t>
      </w:r>
      <w:r>
        <w:rPr>
          <w:spacing w:val="-3"/>
        </w:rPr>
        <w:t> </w:t>
      </w:r>
      <w:r>
        <w:rPr/>
        <w:t>wood</w:t>
      </w:r>
      <w:r>
        <w:rPr>
          <w:spacing w:val="-1"/>
        </w:rPr>
        <w:t> </w:t>
      </w:r>
      <w:r>
        <w:rPr/>
        <w:t>is</w:t>
      </w:r>
      <w:r>
        <w:rPr>
          <w:spacing w:val="-1"/>
        </w:rPr>
        <w:t> </w:t>
      </w:r>
      <w:r>
        <w:rPr/>
        <w:t>the</w:t>
      </w:r>
      <w:r>
        <w:rPr>
          <w:spacing w:val="-1"/>
        </w:rPr>
        <w:t> </w:t>
      </w:r>
      <w:r>
        <w:rPr/>
        <w:t>people’s</w:t>
      </w:r>
      <w:r>
        <w:rPr>
          <w:spacing w:val="-1"/>
        </w:rPr>
        <w:t> </w:t>
      </w:r>
      <w:r>
        <w:rPr/>
        <w:t>major</w:t>
      </w:r>
      <w:r>
        <w:rPr>
          <w:spacing w:val="-1"/>
        </w:rPr>
        <w:t> </w:t>
      </w:r>
      <w:r>
        <w:rPr/>
        <w:t>source</w:t>
      </w:r>
      <w:r>
        <w:rPr>
          <w:spacing w:val="-2"/>
        </w:rPr>
        <w:t> </w:t>
      </w:r>
      <w:r>
        <w:rPr/>
        <w:t>of</w:t>
      </w:r>
      <w:r>
        <w:rPr>
          <w:spacing w:val="-1"/>
        </w:rPr>
        <w:t> </w:t>
      </w:r>
      <w:r>
        <w:rPr/>
        <w:t>fuel</w:t>
      </w:r>
      <w:r>
        <w:rPr>
          <w:spacing w:val="-1"/>
        </w:rPr>
        <w:t> </w:t>
      </w:r>
      <w:r>
        <w:rPr/>
        <w:t>for</w:t>
      </w:r>
      <w:r>
        <w:rPr>
          <w:spacing w:val="-1"/>
        </w:rPr>
        <w:t> </w:t>
      </w:r>
      <w:r>
        <w:rPr/>
        <w:t>cooking,</w:t>
      </w:r>
      <w:r>
        <w:rPr>
          <w:spacing w:val="-1"/>
        </w:rPr>
        <w:t> </w:t>
      </w:r>
      <w:r>
        <w:rPr/>
        <w:t>it</w:t>
      </w:r>
      <w:r>
        <w:rPr>
          <w:spacing w:val="-1"/>
        </w:rPr>
        <w:t> </w:t>
      </w:r>
      <w:r>
        <w:rPr/>
        <w:t>indicates</w:t>
      </w:r>
      <w:r>
        <w:rPr>
          <w:spacing w:val="-1"/>
        </w:rPr>
        <w:t> </w:t>
      </w:r>
      <w:r>
        <w:rPr/>
        <w:t>that there</w:t>
      </w:r>
      <w:r>
        <w:rPr>
          <w:spacing w:val="-2"/>
        </w:rPr>
        <w:t> </w:t>
      </w:r>
      <w:r>
        <w:rPr/>
        <w:t>is a high amount of deforestation in the area. A research done in Malawi reported that highly</w:t>
      </w:r>
      <w:r>
        <w:rPr>
          <w:spacing w:val="-8"/>
        </w:rPr>
        <w:t> </w:t>
      </w:r>
      <w:r>
        <w:rPr/>
        <w:t>inhalable</w:t>
      </w:r>
      <w:r>
        <w:rPr>
          <w:spacing w:val="-3"/>
        </w:rPr>
        <w:t> </w:t>
      </w:r>
      <w:r>
        <w:rPr/>
        <w:t>PM</w:t>
      </w:r>
      <w:r>
        <w:rPr>
          <w:spacing w:val="-3"/>
        </w:rPr>
        <w:t> </w:t>
      </w:r>
      <w:r>
        <w:rPr/>
        <w:t>was</w:t>
      </w:r>
      <w:r>
        <w:rPr>
          <w:spacing w:val="-1"/>
        </w:rPr>
        <w:t> </w:t>
      </w:r>
      <w:r>
        <w:rPr/>
        <w:t>common</w:t>
      </w:r>
      <w:r>
        <w:rPr>
          <w:spacing w:val="-3"/>
        </w:rPr>
        <w:t> </w:t>
      </w:r>
      <w:r>
        <w:rPr/>
        <w:t>in</w:t>
      </w:r>
      <w:r>
        <w:rPr>
          <w:spacing w:val="-1"/>
        </w:rPr>
        <w:t> </w:t>
      </w:r>
      <w:r>
        <w:rPr/>
        <w:t>poor</w:t>
      </w:r>
      <w:r>
        <w:rPr>
          <w:spacing w:val="-4"/>
        </w:rPr>
        <w:t> </w:t>
      </w:r>
      <w:r>
        <w:rPr/>
        <w:t>rural</w:t>
      </w:r>
      <w:r>
        <w:rPr>
          <w:spacing w:val="-3"/>
        </w:rPr>
        <w:t> </w:t>
      </w:r>
      <w:r>
        <w:rPr/>
        <w:t>households</w:t>
      </w:r>
      <w:r>
        <w:rPr>
          <w:spacing w:val="-3"/>
        </w:rPr>
        <w:t> </w:t>
      </w:r>
      <w:r>
        <w:rPr/>
        <w:t>because</w:t>
      </w:r>
      <w:r>
        <w:rPr>
          <w:spacing w:val="-4"/>
        </w:rPr>
        <w:t> </w:t>
      </w:r>
      <w:r>
        <w:rPr/>
        <w:t>of</w:t>
      </w:r>
      <w:r>
        <w:rPr>
          <w:spacing w:val="-3"/>
        </w:rPr>
        <w:t> </w:t>
      </w:r>
      <w:r>
        <w:rPr/>
        <w:t>extensive</w:t>
      </w:r>
      <w:r>
        <w:rPr>
          <w:spacing w:val="-4"/>
        </w:rPr>
        <w:t> </w:t>
      </w:r>
      <w:r>
        <w:rPr/>
        <w:t>use wood for cooking. CO concentration was, however, common among urban population who use charcoal and cook extensively indoors (Fullerton, Bruce, &amp; Gordon, 2008).</w:t>
      </w:r>
    </w:p>
    <w:p>
      <w:pPr>
        <w:pStyle w:val="BodyText"/>
      </w:pPr>
    </w:p>
    <w:p>
      <w:pPr>
        <w:pStyle w:val="BodyText"/>
        <w:spacing w:before="1"/>
      </w:pPr>
    </w:p>
    <w:p>
      <w:pPr>
        <w:pStyle w:val="BodyText"/>
        <w:spacing w:line="480" w:lineRule="auto"/>
        <w:ind w:left="588" w:right="257"/>
      </w:pPr>
      <w:r>
        <w:rPr/>
        <w:t>I also found out that women do most of the cooking in the households of the Bole community. This could be due to the patriarchal culture of the region, which gives women the role of cooking in developing world (Austin &amp; Mejia, 2017). Women who cook indoors in the Bole community are exposed to high levels of CO, which exceeded the safe daily limits of exposure for 15 minutes (maximum 81.1 ppm), 1 hour</w:t>
      </w:r>
      <w:r>
        <w:rPr>
          <w:spacing w:val="-4"/>
        </w:rPr>
        <w:t> </w:t>
      </w:r>
      <w:r>
        <w:rPr/>
        <w:t>(28.4</w:t>
      </w:r>
      <w:r>
        <w:rPr>
          <w:spacing w:val="-4"/>
        </w:rPr>
        <w:t> </w:t>
      </w:r>
      <w:r>
        <w:rPr/>
        <w:t>ppm),</w:t>
      </w:r>
      <w:r>
        <w:rPr>
          <w:spacing w:val="-3"/>
        </w:rPr>
        <w:t> </w:t>
      </w:r>
      <w:r>
        <w:rPr/>
        <w:t>8</w:t>
      </w:r>
      <w:r>
        <w:rPr>
          <w:spacing w:val="-3"/>
        </w:rPr>
        <w:t> </w:t>
      </w:r>
      <w:r>
        <w:rPr/>
        <w:t>hours</w:t>
      </w:r>
      <w:r>
        <w:rPr>
          <w:spacing w:val="-2"/>
        </w:rPr>
        <w:t> </w:t>
      </w:r>
      <w:r>
        <w:rPr/>
        <w:t>(8.11</w:t>
      </w:r>
      <w:r>
        <w:rPr>
          <w:spacing w:val="-3"/>
        </w:rPr>
        <w:t> </w:t>
      </w:r>
      <w:r>
        <w:rPr/>
        <w:t>ppm),</w:t>
      </w:r>
      <w:r>
        <w:rPr>
          <w:spacing w:val="-3"/>
        </w:rPr>
        <w:t> </w:t>
      </w:r>
      <w:r>
        <w:rPr/>
        <w:t>and</w:t>
      </w:r>
      <w:r>
        <w:rPr>
          <w:spacing w:val="-3"/>
        </w:rPr>
        <w:t> </w:t>
      </w:r>
      <w:r>
        <w:rPr/>
        <w:t>24</w:t>
      </w:r>
      <w:r>
        <w:rPr>
          <w:spacing w:val="-3"/>
        </w:rPr>
        <w:t> </w:t>
      </w:r>
      <w:r>
        <w:rPr/>
        <w:t>hours</w:t>
      </w:r>
      <w:r>
        <w:rPr>
          <w:spacing w:val="-3"/>
        </w:rPr>
        <w:t> </w:t>
      </w:r>
      <w:r>
        <w:rPr/>
        <w:t>(5.68</w:t>
      </w:r>
      <w:r>
        <w:rPr>
          <w:spacing w:val="-3"/>
        </w:rPr>
        <w:t> </w:t>
      </w:r>
      <w:r>
        <w:rPr/>
        <w:t>ppm),</w:t>
      </w:r>
      <w:r>
        <w:rPr>
          <w:spacing w:val="-3"/>
        </w:rPr>
        <w:t> </w:t>
      </w:r>
      <w:r>
        <w:rPr/>
        <w:t>respectively</w:t>
      </w:r>
      <w:r>
        <w:rPr>
          <w:spacing w:val="-4"/>
        </w:rPr>
        <w:t> </w:t>
      </w:r>
      <w:r>
        <w:rPr/>
        <w:t>(WHO, 2000). This is the same for all the households that were sampled, indicating that indoor pollution disproportionately affects women and female children as they are usually at the hearth of households during cooking.</w:t>
      </w:r>
    </w:p>
    <w:p>
      <w:pPr>
        <w:pStyle w:val="BodyText"/>
        <w:spacing w:before="274"/>
      </w:pPr>
    </w:p>
    <w:p>
      <w:pPr>
        <w:pStyle w:val="BodyText"/>
        <w:spacing w:line="480" w:lineRule="auto" w:before="1"/>
        <w:ind w:left="588"/>
      </w:pPr>
      <w:r>
        <w:rPr/>
        <w:t>This</w:t>
      </w:r>
      <w:r>
        <w:rPr>
          <w:spacing w:val="-3"/>
        </w:rPr>
        <w:t> </w:t>
      </w:r>
      <w:r>
        <w:rPr/>
        <w:t>was</w:t>
      </w:r>
      <w:r>
        <w:rPr>
          <w:spacing w:val="-3"/>
        </w:rPr>
        <w:t> </w:t>
      </w:r>
      <w:r>
        <w:rPr/>
        <w:t>not</w:t>
      </w:r>
      <w:r>
        <w:rPr>
          <w:spacing w:val="-3"/>
        </w:rPr>
        <w:t> </w:t>
      </w:r>
      <w:r>
        <w:rPr/>
        <w:t>an</w:t>
      </w:r>
      <w:r>
        <w:rPr>
          <w:spacing w:val="-3"/>
        </w:rPr>
        <w:t> </w:t>
      </w:r>
      <w:r>
        <w:rPr/>
        <w:t>unexpected</w:t>
      </w:r>
      <w:r>
        <w:rPr>
          <w:spacing w:val="-3"/>
        </w:rPr>
        <w:t> </w:t>
      </w:r>
      <w:r>
        <w:rPr/>
        <w:t>finding,</w:t>
      </w:r>
      <w:r>
        <w:rPr>
          <w:spacing w:val="-2"/>
        </w:rPr>
        <w:t> </w:t>
      </w:r>
      <w:r>
        <w:rPr/>
        <w:t>as</w:t>
      </w:r>
      <w:r>
        <w:rPr>
          <w:spacing w:val="-3"/>
        </w:rPr>
        <w:t> </w:t>
      </w:r>
      <w:r>
        <w:rPr/>
        <w:t>many</w:t>
      </w:r>
      <w:r>
        <w:rPr>
          <w:spacing w:val="-8"/>
        </w:rPr>
        <w:t> </w:t>
      </w:r>
      <w:r>
        <w:rPr/>
        <w:t>studies</w:t>
      </w:r>
      <w:r>
        <w:rPr>
          <w:spacing w:val="-1"/>
        </w:rPr>
        <w:t> </w:t>
      </w:r>
      <w:r>
        <w:rPr/>
        <w:t>from</w:t>
      </w:r>
      <w:r>
        <w:rPr>
          <w:spacing w:val="-3"/>
        </w:rPr>
        <w:t> </w:t>
      </w:r>
      <w:r>
        <w:rPr/>
        <w:t>other</w:t>
      </w:r>
      <w:r>
        <w:rPr>
          <w:spacing w:val="-3"/>
        </w:rPr>
        <w:t> </w:t>
      </w:r>
      <w:r>
        <w:rPr/>
        <w:t>developing</w:t>
      </w:r>
      <w:r>
        <w:rPr>
          <w:spacing w:val="-3"/>
        </w:rPr>
        <w:t> </w:t>
      </w:r>
      <w:r>
        <w:rPr/>
        <w:t>countries also agree that women and children bear the burden of indoor air pollution.</w:t>
      </w:r>
      <w:r>
        <w:rPr>
          <w:spacing w:val="40"/>
        </w:rPr>
        <w:t> </w:t>
      </w:r>
      <w:r>
        <w:rPr/>
        <w:t>For example, in India, 55.5% of children under the age of five always remain with their</w:t>
      </w:r>
    </w:p>
    <w:p>
      <w:pPr>
        <w:spacing w:after="0" w:line="480" w:lineRule="auto"/>
        <w:sectPr>
          <w:pgSz w:w="11910" w:h="16840"/>
          <w:pgMar w:header="0" w:footer="1012" w:top="1620" w:bottom="1200" w:left="1680" w:right="1240"/>
        </w:sectPr>
      </w:pPr>
    </w:p>
    <w:p>
      <w:pPr>
        <w:pStyle w:val="BodyText"/>
        <w:spacing w:line="480" w:lineRule="auto" w:before="62"/>
        <w:ind w:left="588" w:right="378"/>
        <w:jc w:val="both"/>
      </w:pPr>
      <w:r>
        <w:rPr/>
        <w:t>mothers during cooking period (Chakraborty, Mondal, &amp;</w:t>
      </w:r>
      <w:r>
        <w:rPr>
          <w:spacing w:val="-1"/>
        </w:rPr>
        <w:t> </w:t>
      </w:r>
      <w:r>
        <w:rPr/>
        <w:t>Datta, 2004). Same study also</w:t>
      </w:r>
      <w:r>
        <w:rPr>
          <w:spacing w:val="-3"/>
        </w:rPr>
        <w:t> </w:t>
      </w:r>
      <w:r>
        <w:rPr/>
        <w:t>reveals</w:t>
      </w:r>
      <w:r>
        <w:rPr>
          <w:spacing w:val="-2"/>
        </w:rPr>
        <w:t> </w:t>
      </w:r>
      <w:r>
        <w:rPr/>
        <w:t>that</w:t>
      </w:r>
      <w:r>
        <w:rPr>
          <w:spacing w:val="-3"/>
        </w:rPr>
        <w:t> </w:t>
      </w:r>
      <w:r>
        <w:rPr/>
        <w:t>women</w:t>
      </w:r>
      <w:r>
        <w:rPr>
          <w:spacing w:val="-1"/>
        </w:rPr>
        <w:t> </w:t>
      </w:r>
      <w:r>
        <w:rPr/>
        <w:t>are</w:t>
      </w:r>
      <w:r>
        <w:rPr>
          <w:spacing w:val="-5"/>
        </w:rPr>
        <w:t> </w:t>
      </w:r>
      <w:r>
        <w:rPr/>
        <w:t>highly</w:t>
      </w:r>
      <w:r>
        <w:rPr>
          <w:spacing w:val="-8"/>
        </w:rPr>
        <w:t> </w:t>
      </w:r>
      <w:r>
        <w:rPr/>
        <w:t>predominant</w:t>
      </w:r>
      <w:r>
        <w:rPr>
          <w:spacing w:val="-3"/>
        </w:rPr>
        <w:t> </w:t>
      </w:r>
      <w:r>
        <w:rPr/>
        <w:t>to</w:t>
      </w:r>
      <w:r>
        <w:rPr>
          <w:spacing w:val="-3"/>
        </w:rPr>
        <w:t> </w:t>
      </w:r>
      <w:r>
        <w:rPr/>
        <w:t>symptoms</w:t>
      </w:r>
      <w:r>
        <w:rPr>
          <w:spacing w:val="-3"/>
        </w:rPr>
        <w:t> </w:t>
      </w:r>
      <w:r>
        <w:rPr/>
        <w:t>such</w:t>
      </w:r>
      <w:r>
        <w:rPr>
          <w:spacing w:val="-3"/>
        </w:rPr>
        <w:t> </w:t>
      </w:r>
      <w:r>
        <w:rPr/>
        <w:t>as</w:t>
      </w:r>
      <w:r>
        <w:rPr>
          <w:spacing w:val="-3"/>
        </w:rPr>
        <w:t> </w:t>
      </w:r>
      <w:r>
        <w:rPr/>
        <w:t>eye</w:t>
      </w:r>
      <w:r>
        <w:rPr>
          <w:spacing w:val="-2"/>
        </w:rPr>
        <w:t> </w:t>
      </w:r>
      <w:r>
        <w:rPr/>
        <w:t>irritation, shortness of breath and dizziness.</w:t>
      </w:r>
    </w:p>
    <w:p>
      <w:pPr>
        <w:pStyle w:val="BodyText"/>
      </w:pPr>
    </w:p>
    <w:p>
      <w:pPr>
        <w:pStyle w:val="BodyText"/>
      </w:pPr>
    </w:p>
    <w:p>
      <w:pPr>
        <w:pStyle w:val="BodyText"/>
        <w:spacing w:line="480" w:lineRule="auto"/>
        <w:ind w:left="588" w:right="215"/>
      </w:pPr>
      <w:r>
        <w:rPr>
          <w:position w:val="2"/>
        </w:rPr>
        <w:t>Also, in China indoor exposure of PM</w:t>
      </w:r>
      <w:r>
        <w:rPr>
          <w:sz w:val="16"/>
        </w:rPr>
        <w:t>2.5 </w:t>
      </w:r>
      <w:r>
        <w:rPr>
          <w:position w:val="2"/>
        </w:rPr>
        <w:t>from burning of biomass had a correlation </w:t>
      </w:r>
      <w:r>
        <w:rPr/>
        <w:t>with</w:t>
      </w:r>
      <w:r>
        <w:rPr>
          <w:spacing w:val="-2"/>
        </w:rPr>
        <w:t> </w:t>
      </w:r>
      <w:r>
        <w:rPr/>
        <w:t>their</w:t>
      </w:r>
      <w:r>
        <w:rPr>
          <w:spacing w:val="-2"/>
        </w:rPr>
        <w:t> </w:t>
      </w:r>
      <w:r>
        <w:rPr/>
        <w:t>personal</w:t>
      </w:r>
      <w:r>
        <w:rPr>
          <w:spacing w:val="-2"/>
        </w:rPr>
        <w:t> </w:t>
      </w:r>
      <w:r>
        <w:rPr/>
        <w:t>exposure</w:t>
      </w:r>
      <w:r>
        <w:rPr>
          <w:spacing w:val="-3"/>
        </w:rPr>
        <w:t> </w:t>
      </w:r>
      <w:r>
        <w:rPr/>
        <w:t>(Baumgartner,</w:t>
      </w:r>
      <w:r>
        <w:rPr>
          <w:spacing w:val="-2"/>
        </w:rPr>
        <w:t> </w:t>
      </w:r>
      <w:r>
        <w:rPr/>
        <w:t>et al.,</w:t>
      </w:r>
      <w:r>
        <w:rPr>
          <w:spacing w:val="-2"/>
        </w:rPr>
        <w:t> </w:t>
      </w:r>
      <w:r>
        <w:rPr/>
        <w:t>2011).</w:t>
      </w:r>
      <w:r>
        <w:rPr>
          <w:spacing w:val="-2"/>
        </w:rPr>
        <w:t> </w:t>
      </w:r>
      <w:r>
        <w:rPr/>
        <w:t>Similarly,</w:t>
      </w:r>
      <w:r>
        <w:rPr>
          <w:spacing w:val="-2"/>
        </w:rPr>
        <w:t> </w:t>
      </w:r>
      <w:r>
        <w:rPr/>
        <w:t>women who</w:t>
      </w:r>
      <w:r>
        <w:rPr>
          <w:spacing w:val="-2"/>
        </w:rPr>
        <w:t> </w:t>
      </w:r>
      <w:r>
        <w:rPr/>
        <w:t>are closely</w:t>
      </w:r>
      <w:r>
        <w:rPr>
          <w:spacing w:val="-7"/>
        </w:rPr>
        <w:t> </w:t>
      </w:r>
      <w:r>
        <w:rPr/>
        <w:t>tending</w:t>
      </w:r>
      <w:r>
        <w:rPr>
          <w:spacing w:val="-5"/>
        </w:rPr>
        <w:t> </w:t>
      </w:r>
      <w:r>
        <w:rPr/>
        <w:t>to</w:t>
      </w:r>
      <w:r>
        <w:rPr>
          <w:spacing w:val="-2"/>
        </w:rPr>
        <w:t> </w:t>
      </w:r>
      <w:r>
        <w:rPr/>
        <w:t>fire</w:t>
      </w:r>
      <w:r>
        <w:rPr>
          <w:spacing w:val="-3"/>
        </w:rPr>
        <w:t> </w:t>
      </w:r>
      <w:r>
        <w:rPr/>
        <w:t>in rural</w:t>
      </w:r>
      <w:r>
        <w:rPr>
          <w:spacing w:val="40"/>
        </w:rPr>
        <w:t> </w:t>
      </w:r>
      <w:r>
        <w:rPr/>
        <w:t>Malawian</w:t>
      </w:r>
      <w:r>
        <w:rPr>
          <w:spacing w:val="-2"/>
        </w:rPr>
        <w:t> </w:t>
      </w:r>
      <w:r>
        <w:rPr/>
        <w:t>homes</w:t>
      </w:r>
      <w:r>
        <w:rPr>
          <w:spacing w:val="-2"/>
        </w:rPr>
        <w:t> </w:t>
      </w:r>
      <w:r>
        <w:rPr/>
        <w:t>have</w:t>
      </w:r>
      <w:r>
        <w:rPr>
          <w:spacing w:val="-3"/>
        </w:rPr>
        <w:t> </w:t>
      </w:r>
      <w:r>
        <w:rPr/>
        <w:t>exposure</w:t>
      </w:r>
      <w:r>
        <w:rPr>
          <w:spacing w:val="-4"/>
        </w:rPr>
        <w:t> </w:t>
      </w:r>
      <w:r>
        <w:rPr/>
        <w:t>to</w:t>
      </w:r>
      <w:r>
        <w:rPr>
          <w:spacing w:val="-2"/>
        </w:rPr>
        <w:t> </w:t>
      </w:r>
      <w:r>
        <w:rPr/>
        <w:t>CO</w:t>
      </w:r>
      <w:r>
        <w:rPr>
          <w:spacing w:val="-2"/>
        </w:rPr>
        <w:t> </w:t>
      </w:r>
      <w:r>
        <w:rPr/>
        <w:t>concentration that is greater than 300 ppm (Fullerton, et al., 2009), whilst</w:t>
      </w:r>
      <w:r>
        <w:rPr>
          <w:spacing w:val="40"/>
        </w:rPr>
        <w:t> </w:t>
      </w:r>
      <w:r>
        <w:rPr/>
        <w:t>about 10% of children under 5 years, who live in houses that burn biomass had acute respiratory infection within two weeks of study in Ilam district of</w:t>
      </w:r>
      <w:r>
        <w:rPr>
          <w:spacing w:val="40"/>
        </w:rPr>
        <w:t> </w:t>
      </w:r>
      <w:r>
        <w:rPr/>
        <w:t>Eastern</w:t>
      </w:r>
      <w:r>
        <w:rPr>
          <w:spacing w:val="40"/>
        </w:rPr>
        <w:t> </w:t>
      </w:r>
      <w:r>
        <w:rPr/>
        <w:t>Nepal (Dhimal, et al., 2016). Indoors cooking areas, or those in enclosed areas with thatched or zinc roofing, generally have less ventilation. Interestingly, households that can afford to build indoor kitchens are at a higher risk of being exposed to indoor air pollution. This is similar to the result of Fullerton et al. (2009), which showed that urban houses that have a built kitchen have very</w:t>
      </w:r>
      <w:r>
        <w:rPr>
          <w:spacing w:val="-2"/>
        </w:rPr>
        <w:t> </w:t>
      </w:r>
      <w:r>
        <w:rPr/>
        <w:t>high concentration of CO from the charcoal they</w:t>
      </w:r>
      <w:r>
        <w:rPr>
          <w:spacing w:val="-2"/>
        </w:rPr>
        <w:t> </w:t>
      </w:r>
      <w:r>
        <w:rPr/>
        <w:t>use for cooking.</w:t>
      </w:r>
    </w:p>
    <w:p>
      <w:pPr>
        <w:pStyle w:val="BodyText"/>
        <w:spacing w:before="273"/>
      </w:pPr>
    </w:p>
    <w:p>
      <w:pPr>
        <w:pStyle w:val="BodyText"/>
        <w:spacing w:line="480" w:lineRule="auto"/>
        <w:ind w:left="588" w:right="211"/>
      </w:pPr>
      <w:r>
        <w:rPr/>
        <w:t>Indoor</w:t>
      </w:r>
      <w:r>
        <w:rPr>
          <w:spacing w:val="-3"/>
        </w:rPr>
        <w:t> </w:t>
      </w:r>
      <w:r>
        <w:rPr/>
        <w:t>areas</w:t>
      </w:r>
      <w:r>
        <w:rPr>
          <w:spacing w:val="-3"/>
        </w:rPr>
        <w:t> </w:t>
      </w:r>
      <w:r>
        <w:rPr/>
        <w:t>have</w:t>
      </w:r>
      <w:r>
        <w:rPr>
          <w:spacing w:val="-4"/>
        </w:rPr>
        <w:t> </w:t>
      </w:r>
      <w:r>
        <w:rPr/>
        <w:t>higher</w:t>
      </w:r>
      <w:r>
        <w:rPr>
          <w:spacing w:val="-2"/>
        </w:rPr>
        <w:t> </w:t>
      </w:r>
      <w:r>
        <w:rPr/>
        <w:t>concentrations</w:t>
      </w:r>
      <w:r>
        <w:rPr>
          <w:spacing w:val="-3"/>
        </w:rPr>
        <w:t> </w:t>
      </w:r>
      <w:r>
        <w:rPr/>
        <w:t>of</w:t>
      </w:r>
      <w:r>
        <w:rPr>
          <w:spacing w:val="-3"/>
        </w:rPr>
        <w:t> </w:t>
      </w:r>
      <w:r>
        <w:rPr/>
        <w:t>CO</w:t>
      </w:r>
      <w:r>
        <w:rPr>
          <w:spacing w:val="-3"/>
        </w:rPr>
        <w:t> </w:t>
      </w:r>
      <w:r>
        <w:rPr/>
        <w:t>than</w:t>
      </w:r>
      <w:r>
        <w:rPr>
          <w:spacing w:val="-3"/>
        </w:rPr>
        <w:t> </w:t>
      </w:r>
      <w:r>
        <w:rPr/>
        <w:t>outdoor</w:t>
      </w:r>
      <w:r>
        <w:rPr>
          <w:spacing w:val="-4"/>
        </w:rPr>
        <w:t> </w:t>
      </w:r>
      <w:r>
        <w:rPr/>
        <w:t>areas</w:t>
      </w:r>
      <w:r>
        <w:rPr>
          <w:spacing w:val="-3"/>
        </w:rPr>
        <w:t> </w:t>
      </w:r>
      <w:r>
        <w:rPr/>
        <w:t>(Joon</w:t>
      </w:r>
      <w:r>
        <w:rPr>
          <w:spacing w:val="-3"/>
        </w:rPr>
        <w:t> </w:t>
      </w:r>
      <w:r>
        <w:rPr/>
        <w:t>et</w:t>
      </w:r>
      <w:r>
        <w:rPr>
          <w:spacing w:val="-3"/>
        </w:rPr>
        <w:t> </w:t>
      </w:r>
      <w:r>
        <w:rPr/>
        <w:t>al.,</w:t>
      </w:r>
      <w:r>
        <w:rPr>
          <w:spacing w:val="-3"/>
        </w:rPr>
        <w:t> </w:t>
      </w:r>
      <w:r>
        <w:rPr/>
        <w:t>2014). This is because unlike in enclosed areas, CO disperses easily in a well-ventilated area.</w:t>
      </w:r>
      <w:r>
        <w:rPr>
          <w:spacing w:val="-1"/>
        </w:rPr>
        <w:t> </w:t>
      </w:r>
      <w:r>
        <w:rPr/>
        <w:t>This</w:t>
      </w:r>
      <w:r>
        <w:rPr>
          <w:spacing w:val="-2"/>
        </w:rPr>
        <w:t> </w:t>
      </w:r>
      <w:r>
        <w:rPr/>
        <w:t>means</w:t>
      </w:r>
      <w:r>
        <w:rPr>
          <w:spacing w:val="-2"/>
        </w:rPr>
        <w:t> </w:t>
      </w:r>
      <w:r>
        <w:rPr/>
        <w:t>that</w:t>
      </w:r>
      <w:r>
        <w:rPr>
          <w:spacing w:val="-1"/>
        </w:rPr>
        <w:t> </w:t>
      </w:r>
      <w:r>
        <w:rPr/>
        <w:t>the</w:t>
      </w:r>
      <w:r>
        <w:rPr>
          <w:spacing w:val="-1"/>
        </w:rPr>
        <w:t> </w:t>
      </w:r>
      <w:r>
        <w:rPr/>
        <w:t>wealthier</w:t>
      </w:r>
      <w:r>
        <w:rPr>
          <w:spacing w:val="-3"/>
        </w:rPr>
        <w:t> </w:t>
      </w:r>
      <w:r>
        <w:rPr/>
        <w:t>households</w:t>
      </w:r>
      <w:r>
        <w:rPr>
          <w:spacing w:val="-2"/>
        </w:rPr>
        <w:t> </w:t>
      </w:r>
      <w:r>
        <w:rPr/>
        <w:t>in</w:t>
      </w:r>
      <w:r>
        <w:rPr>
          <w:spacing w:val="-1"/>
        </w:rPr>
        <w:t> </w:t>
      </w:r>
      <w:r>
        <w:rPr/>
        <w:t>rural</w:t>
      </w:r>
      <w:r>
        <w:rPr>
          <w:spacing w:val="-2"/>
        </w:rPr>
        <w:t> </w:t>
      </w:r>
      <w:r>
        <w:rPr/>
        <w:t>communities</w:t>
      </w:r>
      <w:r>
        <w:rPr>
          <w:spacing w:val="-2"/>
        </w:rPr>
        <w:t> </w:t>
      </w:r>
      <w:r>
        <w:rPr/>
        <w:t>that</w:t>
      </w:r>
      <w:r>
        <w:rPr>
          <w:spacing w:val="-1"/>
        </w:rPr>
        <w:t> </w:t>
      </w:r>
      <w:r>
        <w:rPr/>
        <w:t>can</w:t>
      </w:r>
      <w:r>
        <w:rPr>
          <w:spacing w:val="-2"/>
        </w:rPr>
        <w:t> </w:t>
      </w:r>
      <w:r>
        <w:rPr/>
        <w:t>afford</w:t>
      </w:r>
      <w:r>
        <w:rPr>
          <w:spacing w:val="-1"/>
        </w:rPr>
        <w:t> </w:t>
      </w:r>
      <w:r>
        <w:rPr/>
        <w:t>a kitchen are exposed to more air pollution from burning biomass.</w:t>
      </w:r>
    </w:p>
    <w:p>
      <w:pPr>
        <w:pStyle w:val="BodyText"/>
      </w:pPr>
    </w:p>
    <w:p>
      <w:pPr>
        <w:pStyle w:val="BodyText"/>
        <w:spacing w:before="1"/>
      </w:pPr>
    </w:p>
    <w:p>
      <w:pPr>
        <w:pStyle w:val="BodyText"/>
        <w:spacing w:line="480" w:lineRule="auto"/>
        <w:ind w:left="588" w:right="233"/>
        <w:jc w:val="both"/>
      </w:pPr>
      <w:r>
        <w:rPr/>
        <w:t>The</w:t>
      </w:r>
      <w:r>
        <w:rPr>
          <w:spacing w:val="-4"/>
        </w:rPr>
        <w:t> </w:t>
      </w:r>
      <w:r>
        <w:rPr/>
        <w:t>level</w:t>
      </w:r>
      <w:r>
        <w:rPr>
          <w:spacing w:val="-2"/>
        </w:rPr>
        <w:t> </w:t>
      </w:r>
      <w:r>
        <w:rPr/>
        <w:t>of</w:t>
      </w:r>
      <w:r>
        <w:rPr>
          <w:spacing w:val="-2"/>
        </w:rPr>
        <w:t> </w:t>
      </w:r>
      <w:r>
        <w:rPr/>
        <w:t>CO</w:t>
      </w:r>
      <w:r>
        <w:rPr>
          <w:spacing w:val="-2"/>
        </w:rPr>
        <w:t> </w:t>
      </w:r>
      <w:r>
        <w:rPr/>
        <w:t>detected during</w:t>
      </w:r>
      <w:r>
        <w:rPr>
          <w:spacing w:val="-5"/>
        </w:rPr>
        <w:t> </w:t>
      </w:r>
      <w:r>
        <w:rPr/>
        <w:t>cooking</w:t>
      </w:r>
      <w:r>
        <w:rPr>
          <w:spacing w:val="-4"/>
        </w:rPr>
        <w:t> </w:t>
      </w:r>
      <w:r>
        <w:rPr/>
        <w:t>depends on</w:t>
      </w:r>
      <w:r>
        <w:rPr>
          <w:spacing w:val="-2"/>
        </w:rPr>
        <w:t> </w:t>
      </w:r>
      <w:r>
        <w:rPr/>
        <w:t>the</w:t>
      </w:r>
      <w:r>
        <w:rPr>
          <w:spacing w:val="-3"/>
        </w:rPr>
        <w:t> </w:t>
      </w:r>
      <w:r>
        <w:rPr/>
        <w:t>amount</w:t>
      </w:r>
      <w:r>
        <w:rPr>
          <w:spacing w:val="-1"/>
        </w:rPr>
        <w:t> </w:t>
      </w:r>
      <w:r>
        <w:rPr/>
        <w:t>of</w:t>
      </w:r>
      <w:r>
        <w:rPr>
          <w:spacing w:val="-2"/>
        </w:rPr>
        <w:t> </w:t>
      </w:r>
      <w:r>
        <w:rPr/>
        <w:t>ventilation</w:t>
      </w:r>
      <w:r>
        <w:rPr>
          <w:spacing w:val="-2"/>
        </w:rPr>
        <w:t> </w:t>
      </w:r>
      <w:r>
        <w:rPr/>
        <w:t>in</w:t>
      </w:r>
      <w:r>
        <w:rPr>
          <w:spacing w:val="-2"/>
        </w:rPr>
        <w:t> </w:t>
      </w:r>
      <w:r>
        <w:rPr/>
        <w:t>the area.</w:t>
      </w:r>
      <w:r>
        <w:rPr>
          <w:spacing w:val="-1"/>
        </w:rPr>
        <w:t> </w:t>
      </w:r>
      <w:r>
        <w:rPr/>
        <w:t>Therefore,</w:t>
      </w:r>
      <w:r>
        <w:rPr>
          <w:spacing w:val="-3"/>
        </w:rPr>
        <w:t> </w:t>
      </w:r>
      <w:r>
        <w:rPr/>
        <w:t>the</w:t>
      </w:r>
      <w:r>
        <w:rPr>
          <w:spacing w:val="-3"/>
        </w:rPr>
        <w:t> </w:t>
      </w:r>
      <w:r>
        <w:rPr/>
        <w:t>mean</w:t>
      </w:r>
      <w:r>
        <w:rPr>
          <w:spacing w:val="-3"/>
        </w:rPr>
        <w:t> </w:t>
      </w:r>
      <w:r>
        <w:rPr/>
        <w:t>CO</w:t>
      </w:r>
      <w:r>
        <w:rPr>
          <w:spacing w:val="-3"/>
        </w:rPr>
        <w:t> </w:t>
      </w:r>
      <w:r>
        <w:rPr/>
        <w:t>readings</w:t>
      </w:r>
      <w:r>
        <w:rPr>
          <w:spacing w:val="-3"/>
        </w:rPr>
        <w:t> </w:t>
      </w:r>
      <w:r>
        <w:rPr/>
        <w:t>recorded</w:t>
      </w:r>
      <w:r>
        <w:rPr>
          <w:spacing w:val="-3"/>
        </w:rPr>
        <w:t> </w:t>
      </w:r>
      <w:r>
        <w:rPr/>
        <w:t>in</w:t>
      </w:r>
      <w:r>
        <w:rPr>
          <w:spacing w:val="-3"/>
        </w:rPr>
        <w:t> </w:t>
      </w:r>
      <w:r>
        <w:rPr/>
        <w:t>this</w:t>
      </w:r>
      <w:r>
        <w:rPr>
          <w:spacing w:val="-3"/>
        </w:rPr>
        <w:t> </w:t>
      </w:r>
      <w:r>
        <w:rPr/>
        <w:t>study</w:t>
      </w:r>
      <w:r>
        <w:rPr>
          <w:spacing w:val="-10"/>
        </w:rPr>
        <w:t> </w:t>
      </w:r>
      <w:r>
        <w:rPr/>
        <w:t>were</w:t>
      </w:r>
      <w:r>
        <w:rPr>
          <w:spacing w:val="-4"/>
        </w:rPr>
        <w:t> </w:t>
      </w:r>
      <w:r>
        <w:rPr/>
        <w:t>lower</w:t>
      </w:r>
      <w:r>
        <w:rPr>
          <w:spacing w:val="-2"/>
        </w:rPr>
        <w:t> </w:t>
      </w:r>
      <w:r>
        <w:rPr/>
        <w:t>for</w:t>
      </w:r>
      <w:r>
        <w:rPr>
          <w:spacing w:val="-3"/>
        </w:rPr>
        <w:t> </w:t>
      </w:r>
      <w:r>
        <w:rPr/>
        <w:t>cooking areas with greater ventilation (Table</w:t>
      </w:r>
      <w:r>
        <w:rPr>
          <w:spacing w:val="-1"/>
        </w:rPr>
        <w:t> </w:t>
      </w:r>
      <w:r>
        <w:rPr/>
        <w:t>2), although this result was not significant. This</w:t>
      </w:r>
    </w:p>
    <w:p>
      <w:pPr>
        <w:spacing w:after="0" w:line="480" w:lineRule="auto"/>
        <w:jc w:val="both"/>
        <w:sectPr>
          <w:pgSz w:w="11910" w:h="16840"/>
          <w:pgMar w:header="0" w:footer="1012" w:top="1620" w:bottom="1200" w:left="1680" w:right="1240"/>
        </w:sectPr>
      </w:pPr>
    </w:p>
    <w:p>
      <w:pPr>
        <w:pStyle w:val="BodyText"/>
        <w:spacing w:line="480" w:lineRule="auto" w:before="62"/>
        <w:ind w:left="588" w:right="215"/>
      </w:pPr>
      <w:r>
        <w:rPr/>
        <w:t>may be due to the sample size (only one CO monitor was available). Although the size of the openings in the cooking areas were not accounted for in this study, nevertheless, ventilation appears to have a positive impact on reducing CO concentrations during biomass burning. The high concentration of CO recorded in urban</w:t>
      </w:r>
      <w:r>
        <w:rPr>
          <w:spacing w:val="-3"/>
        </w:rPr>
        <w:t> </w:t>
      </w:r>
      <w:r>
        <w:rPr/>
        <w:t>houses</w:t>
      </w:r>
      <w:r>
        <w:rPr>
          <w:spacing w:val="-3"/>
        </w:rPr>
        <w:t> </w:t>
      </w:r>
      <w:r>
        <w:rPr/>
        <w:t>of</w:t>
      </w:r>
      <w:r>
        <w:rPr>
          <w:spacing w:val="-3"/>
        </w:rPr>
        <w:t> </w:t>
      </w:r>
      <w:r>
        <w:rPr/>
        <w:t>Malawi</w:t>
      </w:r>
      <w:r>
        <w:rPr>
          <w:spacing w:val="-1"/>
        </w:rPr>
        <w:t> </w:t>
      </w:r>
      <w:r>
        <w:rPr/>
        <w:t>was</w:t>
      </w:r>
      <w:r>
        <w:rPr>
          <w:spacing w:val="-3"/>
        </w:rPr>
        <w:t> </w:t>
      </w:r>
      <w:r>
        <w:rPr/>
        <w:t>due</w:t>
      </w:r>
      <w:r>
        <w:rPr>
          <w:spacing w:val="-3"/>
        </w:rPr>
        <w:t> </w:t>
      </w:r>
      <w:r>
        <w:rPr/>
        <w:t>to</w:t>
      </w:r>
      <w:r>
        <w:rPr>
          <w:spacing w:val="-3"/>
        </w:rPr>
        <w:t> </w:t>
      </w:r>
      <w:r>
        <w:rPr/>
        <w:t>build</w:t>
      </w:r>
      <w:r>
        <w:rPr>
          <w:spacing w:val="-3"/>
        </w:rPr>
        <w:t> </w:t>
      </w:r>
      <w:r>
        <w:rPr/>
        <w:t>kitchen</w:t>
      </w:r>
      <w:r>
        <w:rPr>
          <w:spacing w:val="-1"/>
        </w:rPr>
        <w:t> </w:t>
      </w:r>
      <w:r>
        <w:rPr/>
        <w:t>area</w:t>
      </w:r>
      <w:r>
        <w:rPr>
          <w:spacing w:val="-4"/>
        </w:rPr>
        <w:t> </w:t>
      </w:r>
      <w:r>
        <w:rPr/>
        <w:t>that</w:t>
      </w:r>
      <w:r>
        <w:rPr>
          <w:spacing w:val="-3"/>
        </w:rPr>
        <w:t> </w:t>
      </w:r>
      <w:r>
        <w:rPr/>
        <w:t>had</w:t>
      </w:r>
      <w:r>
        <w:rPr>
          <w:spacing w:val="-3"/>
        </w:rPr>
        <w:t> </w:t>
      </w:r>
      <w:r>
        <w:rPr/>
        <w:t>very</w:t>
      </w:r>
      <w:r>
        <w:rPr>
          <w:spacing w:val="-8"/>
        </w:rPr>
        <w:t> </w:t>
      </w:r>
      <w:r>
        <w:rPr/>
        <w:t>little</w:t>
      </w:r>
      <w:r>
        <w:rPr>
          <w:spacing w:val="-3"/>
        </w:rPr>
        <w:t> </w:t>
      </w:r>
      <w:r>
        <w:rPr/>
        <w:t>ventilation (Fullerton, et al., 2009).</w:t>
      </w:r>
    </w:p>
    <w:p>
      <w:pPr>
        <w:pStyle w:val="BodyText"/>
      </w:pPr>
    </w:p>
    <w:p>
      <w:pPr>
        <w:pStyle w:val="BodyText"/>
        <w:spacing w:before="1"/>
      </w:pPr>
    </w:p>
    <w:p>
      <w:pPr>
        <w:pStyle w:val="BodyText"/>
        <w:spacing w:line="480" w:lineRule="auto"/>
        <w:ind w:left="588" w:right="255"/>
      </w:pPr>
      <w:r>
        <w:rPr/>
        <w:t>Similarly, CO concentrations in enclosed kitchens have been recorded as significantly</w:t>
      </w:r>
      <w:r>
        <w:rPr>
          <w:spacing w:val="-8"/>
        </w:rPr>
        <w:t> </w:t>
      </w:r>
      <w:r>
        <w:rPr/>
        <w:t>high</w:t>
      </w:r>
      <w:r>
        <w:rPr>
          <w:spacing w:val="-3"/>
        </w:rPr>
        <w:t> </w:t>
      </w:r>
      <w:r>
        <w:rPr/>
        <w:t>in</w:t>
      </w:r>
      <w:r>
        <w:rPr>
          <w:spacing w:val="-2"/>
        </w:rPr>
        <w:t> </w:t>
      </w:r>
      <w:r>
        <w:rPr/>
        <w:t>India</w:t>
      </w:r>
      <w:r>
        <w:rPr>
          <w:spacing w:val="-3"/>
        </w:rPr>
        <w:t> </w:t>
      </w:r>
      <w:r>
        <w:rPr/>
        <w:t>(Balakrishnan,</w:t>
      </w:r>
      <w:r>
        <w:rPr>
          <w:spacing w:val="-3"/>
        </w:rPr>
        <w:t> </w:t>
      </w:r>
      <w:r>
        <w:rPr/>
        <w:t>et</w:t>
      </w:r>
      <w:r>
        <w:rPr>
          <w:spacing w:val="-3"/>
        </w:rPr>
        <w:t> </w:t>
      </w:r>
      <w:r>
        <w:rPr/>
        <w:t>al.,</w:t>
      </w:r>
      <w:r>
        <w:rPr>
          <w:spacing w:val="-3"/>
        </w:rPr>
        <w:t> </w:t>
      </w:r>
      <w:r>
        <w:rPr/>
        <w:t>2011).</w:t>
      </w:r>
      <w:r>
        <w:rPr>
          <w:spacing w:val="-2"/>
        </w:rPr>
        <w:t> </w:t>
      </w:r>
      <w:r>
        <w:rPr/>
        <w:t>In</w:t>
      </w:r>
      <w:r>
        <w:rPr>
          <w:spacing w:val="-3"/>
        </w:rPr>
        <w:t> </w:t>
      </w:r>
      <w:r>
        <w:rPr/>
        <w:t>Accra,</w:t>
      </w:r>
      <w:r>
        <w:rPr>
          <w:spacing w:val="-2"/>
        </w:rPr>
        <w:t> </w:t>
      </w:r>
      <w:r>
        <w:rPr/>
        <w:t>Ghana,</w:t>
      </w:r>
      <w:r>
        <w:rPr>
          <w:spacing w:val="-2"/>
        </w:rPr>
        <w:t> </w:t>
      </w:r>
      <w:r>
        <w:rPr/>
        <w:t>rural</w:t>
      </w:r>
      <w:r>
        <w:rPr>
          <w:spacing w:val="-3"/>
        </w:rPr>
        <w:t> </w:t>
      </w:r>
      <w:r>
        <w:rPr/>
        <w:t>homes with better ventilation had reduced exposure to indoor air pollution (Zhou, et al., 2011). Although, unlike in Zhou et al. (2011), my research study only focused on individual household use of fuel, rather than community biomass use. The aforementioned authors reported that community use of biomass cause more indoor air pollution than from individual household use of biomass in Ghana (Zhou, et al., </w:t>
      </w:r>
      <w:r>
        <w:rPr>
          <w:spacing w:val="-2"/>
        </w:rPr>
        <w:t>2011).</w:t>
      </w:r>
    </w:p>
    <w:p>
      <w:pPr>
        <w:pStyle w:val="BodyText"/>
        <w:spacing w:before="275"/>
      </w:pPr>
    </w:p>
    <w:p>
      <w:pPr>
        <w:pStyle w:val="BodyText"/>
        <w:spacing w:line="480" w:lineRule="auto"/>
        <w:ind w:left="588" w:right="257"/>
      </w:pPr>
      <w:r>
        <w:rPr/>
        <w:t>Other than the small sample size for CO measurements, another limitation of my study was my inability to measure for personal exposure of participants. This is a more accurate method of assessing the level of CO exposed to the blood. Also, I could</w:t>
      </w:r>
      <w:r>
        <w:rPr>
          <w:spacing w:val="-3"/>
        </w:rPr>
        <w:t> </w:t>
      </w:r>
      <w:r>
        <w:rPr/>
        <w:t>not</w:t>
      </w:r>
      <w:r>
        <w:rPr>
          <w:spacing w:val="-3"/>
        </w:rPr>
        <w:t> </w:t>
      </w:r>
      <w:r>
        <w:rPr/>
        <w:t>measure</w:t>
      </w:r>
      <w:r>
        <w:rPr>
          <w:spacing w:val="-5"/>
        </w:rPr>
        <w:t> </w:t>
      </w:r>
      <w:r>
        <w:rPr/>
        <w:t>particulate</w:t>
      </w:r>
      <w:r>
        <w:rPr>
          <w:spacing w:val="-4"/>
        </w:rPr>
        <w:t> </w:t>
      </w:r>
      <w:r>
        <w:rPr/>
        <w:t>matter</w:t>
      </w:r>
      <w:r>
        <w:rPr>
          <w:spacing w:val="-3"/>
        </w:rPr>
        <w:t> </w:t>
      </w:r>
      <w:r>
        <w:rPr/>
        <w:t>due</w:t>
      </w:r>
      <w:r>
        <w:rPr>
          <w:spacing w:val="-4"/>
        </w:rPr>
        <w:t> </w:t>
      </w:r>
      <w:r>
        <w:rPr/>
        <w:t>to</w:t>
      </w:r>
      <w:r>
        <w:rPr>
          <w:spacing w:val="-3"/>
        </w:rPr>
        <w:t> </w:t>
      </w:r>
      <w:r>
        <w:rPr/>
        <w:t>biomass</w:t>
      </w:r>
      <w:r>
        <w:rPr>
          <w:spacing w:val="-3"/>
        </w:rPr>
        <w:t> </w:t>
      </w:r>
      <w:r>
        <w:rPr/>
        <w:t>burning</w:t>
      </w:r>
      <w:r>
        <w:rPr>
          <w:spacing w:val="-5"/>
        </w:rPr>
        <w:t> </w:t>
      </w:r>
      <w:r>
        <w:rPr/>
        <w:t>because</w:t>
      </w:r>
      <w:r>
        <w:rPr>
          <w:spacing w:val="-3"/>
        </w:rPr>
        <w:t> </w:t>
      </w:r>
      <w:r>
        <w:rPr/>
        <w:t>no</w:t>
      </w:r>
      <w:r>
        <w:rPr>
          <w:spacing w:val="-1"/>
        </w:rPr>
        <w:t> </w:t>
      </w:r>
      <w:r>
        <w:rPr/>
        <w:t>equipment was available for this.</w:t>
      </w:r>
    </w:p>
    <w:p>
      <w:pPr>
        <w:spacing w:after="0" w:line="480" w:lineRule="auto"/>
        <w:sectPr>
          <w:pgSz w:w="11910" w:h="16840"/>
          <w:pgMar w:header="0" w:footer="1012" w:top="1620" w:bottom="1200" w:left="1680" w:right="1240"/>
        </w:sectPr>
      </w:pPr>
    </w:p>
    <w:p>
      <w:pPr>
        <w:pStyle w:val="Heading1"/>
        <w:spacing w:line="480" w:lineRule="auto"/>
        <w:ind w:right="5621"/>
      </w:pPr>
      <w:r>
        <w:rPr/>
        <w:t>CHAPTER 5 </w:t>
      </w:r>
      <w:r>
        <w:rPr>
          <w:spacing w:val="-2"/>
        </w:rPr>
        <w:t>CONCLUSION</w:t>
      </w:r>
    </w:p>
    <w:p>
      <w:pPr>
        <w:pStyle w:val="BodyText"/>
        <w:spacing w:line="480" w:lineRule="auto" w:before="1"/>
        <w:ind w:left="588" w:right="211"/>
      </w:pPr>
      <w:r>
        <w:rPr/>
        <w:t>The amount of indoor air pollution that rural people of Adamawa State are exposed to is a cause for alarm. This is because the level of exposure has exceeded the standard level by a hundred percent. Women and young girls who do most of the cooking with wood are highly at risk of the effect of indoor air pollution.</w:t>
      </w:r>
      <w:r>
        <w:rPr>
          <w:spacing w:val="40"/>
        </w:rPr>
        <w:t> </w:t>
      </w:r>
      <w:r>
        <w:rPr/>
        <w:t>This supports that there is gender inequality in energy use in this region of the country. Therefore, there is a need to organize health awareness campaign on the effect of indoor pollution, especially so as to reduce exposure time for women who use wood for</w:t>
      </w:r>
      <w:r>
        <w:rPr>
          <w:spacing w:val="-5"/>
        </w:rPr>
        <w:t> </w:t>
      </w:r>
      <w:r>
        <w:rPr/>
        <w:t>cooking.</w:t>
      </w:r>
      <w:r>
        <w:rPr>
          <w:spacing w:val="-3"/>
        </w:rPr>
        <w:t> </w:t>
      </w:r>
      <w:r>
        <w:rPr/>
        <w:t>Also,</w:t>
      </w:r>
      <w:r>
        <w:rPr>
          <w:spacing w:val="-3"/>
        </w:rPr>
        <w:t> </w:t>
      </w:r>
      <w:r>
        <w:rPr/>
        <w:t>the</w:t>
      </w:r>
      <w:r>
        <w:rPr>
          <w:spacing w:val="-2"/>
        </w:rPr>
        <w:t> </w:t>
      </w:r>
      <w:r>
        <w:rPr/>
        <w:t>government</w:t>
      </w:r>
      <w:r>
        <w:rPr>
          <w:spacing w:val="-3"/>
        </w:rPr>
        <w:t> </w:t>
      </w:r>
      <w:r>
        <w:rPr/>
        <w:t>should</w:t>
      </w:r>
      <w:r>
        <w:rPr>
          <w:spacing w:val="-3"/>
        </w:rPr>
        <w:t> </w:t>
      </w:r>
      <w:r>
        <w:rPr/>
        <w:t>provide</w:t>
      </w:r>
      <w:r>
        <w:rPr>
          <w:spacing w:val="-2"/>
        </w:rPr>
        <w:t> </w:t>
      </w:r>
      <w:r>
        <w:rPr/>
        <w:t>access</w:t>
      </w:r>
      <w:r>
        <w:rPr>
          <w:spacing w:val="-3"/>
        </w:rPr>
        <w:t> </w:t>
      </w:r>
      <w:r>
        <w:rPr/>
        <w:t>to</w:t>
      </w:r>
      <w:r>
        <w:rPr>
          <w:spacing w:val="-3"/>
        </w:rPr>
        <w:t> </w:t>
      </w:r>
      <w:r>
        <w:rPr/>
        <w:t>clean</w:t>
      </w:r>
      <w:r>
        <w:rPr>
          <w:spacing w:val="-3"/>
        </w:rPr>
        <w:t> </w:t>
      </w:r>
      <w:r>
        <w:rPr/>
        <w:t>source</w:t>
      </w:r>
      <w:r>
        <w:rPr>
          <w:spacing w:val="-4"/>
        </w:rPr>
        <w:t> </w:t>
      </w:r>
      <w:r>
        <w:rPr/>
        <w:t>of</w:t>
      </w:r>
      <w:r>
        <w:rPr>
          <w:spacing w:val="-2"/>
        </w:rPr>
        <w:t> </w:t>
      </w:r>
      <w:r>
        <w:rPr/>
        <w:t>fuel. One way the government will help is by distributing clean stoves that will completely burn biomass and not release harmful substances.</w:t>
      </w:r>
    </w:p>
    <w:p>
      <w:pPr>
        <w:spacing w:after="0" w:line="480" w:lineRule="auto"/>
        <w:sectPr>
          <w:pgSz w:w="11910" w:h="16840"/>
          <w:pgMar w:header="0" w:footer="1012" w:top="1620" w:bottom="1200" w:left="1680" w:right="1240"/>
        </w:sectPr>
      </w:pPr>
    </w:p>
    <w:p>
      <w:pPr>
        <w:pStyle w:val="Heading1"/>
        <w:spacing w:before="60"/>
      </w:pPr>
      <w:bookmarkStart w:name="_TOC_250000" w:id="8"/>
      <w:bookmarkEnd w:id="8"/>
      <w:r>
        <w:rPr>
          <w:spacing w:val="-2"/>
        </w:rPr>
        <w:t>REFERENCES</w:t>
      </w:r>
    </w:p>
    <w:p>
      <w:pPr>
        <w:pStyle w:val="BodyText"/>
        <w:spacing w:before="2"/>
        <w:rPr>
          <w:b/>
        </w:rPr>
      </w:pPr>
    </w:p>
    <w:p>
      <w:pPr>
        <w:pStyle w:val="BodyText"/>
        <w:spacing w:line="259" w:lineRule="auto"/>
        <w:ind w:left="1308" w:right="396" w:hanging="720"/>
      </w:pPr>
      <w:r>
        <w:rPr/>
        <w:t>Austin, K. F., &amp; Mejia, M. T. (2017). Household air pollution as a silent killer: women’s</w:t>
      </w:r>
      <w:r>
        <w:rPr>
          <w:spacing w:val="-4"/>
        </w:rPr>
        <w:t> </w:t>
      </w:r>
      <w:r>
        <w:rPr/>
        <w:t>status</w:t>
      </w:r>
      <w:r>
        <w:rPr>
          <w:spacing w:val="-4"/>
        </w:rPr>
        <w:t> </w:t>
      </w:r>
      <w:r>
        <w:rPr/>
        <w:t>and</w:t>
      </w:r>
      <w:r>
        <w:rPr>
          <w:spacing w:val="-3"/>
        </w:rPr>
        <w:t> </w:t>
      </w:r>
      <w:r>
        <w:rPr/>
        <w:t>solid</w:t>
      </w:r>
      <w:r>
        <w:rPr>
          <w:spacing w:val="-3"/>
        </w:rPr>
        <w:t> </w:t>
      </w:r>
      <w:r>
        <w:rPr/>
        <w:t>fuel</w:t>
      </w:r>
      <w:r>
        <w:rPr>
          <w:spacing w:val="-3"/>
        </w:rPr>
        <w:t> </w:t>
      </w:r>
      <w:r>
        <w:rPr/>
        <w:t>use</w:t>
      </w:r>
      <w:r>
        <w:rPr>
          <w:spacing w:val="-3"/>
        </w:rPr>
        <w:t> </w:t>
      </w:r>
      <w:r>
        <w:rPr/>
        <w:t>in</w:t>
      </w:r>
      <w:r>
        <w:rPr>
          <w:spacing w:val="-3"/>
        </w:rPr>
        <w:t> </w:t>
      </w:r>
      <w:r>
        <w:rPr/>
        <w:t>developing</w:t>
      </w:r>
      <w:r>
        <w:rPr>
          <w:spacing w:val="-6"/>
        </w:rPr>
        <w:t> </w:t>
      </w:r>
      <w:r>
        <w:rPr/>
        <w:t>nations.</w:t>
      </w:r>
      <w:r>
        <w:rPr>
          <w:spacing w:val="-2"/>
        </w:rPr>
        <w:t> </w:t>
      </w:r>
      <w:r>
        <w:rPr>
          <w:i/>
        </w:rPr>
        <w:t>Population</w:t>
      </w:r>
      <w:r>
        <w:rPr>
          <w:i/>
          <w:spacing w:val="-3"/>
        </w:rPr>
        <w:t> </w:t>
      </w:r>
      <w:r>
        <w:rPr>
          <w:i/>
        </w:rPr>
        <w:t>and Environment, 39</w:t>
      </w:r>
      <w:r>
        <w:rPr/>
        <w:t>, 1-25.</w:t>
      </w:r>
    </w:p>
    <w:p>
      <w:pPr>
        <w:pStyle w:val="BodyText"/>
        <w:spacing w:line="259" w:lineRule="auto" w:before="160"/>
        <w:ind w:left="1308" w:right="396" w:hanging="720"/>
      </w:pPr>
      <w:r>
        <w:rPr/>
        <w:t>Baker,</w:t>
      </w:r>
      <w:r>
        <w:rPr>
          <w:spacing w:val="-3"/>
        </w:rPr>
        <w:t> </w:t>
      </w:r>
      <w:r>
        <w:rPr/>
        <w:t>L.</w:t>
      </w:r>
      <w:r>
        <w:rPr>
          <w:spacing w:val="-4"/>
        </w:rPr>
        <w:t> </w:t>
      </w:r>
      <w:r>
        <w:rPr/>
        <w:t>(2018).</w:t>
      </w:r>
      <w:r>
        <w:rPr>
          <w:spacing w:val="-4"/>
        </w:rPr>
        <w:t> </w:t>
      </w:r>
      <w:r>
        <w:rPr/>
        <w:t>Perceptions</w:t>
      </w:r>
      <w:r>
        <w:rPr>
          <w:spacing w:val="-4"/>
        </w:rPr>
        <w:t> </w:t>
      </w:r>
      <w:r>
        <w:rPr/>
        <w:t>of</w:t>
      </w:r>
      <w:r>
        <w:rPr>
          <w:spacing w:val="-4"/>
        </w:rPr>
        <w:t> </w:t>
      </w:r>
      <w:r>
        <w:rPr/>
        <w:t>a</w:t>
      </w:r>
      <w:r>
        <w:rPr>
          <w:spacing w:val="-4"/>
        </w:rPr>
        <w:t> </w:t>
      </w:r>
      <w:r>
        <w:rPr/>
        <w:t>Local</w:t>
      </w:r>
      <w:r>
        <w:rPr>
          <w:spacing w:val="-4"/>
        </w:rPr>
        <w:t> </w:t>
      </w:r>
      <w:r>
        <w:rPr/>
        <w:t>Community</w:t>
      </w:r>
      <w:r>
        <w:rPr>
          <w:spacing w:val="-9"/>
        </w:rPr>
        <w:t> </w:t>
      </w:r>
      <w:r>
        <w:rPr/>
        <w:t>Toward</w:t>
      </w:r>
      <w:r>
        <w:rPr>
          <w:spacing w:val="-4"/>
        </w:rPr>
        <w:t> </w:t>
      </w:r>
      <w:r>
        <w:rPr/>
        <w:t>Proposed</w:t>
      </w:r>
      <w:r>
        <w:rPr>
          <w:spacing w:val="-2"/>
        </w:rPr>
        <w:t> </w:t>
      </w:r>
      <w:r>
        <w:rPr/>
        <w:t>Biodiesel Development Project in Northeastern Nigeria. </w:t>
      </w:r>
      <w:r>
        <w:rPr>
          <w:i/>
        </w:rPr>
        <w:t>Community Development</w:t>
      </w:r>
      <w:r>
        <w:rPr/>
        <w:t>. </w:t>
      </w:r>
      <w:r>
        <w:rPr>
          <w:spacing w:val="-2"/>
        </w:rPr>
        <w:t>doi:10.1080/15575330.2017.1385640</w:t>
      </w:r>
    </w:p>
    <w:p>
      <w:pPr>
        <w:pStyle w:val="BodyText"/>
        <w:spacing w:before="159"/>
        <w:ind w:left="588"/>
      </w:pPr>
      <w:r>
        <w:rPr/>
        <w:t>Balakrishnan,</w:t>
      </w:r>
      <w:r>
        <w:rPr>
          <w:spacing w:val="-1"/>
        </w:rPr>
        <w:t> </w:t>
      </w:r>
      <w:r>
        <w:rPr/>
        <w:t>K., Padmavathi, R.,</w:t>
      </w:r>
      <w:r>
        <w:rPr>
          <w:spacing w:val="-1"/>
        </w:rPr>
        <w:t> </w:t>
      </w:r>
      <w:r>
        <w:rPr/>
        <w:t>Sankar, S., Gurusamy,</w:t>
      </w:r>
      <w:r>
        <w:rPr>
          <w:spacing w:val="-1"/>
        </w:rPr>
        <w:t> </w:t>
      </w:r>
      <w:r>
        <w:rPr/>
        <w:t>T., Santu, G.,</w:t>
      </w:r>
      <w:r>
        <w:rPr>
          <w:spacing w:val="-1"/>
        </w:rPr>
        <w:t> </w:t>
      </w:r>
      <w:r>
        <w:rPr/>
        <w:t>Priscilla, J., </w:t>
      </w:r>
      <w:r>
        <w:rPr>
          <w:spacing w:val="-10"/>
        </w:rPr>
        <w:t>.</w:t>
      </w:r>
    </w:p>
    <w:p>
      <w:pPr>
        <w:pStyle w:val="BodyText"/>
        <w:spacing w:line="259" w:lineRule="auto" w:before="22"/>
        <w:ind w:left="1308" w:right="396"/>
      </w:pPr>
      <w:r>
        <w:rPr/>
        <w:t>.</w:t>
      </w:r>
      <w:r>
        <w:rPr>
          <w:spacing w:val="-4"/>
        </w:rPr>
        <w:t> </w:t>
      </w:r>
      <w:r>
        <w:rPr/>
        <w:t>.</w:t>
      </w:r>
      <w:r>
        <w:rPr>
          <w:spacing w:val="-4"/>
        </w:rPr>
        <w:t> </w:t>
      </w:r>
      <w:r>
        <w:rPr/>
        <w:t>Vijayalakshmi,</w:t>
      </w:r>
      <w:r>
        <w:rPr>
          <w:spacing w:val="-4"/>
        </w:rPr>
        <w:t> </w:t>
      </w:r>
      <w:r>
        <w:rPr/>
        <w:t>T.</w:t>
      </w:r>
      <w:r>
        <w:rPr>
          <w:spacing w:val="-4"/>
        </w:rPr>
        <w:t> </w:t>
      </w:r>
      <w:r>
        <w:rPr/>
        <w:t>(2011,</w:t>
      </w:r>
      <w:r>
        <w:rPr>
          <w:spacing w:val="-4"/>
        </w:rPr>
        <w:t> </w:t>
      </w:r>
      <w:r>
        <w:rPr/>
        <w:t>August</w:t>
      </w:r>
      <w:r>
        <w:rPr>
          <w:spacing w:val="-4"/>
        </w:rPr>
        <w:t> </w:t>
      </w:r>
      <w:r>
        <w:rPr/>
        <w:t>17).</w:t>
      </w:r>
      <w:r>
        <w:rPr>
          <w:spacing w:val="-4"/>
        </w:rPr>
        <w:t> </w:t>
      </w:r>
      <w:r>
        <w:rPr/>
        <w:t>Air</w:t>
      </w:r>
      <w:r>
        <w:rPr>
          <w:spacing w:val="-4"/>
        </w:rPr>
        <w:t> </w:t>
      </w:r>
      <w:r>
        <w:rPr/>
        <w:t>pollution</w:t>
      </w:r>
      <w:r>
        <w:rPr>
          <w:spacing w:val="-4"/>
        </w:rPr>
        <w:t> </w:t>
      </w:r>
      <w:r>
        <w:rPr/>
        <w:t>from</w:t>
      </w:r>
      <w:r>
        <w:rPr>
          <w:spacing w:val="-4"/>
        </w:rPr>
        <w:t> </w:t>
      </w:r>
      <w:r>
        <w:rPr/>
        <w:t>household</w:t>
      </w:r>
      <w:r>
        <w:rPr>
          <w:spacing w:val="-4"/>
        </w:rPr>
        <w:t> </w:t>
      </w:r>
      <w:r>
        <w:rPr/>
        <w:t>solid fuel combustion in India: an overview of exposure and health related information to inform health research priorities. </w:t>
      </w:r>
      <w:r>
        <w:rPr>
          <w:i/>
        </w:rPr>
        <w:t>Global Health Action</w:t>
      </w:r>
      <w:r>
        <w:rPr/>
        <w:t>. </w:t>
      </w:r>
      <w:r>
        <w:rPr>
          <w:spacing w:val="-2"/>
        </w:rPr>
        <w:t>doi:</w:t>
      </w:r>
      <w:hyperlink r:id="rId32">
        <w:r>
          <w:rPr>
            <w:spacing w:val="-2"/>
          </w:rPr>
          <w:t>http://dx.doi.org/10.3402/gha.v4i0.5638</w:t>
        </w:r>
      </w:hyperlink>
    </w:p>
    <w:p>
      <w:pPr>
        <w:pStyle w:val="BodyText"/>
        <w:spacing w:before="160"/>
        <w:ind w:left="588"/>
      </w:pPr>
      <w:r>
        <w:rPr/>
        <w:t>Baumgartner,</w:t>
      </w:r>
      <w:r>
        <w:rPr>
          <w:spacing w:val="-1"/>
        </w:rPr>
        <w:t> </w:t>
      </w:r>
      <w:r>
        <w:rPr/>
        <w:t>J.,</w:t>
      </w:r>
      <w:r>
        <w:rPr>
          <w:spacing w:val="-1"/>
        </w:rPr>
        <w:t> </w:t>
      </w:r>
      <w:r>
        <w:rPr/>
        <w:t>Schauer,</w:t>
      </w:r>
      <w:r>
        <w:rPr>
          <w:spacing w:val="-1"/>
        </w:rPr>
        <w:t> </w:t>
      </w:r>
      <w:r>
        <w:rPr/>
        <w:t>J.</w:t>
      </w:r>
      <w:r>
        <w:rPr>
          <w:spacing w:val="-4"/>
        </w:rPr>
        <w:t> </w:t>
      </w:r>
      <w:r>
        <w:rPr/>
        <w:t>J.,</w:t>
      </w:r>
      <w:r>
        <w:rPr>
          <w:spacing w:val="-1"/>
        </w:rPr>
        <w:t> </w:t>
      </w:r>
      <w:r>
        <w:rPr/>
        <w:t>Ezzati,</w:t>
      </w:r>
      <w:r>
        <w:rPr>
          <w:spacing w:val="-1"/>
        </w:rPr>
        <w:t> </w:t>
      </w:r>
      <w:r>
        <w:rPr/>
        <w:t>M.,</w:t>
      </w:r>
      <w:r>
        <w:rPr>
          <w:spacing w:val="-1"/>
        </w:rPr>
        <w:t> </w:t>
      </w:r>
      <w:r>
        <w:rPr/>
        <w:t>Lu,</w:t>
      </w:r>
      <w:r>
        <w:rPr>
          <w:spacing w:val="1"/>
        </w:rPr>
        <w:t> </w:t>
      </w:r>
      <w:r>
        <w:rPr/>
        <w:t>L., Cheng,</w:t>
      </w:r>
      <w:r>
        <w:rPr>
          <w:spacing w:val="-1"/>
        </w:rPr>
        <w:t> </w:t>
      </w:r>
      <w:r>
        <w:rPr/>
        <w:t>C.,</w:t>
      </w:r>
      <w:r>
        <w:rPr>
          <w:spacing w:val="-1"/>
        </w:rPr>
        <w:t> </w:t>
      </w:r>
      <w:r>
        <w:rPr/>
        <w:t>Patz,</w:t>
      </w:r>
      <w:r>
        <w:rPr>
          <w:spacing w:val="-1"/>
        </w:rPr>
        <w:t> </w:t>
      </w:r>
      <w:r>
        <w:rPr/>
        <w:t>J.,</w:t>
      </w:r>
      <w:r>
        <w:rPr>
          <w:spacing w:val="-1"/>
        </w:rPr>
        <w:t> </w:t>
      </w:r>
      <w:r>
        <w:rPr/>
        <w:t>&amp;</w:t>
      </w:r>
      <w:r>
        <w:rPr>
          <w:spacing w:val="-2"/>
        </w:rPr>
        <w:t> </w:t>
      </w:r>
      <w:r>
        <w:rPr/>
        <w:t>Bautista, </w:t>
      </w:r>
      <w:r>
        <w:rPr>
          <w:spacing w:val="-5"/>
        </w:rPr>
        <w:t>L.</w:t>
      </w:r>
    </w:p>
    <w:p>
      <w:pPr>
        <w:pStyle w:val="BodyText"/>
        <w:spacing w:line="259" w:lineRule="auto" w:before="21"/>
        <w:ind w:left="1308"/>
      </w:pPr>
      <w:r>
        <w:rPr/>
        <w:t>E.</w:t>
      </w:r>
      <w:r>
        <w:rPr>
          <w:spacing w:val="-4"/>
        </w:rPr>
        <w:t> </w:t>
      </w:r>
      <w:r>
        <w:rPr/>
        <w:t>(2011).</w:t>
      </w:r>
      <w:r>
        <w:rPr>
          <w:spacing w:val="-4"/>
        </w:rPr>
        <w:t> </w:t>
      </w:r>
      <w:r>
        <w:rPr/>
        <w:t>Patterns</w:t>
      </w:r>
      <w:r>
        <w:rPr>
          <w:spacing w:val="-4"/>
        </w:rPr>
        <w:t> </w:t>
      </w:r>
      <w:r>
        <w:rPr/>
        <w:t>and</w:t>
      </w:r>
      <w:r>
        <w:rPr>
          <w:spacing w:val="-4"/>
        </w:rPr>
        <w:t> </w:t>
      </w:r>
      <w:r>
        <w:rPr/>
        <w:t>predictors</w:t>
      </w:r>
      <w:r>
        <w:rPr>
          <w:spacing w:val="-4"/>
        </w:rPr>
        <w:t> </w:t>
      </w:r>
      <w:r>
        <w:rPr/>
        <w:t>of</w:t>
      </w:r>
      <w:r>
        <w:rPr>
          <w:spacing w:val="-4"/>
        </w:rPr>
        <w:t> </w:t>
      </w:r>
      <w:r>
        <w:rPr/>
        <w:t>personal</w:t>
      </w:r>
      <w:r>
        <w:rPr>
          <w:spacing w:val="-4"/>
        </w:rPr>
        <w:t> </w:t>
      </w:r>
      <w:r>
        <w:rPr/>
        <w:t>exposure</w:t>
      </w:r>
      <w:r>
        <w:rPr>
          <w:spacing w:val="-6"/>
        </w:rPr>
        <w:t> </w:t>
      </w:r>
      <w:r>
        <w:rPr/>
        <w:t>to</w:t>
      </w:r>
      <w:r>
        <w:rPr>
          <w:spacing w:val="-4"/>
        </w:rPr>
        <w:t> </w:t>
      </w:r>
      <w:r>
        <w:rPr/>
        <w:t>indoor</w:t>
      </w:r>
      <w:r>
        <w:rPr>
          <w:spacing w:val="-5"/>
        </w:rPr>
        <w:t> </w:t>
      </w:r>
      <w:r>
        <w:rPr/>
        <w:t>air</w:t>
      </w:r>
      <w:r>
        <w:rPr>
          <w:spacing w:val="-4"/>
        </w:rPr>
        <w:t> </w:t>
      </w:r>
      <w:r>
        <w:rPr/>
        <w:t>pollution from biomass combustion among women and children. </w:t>
      </w:r>
      <w:r>
        <w:rPr>
          <w:i/>
        </w:rPr>
        <w:t>Indoor air, 21</w:t>
      </w:r>
      <w:r>
        <w:rPr/>
        <w:t>, 479– </w:t>
      </w:r>
      <w:r>
        <w:rPr>
          <w:spacing w:val="-4"/>
        </w:rPr>
        <w:t>488.</w:t>
      </w:r>
    </w:p>
    <w:p>
      <w:pPr>
        <w:spacing w:line="259" w:lineRule="auto" w:before="160"/>
        <w:ind w:left="1308" w:right="257" w:hanging="720"/>
        <w:jc w:val="left"/>
        <w:rPr>
          <w:sz w:val="24"/>
        </w:rPr>
      </w:pPr>
      <w:r>
        <w:rPr>
          <w:sz w:val="24"/>
        </w:rPr>
        <w:t>Benignus,</w:t>
      </w:r>
      <w:r>
        <w:rPr>
          <w:spacing w:val="-4"/>
          <w:sz w:val="24"/>
        </w:rPr>
        <w:t> </w:t>
      </w:r>
      <w:r>
        <w:rPr>
          <w:sz w:val="24"/>
        </w:rPr>
        <w:t>V.</w:t>
      </w:r>
      <w:r>
        <w:rPr>
          <w:spacing w:val="-4"/>
          <w:sz w:val="24"/>
        </w:rPr>
        <w:t> </w:t>
      </w:r>
      <w:r>
        <w:rPr>
          <w:sz w:val="24"/>
        </w:rPr>
        <w:t>(1994).</w:t>
      </w:r>
      <w:r>
        <w:rPr>
          <w:spacing w:val="-4"/>
          <w:sz w:val="24"/>
        </w:rPr>
        <w:t> </w:t>
      </w:r>
      <w:r>
        <w:rPr>
          <w:sz w:val="24"/>
        </w:rPr>
        <w:t>Behavioral</w:t>
      </w:r>
      <w:r>
        <w:rPr>
          <w:spacing w:val="-4"/>
          <w:sz w:val="24"/>
        </w:rPr>
        <w:t> </w:t>
      </w:r>
      <w:r>
        <w:rPr>
          <w:sz w:val="24"/>
        </w:rPr>
        <w:t>effects</w:t>
      </w:r>
      <w:r>
        <w:rPr>
          <w:spacing w:val="-4"/>
          <w:sz w:val="24"/>
        </w:rPr>
        <w:t> </w:t>
      </w:r>
      <w:r>
        <w:rPr>
          <w:sz w:val="24"/>
        </w:rPr>
        <w:t>of</w:t>
      </w:r>
      <w:r>
        <w:rPr>
          <w:spacing w:val="-2"/>
          <w:sz w:val="24"/>
        </w:rPr>
        <w:t> </w:t>
      </w:r>
      <w:r>
        <w:rPr>
          <w:sz w:val="24"/>
        </w:rPr>
        <w:t>carbon</w:t>
      </w:r>
      <w:r>
        <w:rPr>
          <w:spacing w:val="-4"/>
          <w:sz w:val="24"/>
        </w:rPr>
        <w:t> </w:t>
      </w:r>
      <w:r>
        <w:rPr>
          <w:sz w:val="24"/>
        </w:rPr>
        <w:t>monoxide:</w:t>
      </w:r>
      <w:r>
        <w:rPr>
          <w:spacing w:val="-4"/>
          <w:sz w:val="24"/>
        </w:rPr>
        <w:t> </w:t>
      </w:r>
      <w:r>
        <w:rPr>
          <w:sz w:val="24"/>
        </w:rPr>
        <w:t>meta</w:t>
      </w:r>
      <w:r>
        <w:rPr>
          <w:spacing w:val="-5"/>
          <w:sz w:val="24"/>
        </w:rPr>
        <w:t> </w:t>
      </w:r>
      <w:r>
        <w:rPr>
          <w:sz w:val="24"/>
        </w:rPr>
        <w:t>analyses</w:t>
      </w:r>
      <w:r>
        <w:rPr>
          <w:spacing w:val="-4"/>
          <w:sz w:val="24"/>
        </w:rPr>
        <w:t> </w:t>
      </w:r>
      <w:r>
        <w:rPr>
          <w:sz w:val="24"/>
        </w:rPr>
        <w:t>and extrapolations. </w:t>
      </w:r>
      <w:r>
        <w:rPr>
          <w:i/>
          <w:sz w:val="24"/>
        </w:rPr>
        <w:t>Journal of applied physiology, 76</w:t>
      </w:r>
      <w:r>
        <w:rPr>
          <w:sz w:val="24"/>
        </w:rPr>
        <w:t>, 1310–1316.</w:t>
      </w:r>
    </w:p>
    <w:p>
      <w:pPr>
        <w:spacing w:line="259" w:lineRule="auto" w:before="160"/>
        <w:ind w:left="1308" w:right="179" w:hanging="720"/>
        <w:jc w:val="left"/>
        <w:rPr>
          <w:sz w:val="24"/>
        </w:rPr>
      </w:pPr>
      <w:r>
        <w:rPr>
          <w:sz w:val="24"/>
        </w:rPr>
        <w:t>Bruce,</w:t>
      </w:r>
      <w:r>
        <w:rPr>
          <w:spacing w:val="-4"/>
          <w:sz w:val="24"/>
        </w:rPr>
        <w:t> </w:t>
      </w:r>
      <w:r>
        <w:rPr>
          <w:sz w:val="24"/>
        </w:rPr>
        <w:t>N.,</w:t>
      </w:r>
      <w:r>
        <w:rPr>
          <w:spacing w:val="-4"/>
          <w:sz w:val="24"/>
        </w:rPr>
        <w:t> </w:t>
      </w:r>
      <w:r>
        <w:rPr>
          <w:sz w:val="24"/>
        </w:rPr>
        <w:t>Perez-Padilla,</w:t>
      </w:r>
      <w:r>
        <w:rPr>
          <w:spacing w:val="-4"/>
          <w:sz w:val="24"/>
        </w:rPr>
        <w:t> </w:t>
      </w:r>
      <w:r>
        <w:rPr>
          <w:sz w:val="24"/>
        </w:rPr>
        <w:t>R.,</w:t>
      </w:r>
      <w:r>
        <w:rPr>
          <w:spacing w:val="-4"/>
          <w:sz w:val="24"/>
        </w:rPr>
        <w:t> </w:t>
      </w:r>
      <w:r>
        <w:rPr>
          <w:sz w:val="24"/>
        </w:rPr>
        <w:t>&amp;</w:t>
      </w:r>
      <w:r>
        <w:rPr>
          <w:spacing w:val="-6"/>
          <w:sz w:val="24"/>
        </w:rPr>
        <w:t> </w:t>
      </w:r>
      <w:r>
        <w:rPr>
          <w:sz w:val="24"/>
        </w:rPr>
        <w:t>Albalak,</w:t>
      </w:r>
      <w:r>
        <w:rPr>
          <w:spacing w:val="-4"/>
          <w:sz w:val="24"/>
        </w:rPr>
        <w:t> </w:t>
      </w:r>
      <w:r>
        <w:rPr>
          <w:sz w:val="24"/>
        </w:rPr>
        <w:t>R.</w:t>
      </w:r>
      <w:r>
        <w:rPr>
          <w:spacing w:val="-4"/>
          <w:sz w:val="24"/>
        </w:rPr>
        <w:t> </w:t>
      </w:r>
      <w:r>
        <w:rPr>
          <w:sz w:val="24"/>
        </w:rPr>
        <w:t>(2000). Indoor</w:t>
      </w:r>
      <w:r>
        <w:rPr>
          <w:spacing w:val="-4"/>
          <w:sz w:val="24"/>
        </w:rPr>
        <w:t> </w:t>
      </w:r>
      <w:r>
        <w:rPr>
          <w:sz w:val="24"/>
        </w:rPr>
        <w:t>air</w:t>
      </w:r>
      <w:r>
        <w:rPr>
          <w:spacing w:val="-4"/>
          <w:sz w:val="24"/>
        </w:rPr>
        <w:t> </w:t>
      </w:r>
      <w:r>
        <w:rPr>
          <w:sz w:val="24"/>
        </w:rPr>
        <w:t>pollution</w:t>
      </w:r>
      <w:r>
        <w:rPr>
          <w:spacing w:val="-4"/>
          <w:sz w:val="24"/>
        </w:rPr>
        <w:t> </w:t>
      </w:r>
      <w:r>
        <w:rPr>
          <w:sz w:val="24"/>
        </w:rPr>
        <w:t>in</w:t>
      </w:r>
      <w:r>
        <w:rPr>
          <w:spacing w:val="-4"/>
          <w:sz w:val="24"/>
        </w:rPr>
        <w:t> </w:t>
      </w:r>
      <w:r>
        <w:rPr>
          <w:sz w:val="24"/>
        </w:rPr>
        <w:t>developing countries: a major environmental and public health challenge. </w:t>
      </w:r>
      <w:r>
        <w:rPr>
          <w:i/>
          <w:sz w:val="24"/>
        </w:rPr>
        <w:t>Bulletin of the World Health Organization, 78</w:t>
      </w:r>
      <w:r>
        <w:rPr>
          <w:sz w:val="24"/>
        </w:rPr>
        <w:t>, 1078-1087.</w:t>
      </w:r>
    </w:p>
    <w:p>
      <w:pPr>
        <w:pStyle w:val="BodyText"/>
        <w:spacing w:line="259" w:lineRule="auto" w:before="159"/>
        <w:ind w:left="1308" w:right="215" w:hanging="720"/>
      </w:pPr>
      <w:r>
        <w:rPr/>
        <w:t>Bruce,</w:t>
      </w:r>
      <w:r>
        <w:rPr>
          <w:spacing w:val="-4"/>
        </w:rPr>
        <w:t> </w:t>
      </w:r>
      <w:r>
        <w:rPr/>
        <w:t>N.,</w:t>
      </w:r>
      <w:r>
        <w:rPr>
          <w:spacing w:val="-4"/>
        </w:rPr>
        <w:t> </w:t>
      </w:r>
      <w:r>
        <w:rPr/>
        <w:t>Pope,</w:t>
      </w:r>
      <w:r>
        <w:rPr>
          <w:spacing w:val="-4"/>
        </w:rPr>
        <w:t> </w:t>
      </w:r>
      <w:r>
        <w:rPr/>
        <w:t>D.,</w:t>
      </w:r>
      <w:r>
        <w:rPr>
          <w:spacing w:val="-4"/>
        </w:rPr>
        <w:t> </w:t>
      </w:r>
      <w:r>
        <w:rPr/>
        <w:t>Rehfuess,</w:t>
      </w:r>
      <w:r>
        <w:rPr>
          <w:spacing w:val="-4"/>
        </w:rPr>
        <w:t> </w:t>
      </w:r>
      <w:r>
        <w:rPr/>
        <w:t>E.,</w:t>
      </w:r>
      <w:r>
        <w:rPr>
          <w:spacing w:val="-4"/>
        </w:rPr>
        <w:t> </w:t>
      </w:r>
      <w:r>
        <w:rPr/>
        <w:t>Balakrishnan,</w:t>
      </w:r>
      <w:r>
        <w:rPr>
          <w:spacing w:val="-3"/>
        </w:rPr>
        <w:t> </w:t>
      </w:r>
      <w:r>
        <w:rPr/>
        <w:t>K.,</w:t>
      </w:r>
      <w:r>
        <w:rPr>
          <w:spacing w:val="-4"/>
        </w:rPr>
        <w:t> </w:t>
      </w:r>
      <w:r>
        <w:rPr/>
        <w:t>Adair-Rohani,</w:t>
      </w:r>
      <w:r>
        <w:rPr>
          <w:spacing w:val="-4"/>
        </w:rPr>
        <w:t> </w:t>
      </w:r>
      <w:r>
        <w:rPr/>
        <w:t>H.,</w:t>
      </w:r>
      <w:r>
        <w:rPr>
          <w:spacing w:val="-2"/>
        </w:rPr>
        <w:t> </w:t>
      </w:r>
      <w:r>
        <w:rPr/>
        <w:t>&amp;</w:t>
      </w:r>
      <w:r>
        <w:rPr>
          <w:spacing w:val="-4"/>
        </w:rPr>
        <w:t> </w:t>
      </w:r>
      <w:r>
        <w:rPr/>
        <w:t>Dorab,</w:t>
      </w:r>
      <w:r>
        <w:rPr>
          <w:spacing w:val="-4"/>
        </w:rPr>
        <w:t> </w:t>
      </w:r>
      <w:r>
        <w:rPr/>
        <w:t>C. (2015, April). WHO indoor air quality guidelines on household fuel combustion: Strategy implications of new evidence on interventions and exposure–risk functions. </w:t>
      </w:r>
      <w:r>
        <w:rPr>
          <w:i/>
        </w:rPr>
        <w:t>Atmospheric Environment, 106</w:t>
      </w:r>
      <w:r>
        <w:rPr/>
        <w:t>, 451-457.</w:t>
      </w:r>
    </w:p>
    <w:p>
      <w:pPr>
        <w:spacing w:line="259" w:lineRule="auto" w:before="159"/>
        <w:ind w:left="1308" w:right="396" w:hanging="720"/>
        <w:jc w:val="left"/>
        <w:rPr>
          <w:sz w:val="24"/>
        </w:rPr>
      </w:pPr>
      <w:r>
        <w:rPr>
          <w:sz w:val="24"/>
        </w:rPr>
        <w:t>Chakraborty,</w:t>
      </w:r>
      <w:r>
        <w:rPr>
          <w:spacing w:val="-2"/>
          <w:sz w:val="24"/>
        </w:rPr>
        <w:t> </w:t>
      </w:r>
      <w:r>
        <w:rPr>
          <w:sz w:val="24"/>
        </w:rPr>
        <w:t>D.,</w:t>
      </w:r>
      <w:r>
        <w:rPr>
          <w:spacing w:val="-2"/>
          <w:sz w:val="24"/>
        </w:rPr>
        <w:t> </w:t>
      </w:r>
      <w:r>
        <w:rPr>
          <w:sz w:val="24"/>
        </w:rPr>
        <w:t>Mondal,</w:t>
      </w:r>
      <w:r>
        <w:rPr>
          <w:spacing w:val="-2"/>
          <w:sz w:val="24"/>
        </w:rPr>
        <w:t> </w:t>
      </w:r>
      <w:r>
        <w:rPr>
          <w:sz w:val="24"/>
        </w:rPr>
        <w:t>N.</w:t>
      </w:r>
      <w:r>
        <w:rPr>
          <w:spacing w:val="-2"/>
          <w:sz w:val="24"/>
        </w:rPr>
        <w:t> </w:t>
      </w:r>
      <w:r>
        <w:rPr>
          <w:sz w:val="24"/>
        </w:rPr>
        <w:t>K.,</w:t>
      </w:r>
      <w:r>
        <w:rPr>
          <w:spacing w:val="-2"/>
          <w:sz w:val="24"/>
        </w:rPr>
        <w:t> </w:t>
      </w:r>
      <w:r>
        <w:rPr>
          <w:sz w:val="24"/>
        </w:rPr>
        <w:t>&amp;</w:t>
      </w:r>
      <w:r>
        <w:rPr>
          <w:spacing w:val="-4"/>
          <w:sz w:val="24"/>
        </w:rPr>
        <w:t> </w:t>
      </w:r>
      <w:r>
        <w:rPr>
          <w:sz w:val="24"/>
        </w:rPr>
        <w:t>Datta,</w:t>
      </w:r>
      <w:r>
        <w:rPr>
          <w:spacing w:val="-2"/>
          <w:sz w:val="24"/>
        </w:rPr>
        <w:t> </w:t>
      </w:r>
      <w:r>
        <w:rPr>
          <w:sz w:val="24"/>
        </w:rPr>
        <w:t>J.</w:t>
      </w:r>
      <w:r>
        <w:rPr>
          <w:spacing w:val="-2"/>
          <w:sz w:val="24"/>
        </w:rPr>
        <w:t> </w:t>
      </w:r>
      <w:r>
        <w:rPr>
          <w:sz w:val="24"/>
        </w:rPr>
        <w:t>K.</w:t>
      </w:r>
      <w:r>
        <w:rPr>
          <w:spacing w:val="-2"/>
          <w:sz w:val="24"/>
        </w:rPr>
        <w:t> </w:t>
      </w:r>
      <w:r>
        <w:rPr>
          <w:sz w:val="24"/>
        </w:rPr>
        <w:t>(2004). Indoor</w:t>
      </w:r>
      <w:r>
        <w:rPr>
          <w:spacing w:val="-3"/>
          <w:sz w:val="24"/>
        </w:rPr>
        <w:t> </w:t>
      </w:r>
      <w:r>
        <w:rPr>
          <w:sz w:val="24"/>
        </w:rPr>
        <w:t>pollution</w:t>
      </w:r>
      <w:r>
        <w:rPr>
          <w:spacing w:val="-2"/>
          <w:sz w:val="24"/>
        </w:rPr>
        <w:t> </w:t>
      </w:r>
      <w:r>
        <w:rPr>
          <w:sz w:val="24"/>
        </w:rPr>
        <w:t>from</w:t>
      </w:r>
      <w:r>
        <w:rPr>
          <w:spacing w:val="-2"/>
          <w:sz w:val="24"/>
        </w:rPr>
        <w:t> </w:t>
      </w:r>
      <w:r>
        <w:rPr>
          <w:sz w:val="24"/>
        </w:rPr>
        <w:t>solid biomass</w:t>
      </w:r>
      <w:r>
        <w:rPr>
          <w:spacing w:val="-4"/>
          <w:sz w:val="24"/>
        </w:rPr>
        <w:t> </w:t>
      </w:r>
      <w:r>
        <w:rPr>
          <w:sz w:val="24"/>
        </w:rPr>
        <w:t>fuel</w:t>
      </w:r>
      <w:r>
        <w:rPr>
          <w:spacing w:val="-4"/>
          <w:sz w:val="24"/>
        </w:rPr>
        <w:t> </w:t>
      </w:r>
      <w:r>
        <w:rPr>
          <w:sz w:val="24"/>
        </w:rPr>
        <w:t>and</w:t>
      </w:r>
      <w:r>
        <w:rPr>
          <w:spacing w:val="-4"/>
          <w:sz w:val="24"/>
        </w:rPr>
        <w:t> </w:t>
      </w:r>
      <w:r>
        <w:rPr>
          <w:sz w:val="24"/>
        </w:rPr>
        <w:t>rural</w:t>
      </w:r>
      <w:r>
        <w:rPr>
          <w:spacing w:val="-4"/>
          <w:sz w:val="24"/>
        </w:rPr>
        <w:t> </w:t>
      </w:r>
      <w:r>
        <w:rPr>
          <w:sz w:val="24"/>
        </w:rPr>
        <w:t>health</w:t>
      </w:r>
      <w:r>
        <w:rPr>
          <w:spacing w:val="-4"/>
          <w:sz w:val="24"/>
        </w:rPr>
        <w:t> </w:t>
      </w:r>
      <w:r>
        <w:rPr>
          <w:sz w:val="24"/>
        </w:rPr>
        <w:t>damage:A</w:t>
      </w:r>
      <w:r>
        <w:rPr>
          <w:spacing w:val="-4"/>
          <w:sz w:val="24"/>
        </w:rPr>
        <w:t> </w:t>
      </w:r>
      <w:r>
        <w:rPr>
          <w:sz w:val="24"/>
        </w:rPr>
        <w:t>micro-environmental</w:t>
      </w:r>
      <w:r>
        <w:rPr>
          <w:spacing w:val="-4"/>
          <w:sz w:val="24"/>
        </w:rPr>
        <w:t> </w:t>
      </w:r>
      <w:r>
        <w:rPr>
          <w:sz w:val="24"/>
        </w:rPr>
        <w:t>study</w:t>
      </w:r>
      <w:r>
        <w:rPr>
          <w:spacing w:val="-8"/>
          <w:sz w:val="24"/>
        </w:rPr>
        <w:t> </w:t>
      </w:r>
      <w:r>
        <w:rPr>
          <w:sz w:val="24"/>
        </w:rPr>
        <w:t>in</w:t>
      </w:r>
      <w:r>
        <w:rPr>
          <w:spacing w:val="-4"/>
          <w:sz w:val="24"/>
        </w:rPr>
        <w:t> </w:t>
      </w:r>
      <w:r>
        <w:rPr>
          <w:sz w:val="24"/>
        </w:rPr>
        <w:t>rural area of Burdwan, West Bengal. </w:t>
      </w:r>
      <w:r>
        <w:rPr>
          <w:i/>
          <w:sz w:val="24"/>
        </w:rPr>
        <w:t>International Journal of Sustainable Built Environment</w:t>
      </w:r>
      <w:r>
        <w:rPr>
          <w:sz w:val="24"/>
        </w:rPr>
        <w:t>, 262-271.</w:t>
      </w:r>
    </w:p>
    <w:p>
      <w:pPr>
        <w:pStyle w:val="BodyText"/>
        <w:spacing w:line="259" w:lineRule="auto" w:before="160"/>
        <w:ind w:left="1308" w:right="396" w:hanging="720"/>
      </w:pPr>
      <w:r>
        <w:rPr/>
        <w:t>Cole,</w:t>
      </w:r>
      <w:r>
        <w:rPr>
          <w:spacing w:val="-4"/>
        </w:rPr>
        <w:t> </w:t>
      </w:r>
      <w:r>
        <w:rPr/>
        <w:t>J.</w:t>
      </w:r>
      <w:r>
        <w:rPr>
          <w:spacing w:val="-4"/>
        </w:rPr>
        <w:t> </w:t>
      </w:r>
      <w:r>
        <w:rPr/>
        <w:t>(2001,</w:t>
      </w:r>
      <w:r>
        <w:rPr>
          <w:spacing w:val="-4"/>
        </w:rPr>
        <w:t> </w:t>
      </w:r>
      <w:r>
        <w:rPr/>
        <w:t>March</w:t>
      </w:r>
      <w:r>
        <w:rPr>
          <w:spacing w:val="-4"/>
        </w:rPr>
        <w:t> </w:t>
      </w:r>
      <w:r>
        <w:rPr/>
        <w:t>19).</w:t>
      </w:r>
      <w:r>
        <w:rPr>
          <w:spacing w:val="-3"/>
        </w:rPr>
        <w:t> </w:t>
      </w:r>
      <w:r>
        <w:rPr>
          <w:i/>
        </w:rPr>
        <w:t>Earth</w:t>
      </w:r>
      <w:r>
        <w:rPr>
          <w:i/>
          <w:spacing w:val="-4"/>
        </w:rPr>
        <w:t> </w:t>
      </w:r>
      <w:r>
        <w:rPr>
          <w:i/>
        </w:rPr>
        <w:t>observatory.</w:t>
      </w:r>
      <w:r>
        <w:rPr>
          <w:i/>
          <w:spacing w:val="-4"/>
        </w:rPr>
        <w:t> </w:t>
      </w:r>
      <w:r>
        <w:rPr/>
        <w:t>Retrieved</w:t>
      </w:r>
      <w:r>
        <w:rPr>
          <w:spacing w:val="-4"/>
        </w:rPr>
        <w:t> </w:t>
      </w:r>
      <w:r>
        <w:rPr/>
        <w:t>from</w:t>
      </w:r>
      <w:r>
        <w:rPr>
          <w:spacing w:val="-2"/>
        </w:rPr>
        <w:t> </w:t>
      </w:r>
      <w:r>
        <w:rPr/>
        <w:t>Biomass</w:t>
      </w:r>
      <w:r>
        <w:rPr>
          <w:spacing w:val="-4"/>
        </w:rPr>
        <w:t> </w:t>
      </w:r>
      <w:r>
        <w:rPr/>
        <w:t>burning: </w:t>
      </w:r>
      <w:r>
        <w:rPr>
          <w:spacing w:val="-2"/>
        </w:rPr>
        <w:t>https://earthobservatory.nasa.gov/Features/BiomassBurning/</w:t>
      </w:r>
    </w:p>
    <w:p>
      <w:pPr>
        <w:pStyle w:val="BodyText"/>
        <w:spacing w:line="259" w:lineRule="auto" w:before="160"/>
        <w:ind w:left="1308" w:hanging="720"/>
      </w:pPr>
      <w:r>
        <w:rPr/>
        <w:t>Cullis, C., &amp; Hirschler, M. (1989). Man’s emissions of carbon monoxide and hydrocarbons</w:t>
      </w:r>
      <w:r>
        <w:rPr>
          <w:spacing w:val="-5"/>
        </w:rPr>
        <w:t> </w:t>
      </w:r>
      <w:r>
        <w:rPr/>
        <w:t>into</w:t>
      </w:r>
      <w:r>
        <w:rPr>
          <w:spacing w:val="-5"/>
        </w:rPr>
        <w:t> </w:t>
      </w:r>
      <w:r>
        <w:rPr/>
        <w:t>the</w:t>
      </w:r>
      <w:r>
        <w:rPr>
          <w:spacing w:val="-6"/>
        </w:rPr>
        <w:t> </w:t>
      </w:r>
      <w:r>
        <w:rPr/>
        <w:t>atmosphere.</w:t>
      </w:r>
      <w:r>
        <w:rPr>
          <w:spacing w:val="-3"/>
        </w:rPr>
        <w:t> </w:t>
      </w:r>
      <w:r>
        <w:rPr>
          <w:i/>
        </w:rPr>
        <w:t>Atmospheric</w:t>
      </w:r>
      <w:r>
        <w:rPr>
          <w:i/>
          <w:spacing w:val="-4"/>
        </w:rPr>
        <w:t> </w:t>
      </w:r>
      <w:r>
        <w:rPr>
          <w:i/>
        </w:rPr>
        <w:t>environment,</w:t>
      </w:r>
      <w:r>
        <w:rPr>
          <w:i/>
          <w:spacing w:val="-5"/>
        </w:rPr>
        <w:t> </w:t>
      </w:r>
      <w:r>
        <w:rPr>
          <w:i/>
        </w:rPr>
        <w:t>23</w:t>
      </w:r>
      <w:r>
        <w:rPr/>
        <w:t>,</w:t>
      </w:r>
      <w:r>
        <w:rPr>
          <w:spacing w:val="-5"/>
        </w:rPr>
        <w:t> </w:t>
      </w:r>
      <w:r>
        <w:rPr/>
        <w:t>1195–1203.</w:t>
      </w:r>
    </w:p>
    <w:p>
      <w:pPr>
        <w:pStyle w:val="BodyText"/>
        <w:spacing w:before="157"/>
        <w:ind w:left="588"/>
        <w:rPr>
          <w:i/>
        </w:rPr>
      </w:pPr>
      <w:r>
        <w:rPr/>
        <w:t>Dhimal,</w:t>
      </w:r>
      <w:r>
        <w:rPr>
          <w:spacing w:val="-1"/>
        </w:rPr>
        <w:t> </w:t>
      </w:r>
      <w:r>
        <w:rPr/>
        <w:t>M., KB,</w:t>
      </w:r>
      <w:r>
        <w:rPr>
          <w:spacing w:val="-1"/>
        </w:rPr>
        <w:t> </w:t>
      </w:r>
      <w:r>
        <w:rPr/>
        <w:t>K., KK,</w:t>
      </w:r>
      <w:r>
        <w:rPr>
          <w:spacing w:val="1"/>
        </w:rPr>
        <w:t> </w:t>
      </w:r>
      <w:r>
        <w:rPr/>
        <w:t>A.,</w:t>
      </w:r>
      <w:r>
        <w:rPr>
          <w:spacing w:val="-1"/>
        </w:rPr>
        <w:t> </w:t>
      </w:r>
      <w:r>
        <w:rPr/>
        <w:t>P, D., HD,</w:t>
      </w:r>
      <w:r>
        <w:rPr>
          <w:spacing w:val="-1"/>
        </w:rPr>
        <w:t> </w:t>
      </w:r>
      <w:r>
        <w:rPr/>
        <w:t>J., AR,</w:t>
      </w:r>
      <w:r>
        <w:rPr>
          <w:spacing w:val="-1"/>
        </w:rPr>
        <w:t> </w:t>
      </w:r>
      <w:r>
        <w:rPr/>
        <w:t>P., . .</w:t>
      </w:r>
      <w:r>
        <w:rPr>
          <w:spacing w:val="-1"/>
        </w:rPr>
        <w:t> </w:t>
      </w:r>
      <w:r>
        <w:rPr/>
        <w:t>. NB, M.</w:t>
      </w:r>
      <w:r>
        <w:rPr>
          <w:spacing w:val="-1"/>
        </w:rPr>
        <w:t> </w:t>
      </w:r>
      <w:r>
        <w:rPr/>
        <w:t>(2016).</w:t>
      </w:r>
      <w:r>
        <w:rPr>
          <w:spacing w:val="4"/>
        </w:rPr>
        <w:t> </w:t>
      </w:r>
      <w:r>
        <w:rPr>
          <w:i/>
        </w:rPr>
        <w:t>Indoor </w:t>
      </w:r>
      <w:r>
        <w:rPr>
          <w:i/>
          <w:spacing w:val="-5"/>
        </w:rPr>
        <w:t>Air</w:t>
      </w:r>
    </w:p>
    <w:p>
      <w:pPr>
        <w:spacing w:line="259" w:lineRule="auto" w:before="24"/>
        <w:ind w:left="1308" w:right="396" w:firstLine="0"/>
        <w:jc w:val="left"/>
        <w:rPr>
          <w:sz w:val="24"/>
        </w:rPr>
      </w:pPr>
      <w:r>
        <w:rPr>
          <w:i/>
          <w:sz w:val="24"/>
        </w:rPr>
        <w:t>Pollution</w:t>
      </w:r>
      <w:r>
        <w:rPr>
          <w:i/>
          <w:spacing w:val="-4"/>
          <w:sz w:val="24"/>
        </w:rPr>
        <w:t> </w:t>
      </w:r>
      <w:r>
        <w:rPr>
          <w:i/>
          <w:sz w:val="24"/>
        </w:rPr>
        <w:t>and</w:t>
      </w:r>
      <w:r>
        <w:rPr>
          <w:i/>
          <w:spacing w:val="-4"/>
          <w:sz w:val="24"/>
        </w:rPr>
        <w:t> </w:t>
      </w:r>
      <w:r>
        <w:rPr>
          <w:i/>
          <w:sz w:val="24"/>
        </w:rPr>
        <w:t>its</w:t>
      </w:r>
      <w:r>
        <w:rPr>
          <w:i/>
          <w:spacing w:val="-4"/>
          <w:sz w:val="24"/>
        </w:rPr>
        <w:t> </w:t>
      </w:r>
      <w:r>
        <w:rPr>
          <w:i/>
          <w:sz w:val="24"/>
        </w:rPr>
        <w:t>effects</w:t>
      </w:r>
      <w:r>
        <w:rPr>
          <w:i/>
          <w:spacing w:val="-4"/>
          <w:sz w:val="24"/>
        </w:rPr>
        <w:t> </w:t>
      </w:r>
      <w:r>
        <w:rPr>
          <w:i/>
          <w:sz w:val="24"/>
        </w:rPr>
        <w:t>on</w:t>
      </w:r>
      <w:r>
        <w:rPr>
          <w:i/>
          <w:spacing w:val="-4"/>
          <w:sz w:val="24"/>
        </w:rPr>
        <w:t> </w:t>
      </w:r>
      <w:r>
        <w:rPr>
          <w:i/>
          <w:sz w:val="24"/>
        </w:rPr>
        <w:t>Human</w:t>
      </w:r>
      <w:r>
        <w:rPr>
          <w:i/>
          <w:spacing w:val="-4"/>
          <w:sz w:val="24"/>
        </w:rPr>
        <w:t> </w:t>
      </w:r>
      <w:r>
        <w:rPr>
          <w:i/>
          <w:sz w:val="24"/>
        </w:rPr>
        <w:t>Health</w:t>
      </w:r>
      <w:r>
        <w:rPr>
          <w:i/>
          <w:spacing w:val="-4"/>
          <w:sz w:val="24"/>
        </w:rPr>
        <w:t> </w:t>
      </w:r>
      <w:r>
        <w:rPr>
          <w:i/>
          <w:sz w:val="24"/>
        </w:rPr>
        <w:t>in</w:t>
      </w:r>
      <w:r>
        <w:rPr>
          <w:i/>
          <w:spacing w:val="-4"/>
          <w:sz w:val="24"/>
        </w:rPr>
        <w:t> </w:t>
      </w:r>
      <w:r>
        <w:rPr>
          <w:i/>
          <w:sz w:val="24"/>
        </w:rPr>
        <w:t>Ilam</w:t>
      </w:r>
      <w:r>
        <w:rPr>
          <w:i/>
          <w:spacing w:val="-3"/>
          <w:sz w:val="24"/>
        </w:rPr>
        <w:t> </w:t>
      </w:r>
      <w:r>
        <w:rPr>
          <w:i/>
          <w:sz w:val="24"/>
        </w:rPr>
        <w:t>District.</w:t>
      </w:r>
      <w:r>
        <w:rPr>
          <w:i/>
          <w:spacing w:val="-3"/>
          <w:sz w:val="24"/>
        </w:rPr>
        <w:t> </w:t>
      </w:r>
      <w:r>
        <w:rPr>
          <w:sz w:val="24"/>
        </w:rPr>
        <w:t>Kathmandu: Government of Nepal, Nepal Health Research Council (NHRC).</w:t>
      </w:r>
    </w:p>
    <w:p>
      <w:pPr>
        <w:pStyle w:val="BodyText"/>
        <w:spacing w:line="259" w:lineRule="auto" w:before="158"/>
        <w:ind w:left="1308" w:hanging="720"/>
      </w:pPr>
      <w:r>
        <w:rPr/>
        <w:t>Ezzati, M., &amp; Kammen, D. (2002). The health impacts of exposure to indoor air pollution</w:t>
      </w:r>
      <w:r>
        <w:rPr>
          <w:spacing w:val="-4"/>
        </w:rPr>
        <w:t> </w:t>
      </w:r>
      <w:r>
        <w:rPr/>
        <w:t>from</w:t>
      </w:r>
      <w:r>
        <w:rPr>
          <w:spacing w:val="-4"/>
        </w:rPr>
        <w:t> </w:t>
      </w:r>
      <w:r>
        <w:rPr/>
        <w:t>solid</w:t>
      </w:r>
      <w:r>
        <w:rPr>
          <w:spacing w:val="-4"/>
        </w:rPr>
        <w:t> </w:t>
      </w:r>
      <w:r>
        <w:rPr/>
        <w:t>fuels</w:t>
      </w:r>
      <w:r>
        <w:rPr>
          <w:spacing w:val="-6"/>
        </w:rPr>
        <w:t> </w:t>
      </w:r>
      <w:r>
        <w:rPr/>
        <w:t>in</w:t>
      </w:r>
      <w:r>
        <w:rPr>
          <w:spacing w:val="-4"/>
        </w:rPr>
        <w:t> </w:t>
      </w:r>
      <w:r>
        <w:rPr/>
        <w:t>developing</w:t>
      </w:r>
      <w:r>
        <w:rPr>
          <w:spacing w:val="-5"/>
        </w:rPr>
        <w:t> </w:t>
      </w:r>
      <w:r>
        <w:rPr/>
        <w:t>countries:</w:t>
      </w:r>
      <w:r>
        <w:rPr>
          <w:spacing w:val="-2"/>
        </w:rPr>
        <w:t> </w:t>
      </w:r>
      <w:r>
        <w:rPr/>
        <w:t>knowledge,</w:t>
      </w:r>
      <w:r>
        <w:rPr>
          <w:spacing w:val="-2"/>
        </w:rPr>
        <w:t> </w:t>
      </w:r>
      <w:r>
        <w:rPr/>
        <w:t>gaps,</w:t>
      </w:r>
      <w:r>
        <w:rPr>
          <w:spacing w:val="-2"/>
        </w:rPr>
        <w:t> </w:t>
      </w:r>
      <w:r>
        <w:rPr/>
        <w:t>and</w:t>
      </w:r>
      <w:r>
        <w:rPr>
          <w:spacing w:val="-4"/>
        </w:rPr>
        <w:t> </w:t>
      </w:r>
      <w:r>
        <w:rPr/>
        <w:t>data needs. </w:t>
      </w:r>
      <w:r>
        <w:rPr>
          <w:i/>
        </w:rPr>
        <w:t>Environmental health perspectives, 110</w:t>
      </w:r>
      <w:r>
        <w:rPr/>
        <w:t>, 1057–1068.</w:t>
      </w:r>
    </w:p>
    <w:p>
      <w:pPr>
        <w:spacing w:after="0" w:line="259" w:lineRule="auto"/>
        <w:sectPr>
          <w:pgSz w:w="11910" w:h="16840"/>
          <w:pgMar w:header="0" w:footer="1012" w:top="1620" w:bottom="1200" w:left="1680" w:right="1240"/>
        </w:sectPr>
      </w:pPr>
    </w:p>
    <w:p>
      <w:pPr>
        <w:spacing w:line="259" w:lineRule="auto" w:before="62"/>
        <w:ind w:left="1308" w:right="215" w:hanging="720"/>
        <w:jc w:val="left"/>
        <w:rPr>
          <w:sz w:val="24"/>
        </w:rPr>
      </w:pPr>
      <w:r>
        <w:rPr>
          <w:sz w:val="24"/>
        </w:rPr>
        <w:t>Ezzati,</w:t>
      </w:r>
      <w:r>
        <w:rPr>
          <w:spacing w:val="-3"/>
          <w:sz w:val="24"/>
        </w:rPr>
        <w:t> </w:t>
      </w:r>
      <w:r>
        <w:rPr>
          <w:sz w:val="24"/>
        </w:rPr>
        <w:t>M.,</w:t>
      </w:r>
      <w:r>
        <w:rPr>
          <w:spacing w:val="-3"/>
          <w:sz w:val="24"/>
        </w:rPr>
        <w:t> </w:t>
      </w:r>
      <w:r>
        <w:rPr>
          <w:sz w:val="24"/>
        </w:rPr>
        <w:t>&amp;</w:t>
      </w:r>
      <w:r>
        <w:rPr>
          <w:spacing w:val="-5"/>
          <w:sz w:val="24"/>
        </w:rPr>
        <w:t> </w:t>
      </w:r>
      <w:r>
        <w:rPr>
          <w:sz w:val="24"/>
        </w:rPr>
        <w:t>Kammen,</w:t>
      </w:r>
      <w:r>
        <w:rPr>
          <w:spacing w:val="-3"/>
          <w:sz w:val="24"/>
        </w:rPr>
        <w:t> </w:t>
      </w:r>
      <w:r>
        <w:rPr>
          <w:sz w:val="24"/>
        </w:rPr>
        <w:t>D.</w:t>
      </w:r>
      <w:r>
        <w:rPr>
          <w:spacing w:val="-3"/>
          <w:sz w:val="24"/>
        </w:rPr>
        <w:t> </w:t>
      </w:r>
      <w:r>
        <w:rPr>
          <w:sz w:val="24"/>
        </w:rPr>
        <w:t>M.</w:t>
      </w:r>
      <w:r>
        <w:rPr>
          <w:spacing w:val="-3"/>
          <w:sz w:val="24"/>
        </w:rPr>
        <w:t> </w:t>
      </w:r>
      <w:r>
        <w:rPr>
          <w:sz w:val="24"/>
        </w:rPr>
        <w:t>(2000).</w:t>
      </w:r>
      <w:r>
        <w:rPr>
          <w:spacing w:val="-3"/>
          <w:sz w:val="24"/>
        </w:rPr>
        <w:t> </w:t>
      </w:r>
      <w:r>
        <w:rPr>
          <w:sz w:val="24"/>
        </w:rPr>
        <w:t>Quantifying</w:t>
      </w:r>
      <w:r>
        <w:rPr>
          <w:spacing w:val="-6"/>
          <w:sz w:val="24"/>
        </w:rPr>
        <w:t> </w:t>
      </w:r>
      <w:r>
        <w:rPr>
          <w:sz w:val="24"/>
        </w:rPr>
        <w:t>the</w:t>
      </w:r>
      <w:r>
        <w:rPr>
          <w:spacing w:val="-3"/>
          <w:sz w:val="24"/>
        </w:rPr>
        <w:t> </w:t>
      </w:r>
      <w:r>
        <w:rPr>
          <w:sz w:val="24"/>
        </w:rPr>
        <w:t>Effects</w:t>
      </w:r>
      <w:r>
        <w:rPr>
          <w:spacing w:val="-3"/>
          <w:sz w:val="24"/>
        </w:rPr>
        <w:t> </w:t>
      </w:r>
      <w:r>
        <w:rPr>
          <w:sz w:val="24"/>
        </w:rPr>
        <w:t>of</w:t>
      </w:r>
      <w:r>
        <w:rPr>
          <w:spacing w:val="-3"/>
          <w:sz w:val="24"/>
        </w:rPr>
        <w:t> </w:t>
      </w:r>
      <w:r>
        <w:rPr>
          <w:sz w:val="24"/>
        </w:rPr>
        <w:t>Exposure</w:t>
      </w:r>
      <w:r>
        <w:rPr>
          <w:spacing w:val="-5"/>
          <w:sz w:val="24"/>
        </w:rPr>
        <w:t> </w:t>
      </w:r>
      <w:r>
        <w:rPr>
          <w:sz w:val="24"/>
        </w:rPr>
        <w:t>to</w:t>
      </w:r>
      <w:r>
        <w:rPr>
          <w:spacing w:val="-1"/>
          <w:sz w:val="24"/>
        </w:rPr>
        <w:t> </w:t>
      </w:r>
      <w:r>
        <w:rPr>
          <w:sz w:val="24"/>
        </w:rPr>
        <w:t>Indoor Air Pollution from Biomass. </w:t>
      </w:r>
      <w:r>
        <w:rPr>
          <w:i/>
          <w:sz w:val="24"/>
        </w:rPr>
        <w:t>Environmental Health Perspectives, 109</w:t>
      </w:r>
      <w:r>
        <w:rPr>
          <w:sz w:val="24"/>
        </w:rPr>
        <w:t>, 482- </w:t>
      </w:r>
      <w:r>
        <w:rPr>
          <w:spacing w:val="-4"/>
          <w:sz w:val="24"/>
        </w:rPr>
        <w:t>487.</w:t>
      </w:r>
    </w:p>
    <w:p>
      <w:pPr>
        <w:pStyle w:val="BodyText"/>
        <w:spacing w:line="259" w:lineRule="auto" w:before="160"/>
        <w:ind w:left="1308" w:right="896" w:hanging="720"/>
        <w:jc w:val="both"/>
      </w:pPr>
      <w:r>
        <w:rPr/>
        <w:t>Fullerton,</w:t>
      </w:r>
      <w:r>
        <w:rPr>
          <w:spacing w:val="-2"/>
        </w:rPr>
        <w:t> </w:t>
      </w:r>
      <w:r>
        <w:rPr/>
        <w:t>D.</w:t>
      </w:r>
      <w:r>
        <w:rPr>
          <w:spacing w:val="-2"/>
        </w:rPr>
        <w:t> </w:t>
      </w:r>
      <w:r>
        <w:rPr/>
        <w:t>G.,</w:t>
      </w:r>
      <w:r>
        <w:rPr>
          <w:spacing w:val="-2"/>
        </w:rPr>
        <w:t> </w:t>
      </w:r>
      <w:r>
        <w:rPr/>
        <w:t>Bruce,</w:t>
      </w:r>
      <w:r>
        <w:rPr>
          <w:spacing w:val="-1"/>
        </w:rPr>
        <w:t> </w:t>
      </w:r>
      <w:r>
        <w:rPr/>
        <w:t>N.,</w:t>
      </w:r>
      <w:r>
        <w:rPr>
          <w:spacing w:val="-2"/>
        </w:rPr>
        <w:t> </w:t>
      </w:r>
      <w:r>
        <w:rPr/>
        <w:t>&amp;</w:t>
      </w:r>
      <w:r>
        <w:rPr>
          <w:spacing w:val="-5"/>
        </w:rPr>
        <w:t> </w:t>
      </w:r>
      <w:r>
        <w:rPr/>
        <w:t>Gordon,</w:t>
      </w:r>
      <w:r>
        <w:rPr>
          <w:spacing w:val="-3"/>
        </w:rPr>
        <w:t> </w:t>
      </w:r>
      <w:r>
        <w:rPr/>
        <w:t>S.</w:t>
      </w:r>
      <w:r>
        <w:rPr>
          <w:spacing w:val="-2"/>
        </w:rPr>
        <w:t> </w:t>
      </w:r>
      <w:r>
        <w:rPr/>
        <w:t>B.</w:t>
      </w:r>
      <w:r>
        <w:rPr>
          <w:spacing w:val="-2"/>
        </w:rPr>
        <w:t> </w:t>
      </w:r>
      <w:r>
        <w:rPr/>
        <w:t>(2008).</w:t>
      </w:r>
      <w:r>
        <w:rPr>
          <w:spacing w:val="-2"/>
        </w:rPr>
        <w:t> </w:t>
      </w:r>
      <w:r>
        <w:rPr/>
        <w:t>Indoor</w:t>
      </w:r>
      <w:r>
        <w:rPr>
          <w:spacing w:val="-3"/>
        </w:rPr>
        <w:t> </w:t>
      </w:r>
      <w:r>
        <w:rPr/>
        <w:t>air</w:t>
      </w:r>
      <w:r>
        <w:rPr>
          <w:spacing w:val="-2"/>
        </w:rPr>
        <w:t> </w:t>
      </w:r>
      <w:r>
        <w:rPr/>
        <w:t>pollution</w:t>
      </w:r>
      <w:r>
        <w:rPr>
          <w:spacing w:val="-2"/>
        </w:rPr>
        <w:t> </w:t>
      </w:r>
      <w:r>
        <w:rPr/>
        <w:t>from biomass</w:t>
      </w:r>
      <w:r>
        <w:rPr>
          <w:spacing w:val="-4"/>
        </w:rPr>
        <w:t> </w:t>
      </w:r>
      <w:r>
        <w:rPr/>
        <w:t>fuel</w:t>
      </w:r>
      <w:r>
        <w:rPr>
          <w:spacing w:val="-4"/>
        </w:rPr>
        <w:t> </w:t>
      </w:r>
      <w:r>
        <w:rPr/>
        <w:t>smoke</w:t>
      </w:r>
      <w:r>
        <w:rPr>
          <w:spacing w:val="-5"/>
        </w:rPr>
        <w:t> </w:t>
      </w:r>
      <w:r>
        <w:rPr/>
        <w:t>is</w:t>
      </w:r>
      <w:r>
        <w:rPr>
          <w:spacing w:val="-4"/>
        </w:rPr>
        <w:t> </w:t>
      </w:r>
      <w:r>
        <w:rPr/>
        <w:t>a</w:t>
      </w:r>
      <w:r>
        <w:rPr>
          <w:spacing w:val="-4"/>
        </w:rPr>
        <w:t> </w:t>
      </w:r>
      <w:r>
        <w:rPr/>
        <w:t>major</w:t>
      </w:r>
      <w:r>
        <w:rPr>
          <w:spacing w:val="-4"/>
        </w:rPr>
        <w:t> </w:t>
      </w:r>
      <w:r>
        <w:rPr/>
        <w:t>health</w:t>
      </w:r>
      <w:r>
        <w:rPr>
          <w:spacing w:val="-4"/>
        </w:rPr>
        <w:t> </w:t>
      </w:r>
      <w:r>
        <w:rPr/>
        <w:t>concern</w:t>
      </w:r>
      <w:r>
        <w:rPr>
          <w:spacing w:val="-4"/>
        </w:rPr>
        <w:t> </w:t>
      </w:r>
      <w:r>
        <w:rPr/>
        <w:t>in</w:t>
      </w:r>
      <w:r>
        <w:rPr>
          <w:spacing w:val="-4"/>
        </w:rPr>
        <w:t> </w:t>
      </w:r>
      <w:r>
        <w:rPr/>
        <w:t>the</w:t>
      </w:r>
      <w:r>
        <w:rPr>
          <w:spacing w:val="-5"/>
        </w:rPr>
        <w:t> </w:t>
      </w:r>
      <w:r>
        <w:rPr/>
        <w:t>developing</w:t>
      </w:r>
      <w:r>
        <w:rPr>
          <w:spacing w:val="-6"/>
        </w:rPr>
        <w:t> </w:t>
      </w:r>
      <w:r>
        <w:rPr/>
        <w:t>world. </w:t>
      </w:r>
      <w:r>
        <w:rPr>
          <w:i/>
        </w:rPr>
        <w:t>Transactions of Royal Soceity, 102</w:t>
      </w:r>
      <w:r>
        <w:rPr/>
        <w:t>(9), 843–851.</w:t>
      </w:r>
    </w:p>
    <w:p>
      <w:pPr>
        <w:pStyle w:val="BodyText"/>
        <w:spacing w:line="259" w:lineRule="auto" w:before="159"/>
        <w:ind w:left="1308" w:right="257" w:hanging="720"/>
      </w:pPr>
      <w:r>
        <w:rPr/>
        <w:t>Fullerton,</w:t>
      </w:r>
      <w:r>
        <w:rPr>
          <w:spacing w:val="-4"/>
        </w:rPr>
        <w:t> </w:t>
      </w:r>
      <w:r>
        <w:rPr/>
        <w:t>D.</w:t>
      </w:r>
      <w:r>
        <w:rPr>
          <w:spacing w:val="-4"/>
        </w:rPr>
        <w:t> </w:t>
      </w:r>
      <w:r>
        <w:rPr/>
        <w:t>G.,</w:t>
      </w:r>
      <w:r>
        <w:rPr>
          <w:spacing w:val="-4"/>
        </w:rPr>
        <w:t> </w:t>
      </w:r>
      <w:r>
        <w:rPr/>
        <w:t>Semple,</w:t>
      </w:r>
      <w:r>
        <w:rPr>
          <w:spacing w:val="-3"/>
        </w:rPr>
        <w:t> </w:t>
      </w:r>
      <w:r>
        <w:rPr/>
        <w:t>S.,</w:t>
      </w:r>
      <w:r>
        <w:rPr>
          <w:spacing w:val="-4"/>
        </w:rPr>
        <w:t> </w:t>
      </w:r>
      <w:r>
        <w:rPr/>
        <w:t>Kalambo,</w:t>
      </w:r>
      <w:r>
        <w:rPr>
          <w:spacing w:val="-4"/>
        </w:rPr>
        <w:t> </w:t>
      </w:r>
      <w:r>
        <w:rPr/>
        <w:t>F.,</w:t>
      </w:r>
      <w:r>
        <w:rPr>
          <w:spacing w:val="-4"/>
        </w:rPr>
        <w:t> </w:t>
      </w:r>
      <w:r>
        <w:rPr/>
        <w:t>Suseno,</w:t>
      </w:r>
      <w:r>
        <w:rPr>
          <w:spacing w:val="-2"/>
        </w:rPr>
        <w:t> </w:t>
      </w:r>
      <w:r>
        <w:rPr/>
        <w:t>A.,</w:t>
      </w:r>
      <w:r>
        <w:rPr>
          <w:spacing w:val="-4"/>
        </w:rPr>
        <w:t> </w:t>
      </w:r>
      <w:r>
        <w:rPr/>
        <w:t>Malamba,</w:t>
      </w:r>
      <w:r>
        <w:rPr>
          <w:spacing w:val="-2"/>
        </w:rPr>
        <w:t> </w:t>
      </w:r>
      <w:r>
        <w:rPr/>
        <w:t>&amp;</w:t>
      </w:r>
      <w:r>
        <w:rPr>
          <w:spacing w:val="-6"/>
        </w:rPr>
        <w:t> </w:t>
      </w:r>
      <w:r>
        <w:rPr/>
        <w:t>Henderson,</w:t>
      </w:r>
      <w:r>
        <w:rPr>
          <w:spacing w:val="-4"/>
        </w:rPr>
        <w:t> </w:t>
      </w:r>
      <w:r>
        <w:rPr/>
        <w:t>G. (2009). Biomass fuel use and indoor air pollution in homes in Malawi.</w:t>
      </w:r>
    </w:p>
    <w:p>
      <w:pPr>
        <w:spacing w:line="275" w:lineRule="exact" w:before="0"/>
        <w:ind w:left="1308" w:right="0" w:firstLine="0"/>
        <w:jc w:val="left"/>
        <w:rPr>
          <w:sz w:val="24"/>
        </w:rPr>
      </w:pPr>
      <w:r>
        <w:rPr>
          <w:i/>
          <w:sz w:val="24"/>
        </w:rPr>
        <w:t>Occupational</w:t>
      </w:r>
      <w:r>
        <w:rPr>
          <w:i/>
          <w:spacing w:val="-1"/>
          <w:sz w:val="24"/>
        </w:rPr>
        <w:t> </w:t>
      </w:r>
      <w:r>
        <w:rPr>
          <w:i/>
          <w:sz w:val="24"/>
        </w:rPr>
        <w:t>Environmental</w:t>
      </w:r>
      <w:r>
        <w:rPr>
          <w:i/>
          <w:spacing w:val="-1"/>
          <w:sz w:val="24"/>
        </w:rPr>
        <w:t> </w:t>
      </w:r>
      <w:r>
        <w:rPr>
          <w:i/>
          <w:sz w:val="24"/>
        </w:rPr>
        <w:t>Medicine,</w:t>
      </w:r>
      <w:r>
        <w:rPr>
          <w:i/>
          <w:spacing w:val="-1"/>
          <w:sz w:val="24"/>
        </w:rPr>
        <w:t> </w:t>
      </w:r>
      <w:r>
        <w:rPr>
          <w:i/>
          <w:sz w:val="24"/>
        </w:rPr>
        <w:t>66</w:t>
      </w:r>
      <w:r>
        <w:rPr>
          <w:sz w:val="24"/>
        </w:rPr>
        <w:t>,</w:t>
      </w:r>
      <w:r>
        <w:rPr>
          <w:spacing w:val="-1"/>
          <w:sz w:val="24"/>
        </w:rPr>
        <w:t> </w:t>
      </w:r>
      <w:r>
        <w:rPr>
          <w:spacing w:val="-2"/>
          <w:sz w:val="24"/>
        </w:rPr>
        <w:t>777–783.</w:t>
      </w:r>
    </w:p>
    <w:p>
      <w:pPr>
        <w:spacing w:line="259" w:lineRule="auto" w:before="183"/>
        <w:ind w:left="1308" w:right="0" w:hanging="720"/>
        <w:jc w:val="left"/>
        <w:rPr>
          <w:sz w:val="24"/>
        </w:rPr>
      </w:pPr>
      <w:r>
        <w:rPr>
          <w:sz w:val="24"/>
        </w:rPr>
        <w:t>Joon, V., Kumar, K., Bhattacharya, M., &amp; Chandra, A. (2014). Non-Invasive Measurement</w:t>
      </w:r>
      <w:r>
        <w:rPr>
          <w:spacing w:val="-4"/>
          <w:sz w:val="24"/>
        </w:rPr>
        <w:t> </w:t>
      </w:r>
      <w:r>
        <w:rPr>
          <w:sz w:val="24"/>
        </w:rPr>
        <w:t>of</w:t>
      </w:r>
      <w:r>
        <w:rPr>
          <w:spacing w:val="-4"/>
          <w:sz w:val="24"/>
        </w:rPr>
        <w:t> </w:t>
      </w:r>
      <w:r>
        <w:rPr>
          <w:sz w:val="24"/>
        </w:rPr>
        <w:t>Carbon</w:t>
      </w:r>
      <w:r>
        <w:rPr>
          <w:spacing w:val="-3"/>
          <w:sz w:val="24"/>
        </w:rPr>
        <w:t> </w:t>
      </w:r>
      <w:r>
        <w:rPr>
          <w:sz w:val="24"/>
        </w:rPr>
        <w:t>Monoxide</w:t>
      </w:r>
      <w:r>
        <w:rPr>
          <w:spacing w:val="-4"/>
          <w:sz w:val="24"/>
        </w:rPr>
        <w:t> </w:t>
      </w:r>
      <w:r>
        <w:rPr>
          <w:sz w:val="24"/>
        </w:rPr>
        <w:t>in</w:t>
      </w:r>
      <w:r>
        <w:rPr>
          <w:spacing w:val="-4"/>
          <w:sz w:val="24"/>
        </w:rPr>
        <w:t> </w:t>
      </w:r>
      <w:r>
        <w:rPr>
          <w:sz w:val="24"/>
        </w:rPr>
        <w:t>Rural</w:t>
      </w:r>
      <w:r>
        <w:rPr>
          <w:spacing w:val="-4"/>
          <w:sz w:val="24"/>
        </w:rPr>
        <w:t> </w:t>
      </w:r>
      <w:r>
        <w:rPr>
          <w:sz w:val="24"/>
        </w:rPr>
        <w:t>Indian</w:t>
      </w:r>
      <w:r>
        <w:rPr>
          <w:spacing w:val="-4"/>
          <w:sz w:val="24"/>
        </w:rPr>
        <w:t> </w:t>
      </w:r>
      <w:r>
        <w:rPr>
          <w:sz w:val="24"/>
        </w:rPr>
        <w:t>Woman.</w:t>
      </w:r>
      <w:r>
        <w:rPr>
          <w:spacing w:val="-2"/>
          <w:sz w:val="24"/>
        </w:rPr>
        <w:t> </w:t>
      </w:r>
      <w:r>
        <w:rPr>
          <w:i/>
          <w:sz w:val="24"/>
        </w:rPr>
        <w:t>Aerosol</w:t>
      </w:r>
      <w:r>
        <w:rPr>
          <w:i/>
          <w:spacing w:val="-4"/>
          <w:sz w:val="24"/>
        </w:rPr>
        <w:t> </w:t>
      </w:r>
      <w:r>
        <w:rPr>
          <w:i/>
          <w:sz w:val="24"/>
        </w:rPr>
        <w:t>and</w:t>
      </w:r>
      <w:r>
        <w:rPr>
          <w:i/>
          <w:spacing w:val="-4"/>
          <w:sz w:val="24"/>
        </w:rPr>
        <w:t> </w:t>
      </w:r>
      <w:r>
        <w:rPr>
          <w:i/>
          <w:sz w:val="24"/>
        </w:rPr>
        <w:t>Air Quality Research, 14</w:t>
      </w:r>
      <w:r>
        <w:rPr>
          <w:sz w:val="24"/>
        </w:rPr>
        <w:t>, 1789–1797.</w:t>
      </w:r>
    </w:p>
    <w:p>
      <w:pPr>
        <w:spacing w:line="259" w:lineRule="auto" w:before="160"/>
        <w:ind w:left="1308" w:right="0" w:hanging="720"/>
        <w:jc w:val="left"/>
        <w:rPr>
          <w:sz w:val="24"/>
        </w:rPr>
      </w:pPr>
      <w:r>
        <w:rPr>
          <w:sz w:val="24"/>
        </w:rPr>
        <w:t>NPC,</w:t>
      </w:r>
      <w:r>
        <w:rPr>
          <w:spacing w:val="-3"/>
          <w:sz w:val="24"/>
        </w:rPr>
        <w:t> </w:t>
      </w:r>
      <w:r>
        <w:rPr>
          <w:sz w:val="24"/>
        </w:rPr>
        <w:t>&amp;</w:t>
      </w:r>
      <w:r>
        <w:rPr>
          <w:spacing w:val="-3"/>
          <w:sz w:val="24"/>
        </w:rPr>
        <w:t> </w:t>
      </w:r>
      <w:r>
        <w:rPr>
          <w:sz w:val="24"/>
        </w:rPr>
        <w:t>ICF.</w:t>
      </w:r>
      <w:r>
        <w:rPr>
          <w:spacing w:val="-3"/>
          <w:sz w:val="24"/>
        </w:rPr>
        <w:t> </w:t>
      </w:r>
      <w:r>
        <w:rPr>
          <w:sz w:val="24"/>
        </w:rPr>
        <w:t>(2014).</w:t>
      </w:r>
      <w:r>
        <w:rPr>
          <w:spacing w:val="-3"/>
          <w:sz w:val="24"/>
        </w:rPr>
        <w:t> </w:t>
      </w:r>
      <w:r>
        <w:rPr>
          <w:i/>
          <w:sz w:val="24"/>
        </w:rPr>
        <w:t>Nigeria</w:t>
      </w:r>
      <w:r>
        <w:rPr>
          <w:i/>
          <w:spacing w:val="-3"/>
          <w:sz w:val="24"/>
        </w:rPr>
        <w:t> </w:t>
      </w:r>
      <w:r>
        <w:rPr>
          <w:i/>
          <w:sz w:val="24"/>
        </w:rPr>
        <w:t>Demographic</w:t>
      </w:r>
      <w:r>
        <w:rPr>
          <w:i/>
          <w:spacing w:val="-4"/>
          <w:sz w:val="24"/>
        </w:rPr>
        <w:t> </w:t>
      </w:r>
      <w:r>
        <w:rPr>
          <w:i/>
          <w:sz w:val="24"/>
        </w:rPr>
        <w:t>and</w:t>
      </w:r>
      <w:r>
        <w:rPr>
          <w:i/>
          <w:spacing w:val="-3"/>
          <w:sz w:val="24"/>
        </w:rPr>
        <w:t> </w:t>
      </w:r>
      <w:r>
        <w:rPr>
          <w:i/>
          <w:sz w:val="24"/>
        </w:rPr>
        <w:t>Health</w:t>
      </w:r>
      <w:r>
        <w:rPr>
          <w:i/>
          <w:spacing w:val="-3"/>
          <w:sz w:val="24"/>
        </w:rPr>
        <w:t> </w:t>
      </w:r>
      <w:r>
        <w:rPr>
          <w:i/>
          <w:sz w:val="24"/>
        </w:rPr>
        <w:t>Survey</w:t>
      </w:r>
      <w:r>
        <w:rPr>
          <w:i/>
          <w:spacing w:val="-4"/>
          <w:sz w:val="24"/>
        </w:rPr>
        <w:t> </w:t>
      </w:r>
      <w:r>
        <w:rPr>
          <w:i/>
          <w:sz w:val="24"/>
        </w:rPr>
        <w:t>2013.</w:t>
      </w:r>
      <w:r>
        <w:rPr>
          <w:i/>
          <w:spacing w:val="-2"/>
          <w:sz w:val="24"/>
        </w:rPr>
        <w:t> </w:t>
      </w:r>
      <w:r>
        <w:rPr>
          <w:sz w:val="24"/>
        </w:rPr>
        <w:t>Nigeria:</w:t>
      </w:r>
      <w:r>
        <w:rPr>
          <w:spacing w:val="-3"/>
          <w:sz w:val="24"/>
        </w:rPr>
        <w:t> </w:t>
      </w:r>
      <w:r>
        <w:rPr>
          <w:sz w:val="24"/>
        </w:rPr>
        <w:t>Abuja, Nigeria, and Rockville, Maryland, USA: NPC and ICF International.</w:t>
      </w:r>
    </w:p>
    <w:p>
      <w:pPr>
        <w:pStyle w:val="BodyText"/>
        <w:spacing w:line="259" w:lineRule="auto" w:before="157"/>
        <w:ind w:left="1308" w:right="243" w:hanging="720"/>
      </w:pPr>
      <w:r>
        <w:rPr/>
        <w:t>Pollard, S. L., D’Ann, L. W., Patrick, A. B., Laura, M. G., Robert, H. G., J Jaime, M., &amp; William, C. (2014). A cross-sectional study of determinants of indoor environmental</w:t>
      </w:r>
      <w:r>
        <w:rPr>
          <w:spacing w:val="-4"/>
        </w:rPr>
        <w:t> </w:t>
      </w:r>
      <w:r>
        <w:rPr/>
        <w:t>exposures</w:t>
      </w:r>
      <w:r>
        <w:rPr>
          <w:spacing w:val="-3"/>
        </w:rPr>
        <w:t> </w:t>
      </w:r>
      <w:r>
        <w:rPr/>
        <w:t>in</w:t>
      </w:r>
      <w:r>
        <w:rPr>
          <w:spacing w:val="-4"/>
        </w:rPr>
        <w:t> </w:t>
      </w:r>
      <w:r>
        <w:rPr/>
        <w:t>households</w:t>
      </w:r>
      <w:r>
        <w:rPr>
          <w:spacing w:val="-4"/>
        </w:rPr>
        <w:t> </w:t>
      </w:r>
      <w:r>
        <w:rPr/>
        <w:t>with</w:t>
      </w:r>
      <w:r>
        <w:rPr>
          <w:spacing w:val="-4"/>
        </w:rPr>
        <w:t> </w:t>
      </w:r>
      <w:r>
        <w:rPr/>
        <w:t>and</w:t>
      </w:r>
      <w:r>
        <w:rPr>
          <w:spacing w:val="-4"/>
        </w:rPr>
        <w:t> </w:t>
      </w:r>
      <w:r>
        <w:rPr/>
        <w:t>without</w:t>
      </w:r>
      <w:r>
        <w:rPr>
          <w:spacing w:val="-4"/>
        </w:rPr>
        <w:t> </w:t>
      </w:r>
      <w:r>
        <w:rPr/>
        <w:t>chronic</w:t>
      </w:r>
      <w:r>
        <w:rPr>
          <w:spacing w:val="-4"/>
        </w:rPr>
        <w:t> </w:t>
      </w:r>
      <w:r>
        <w:rPr/>
        <w:t>exposure</w:t>
      </w:r>
      <w:r>
        <w:rPr>
          <w:spacing w:val="-6"/>
        </w:rPr>
        <w:t> </w:t>
      </w:r>
      <w:r>
        <w:rPr/>
        <w:t>to biomass fuel smoke. </w:t>
      </w:r>
      <w:r>
        <w:rPr>
          <w:i/>
        </w:rPr>
        <w:t>Environmental Health, 13</w:t>
      </w:r>
      <w:r>
        <w:rPr/>
        <w:t>(21), 1-12.</w:t>
      </w:r>
    </w:p>
    <w:p>
      <w:pPr>
        <w:spacing w:line="261" w:lineRule="auto" w:before="160"/>
        <w:ind w:left="1308" w:right="859" w:hanging="720"/>
        <w:jc w:val="both"/>
        <w:rPr>
          <w:sz w:val="24"/>
        </w:rPr>
      </w:pPr>
      <w:r>
        <w:rPr>
          <w:sz w:val="24"/>
        </w:rPr>
        <w:t>Prockop,</w:t>
      </w:r>
      <w:r>
        <w:rPr>
          <w:spacing w:val="-2"/>
          <w:sz w:val="24"/>
        </w:rPr>
        <w:t> </w:t>
      </w:r>
      <w:r>
        <w:rPr>
          <w:sz w:val="24"/>
        </w:rPr>
        <w:t>L.</w:t>
      </w:r>
      <w:r>
        <w:rPr>
          <w:spacing w:val="-2"/>
          <w:sz w:val="24"/>
        </w:rPr>
        <w:t> </w:t>
      </w:r>
      <w:r>
        <w:rPr>
          <w:sz w:val="24"/>
        </w:rPr>
        <w:t>D.,</w:t>
      </w:r>
      <w:r>
        <w:rPr>
          <w:spacing w:val="-4"/>
          <w:sz w:val="24"/>
        </w:rPr>
        <w:t> </w:t>
      </w:r>
      <w:r>
        <w:rPr>
          <w:sz w:val="24"/>
        </w:rPr>
        <w:t>&amp;</w:t>
      </w:r>
      <w:r>
        <w:rPr>
          <w:spacing w:val="-7"/>
          <w:sz w:val="24"/>
        </w:rPr>
        <w:t> </w:t>
      </w:r>
      <w:r>
        <w:rPr>
          <w:sz w:val="24"/>
        </w:rPr>
        <w:t>Chichkova,</w:t>
      </w:r>
      <w:r>
        <w:rPr>
          <w:spacing w:val="-4"/>
          <w:sz w:val="24"/>
        </w:rPr>
        <w:t> </w:t>
      </w:r>
      <w:r>
        <w:rPr>
          <w:sz w:val="24"/>
        </w:rPr>
        <w:t>R.</w:t>
      </w:r>
      <w:r>
        <w:rPr>
          <w:spacing w:val="-2"/>
          <w:sz w:val="24"/>
        </w:rPr>
        <w:t> </w:t>
      </w:r>
      <w:r>
        <w:rPr>
          <w:sz w:val="24"/>
        </w:rPr>
        <w:t>I.</w:t>
      </w:r>
      <w:r>
        <w:rPr>
          <w:spacing w:val="-2"/>
          <w:sz w:val="24"/>
        </w:rPr>
        <w:t> </w:t>
      </w:r>
      <w:r>
        <w:rPr>
          <w:sz w:val="24"/>
        </w:rPr>
        <w:t>(2007).</w:t>
      </w:r>
      <w:r>
        <w:rPr>
          <w:spacing w:val="-4"/>
          <w:sz w:val="24"/>
        </w:rPr>
        <w:t> </w:t>
      </w:r>
      <w:r>
        <w:rPr>
          <w:sz w:val="24"/>
        </w:rPr>
        <w:t>Carbon</w:t>
      </w:r>
      <w:r>
        <w:rPr>
          <w:spacing w:val="-4"/>
          <w:sz w:val="24"/>
        </w:rPr>
        <w:t> </w:t>
      </w:r>
      <w:r>
        <w:rPr>
          <w:sz w:val="24"/>
        </w:rPr>
        <w:t>monoxide</w:t>
      </w:r>
      <w:r>
        <w:rPr>
          <w:spacing w:val="-4"/>
          <w:sz w:val="24"/>
        </w:rPr>
        <w:t> </w:t>
      </w:r>
      <w:r>
        <w:rPr>
          <w:sz w:val="24"/>
        </w:rPr>
        <w:t>intoxication:</w:t>
      </w:r>
      <w:r>
        <w:rPr>
          <w:spacing w:val="-6"/>
          <w:sz w:val="24"/>
        </w:rPr>
        <w:t> </w:t>
      </w:r>
      <w:r>
        <w:rPr>
          <w:sz w:val="24"/>
        </w:rPr>
        <w:t>An updated review. </w:t>
      </w:r>
      <w:r>
        <w:rPr>
          <w:i/>
          <w:sz w:val="24"/>
        </w:rPr>
        <w:t>Journal of the Neurological Sciences, 262</w:t>
      </w:r>
      <w:r>
        <w:rPr>
          <w:sz w:val="24"/>
        </w:rPr>
        <w:t>, 122–130.</w:t>
      </w:r>
    </w:p>
    <w:p>
      <w:pPr>
        <w:pStyle w:val="BodyText"/>
        <w:spacing w:line="259" w:lineRule="auto" w:before="154"/>
        <w:ind w:left="1308" w:right="257" w:hanging="720"/>
      </w:pPr>
      <w:r>
        <w:rPr/>
        <w:t>Ranabhat,</w:t>
      </w:r>
      <w:r>
        <w:rPr>
          <w:spacing w:val="-3"/>
        </w:rPr>
        <w:t> </w:t>
      </w:r>
      <w:r>
        <w:rPr/>
        <w:t>C.</w:t>
      </w:r>
      <w:r>
        <w:rPr>
          <w:spacing w:val="-1"/>
        </w:rPr>
        <w:t> </w:t>
      </w:r>
      <w:r>
        <w:rPr/>
        <w:t>L.,</w:t>
      </w:r>
      <w:r>
        <w:rPr>
          <w:spacing w:val="-1"/>
        </w:rPr>
        <w:t> </w:t>
      </w:r>
      <w:r>
        <w:rPr/>
        <w:t>Kim,</w:t>
      </w:r>
      <w:r>
        <w:rPr>
          <w:spacing w:val="-3"/>
        </w:rPr>
        <w:t> </w:t>
      </w:r>
      <w:r>
        <w:rPr/>
        <w:t>C.-B.,</w:t>
      </w:r>
      <w:r>
        <w:rPr>
          <w:spacing w:val="-3"/>
        </w:rPr>
        <w:t> </w:t>
      </w:r>
      <w:r>
        <w:rPr/>
        <w:t>Kim,</w:t>
      </w:r>
      <w:r>
        <w:rPr>
          <w:spacing w:val="-3"/>
        </w:rPr>
        <w:t> </w:t>
      </w:r>
      <w:r>
        <w:rPr/>
        <w:t>C.-S.,</w:t>
      </w:r>
      <w:r>
        <w:rPr>
          <w:spacing w:val="-3"/>
        </w:rPr>
        <w:t> </w:t>
      </w:r>
      <w:r>
        <w:rPr/>
        <w:t>Jha,</w:t>
      </w:r>
      <w:r>
        <w:rPr>
          <w:spacing w:val="-3"/>
        </w:rPr>
        <w:t> </w:t>
      </w:r>
      <w:r>
        <w:rPr/>
        <w:t>N.,</w:t>
      </w:r>
      <w:r>
        <w:rPr>
          <w:spacing w:val="-3"/>
        </w:rPr>
        <w:t> </w:t>
      </w:r>
      <w:r>
        <w:rPr/>
        <w:t>Deepak,</w:t>
      </w:r>
      <w:r>
        <w:rPr>
          <w:spacing w:val="-1"/>
        </w:rPr>
        <w:t> </w:t>
      </w:r>
      <w:r>
        <w:rPr/>
        <w:t>K.</w:t>
      </w:r>
      <w:r>
        <w:rPr>
          <w:spacing w:val="-3"/>
        </w:rPr>
        <w:t> </w:t>
      </w:r>
      <w:r>
        <w:rPr/>
        <w:t>C.,</w:t>
      </w:r>
      <w:r>
        <w:rPr>
          <w:spacing w:val="-3"/>
        </w:rPr>
        <w:t> </w:t>
      </w:r>
      <w:r>
        <w:rPr/>
        <w:t>&amp;</w:t>
      </w:r>
      <w:r>
        <w:rPr>
          <w:spacing w:val="-5"/>
        </w:rPr>
        <w:t> </w:t>
      </w:r>
      <w:r>
        <w:rPr/>
        <w:t>Connel,</w:t>
      </w:r>
      <w:r>
        <w:rPr>
          <w:spacing w:val="-3"/>
        </w:rPr>
        <w:t> </w:t>
      </w:r>
      <w:r>
        <w:rPr/>
        <w:t>F.</w:t>
      </w:r>
      <w:r>
        <w:rPr>
          <w:spacing w:val="-3"/>
        </w:rPr>
        <w:t> </w:t>
      </w:r>
      <w:r>
        <w:rPr/>
        <w:t>A. (2015). Consequence of Indoor Air Pollution in Rural Area of Nepal: A Simplified Measurement Approach. </w:t>
      </w:r>
      <w:r>
        <w:rPr>
          <w:i/>
        </w:rPr>
        <w:t>Frontiers in Public Health, 3</w:t>
      </w:r>
      <w:r>
        <w:rPr/>
        <w:t>, 5.</w:t>
      </w:r>
    </w:p>
    <w:p>
      <w:pPr>
        <w:spacing w:line="259" w:lineRule="auto" w:before="159"/>
        <w:ind w:left="1308" w:right="396" w:hanging="720"/>
        <w:jc w:val="left"/>
        <w:rPr>
          <w:sz w:val="24"/>
        </w:rPr>
      </w:pPr>
      <w:r>
        <w:rPr>
          <w:sz w:val="24"/>
        </w:rPr>
        <w:t>Robin,</w:t>
      </w:r>
      <w:r>
        <w:rPr>
          <w:spacing w:val="-2"/>
          <w:sz w:val="24"/>
        </w:rPr>
        <w:t> </w:t>
      </w:r>
      <w:r>
        <w:rPr>
          <w:sz w:val="24"/>
        </w:rPr>
        <w:t>L.</w:t>
      </w:r>
      <w:r>
        <w:rPr>
          <w:spacing w:val="-4"/>
          <w:sz w:val="24"/>
        </w:rPr>
        <w:t> </w:t>
      </w:r>
      <w:r>
        <w:rPr>
          <w:sz w:val="24"/>
        </w:rPr>
        <w:t>(1996).</w:t>
      </w:r>
      <w:r>
        <w:rPr>
          <w:spacing w:val="-4"/>
          <w:sz w:val="24"/>
        </w:rPr>
        <w:t> </w:t>
      </w:r>
      <w:r>
        <w:rPr>
          <w:sz w:val="24"/>
        </w:rPr>
        <w:t>Wood-burning</w:t>
      </w:r>
      <w:r>
        <w:rPr>
          <w:spacing w:val="-7"/>
          <w:sz w:val="24"/>
        </w:rPr>
        <w:t> </w:t>
      </w:r>
      <w:r>
        <w:rPr>
          <w:sz w:val="24"/>
        </w:rPr>
        <w:t>stoves</w:t>
      </w:r>
      <w:r>
        <w:rPr>
          <w:spacing w:val="-2"/>
          <w:sz w:val="24"/>
        </w:rPr>
        <w:t> </w:t>
      </w:r>
      <w:r>
        <w:rPr>
          <w:sz w:val="24"/>
        </w:rPr>
        <w:t>and</w:t>
      </w:r>
      <w:r>
        <w:rPr>
          <w:spacing w:val="-4"/>
          <w:sz w:val="24"/>
        </w:rPr>
        <w:t> </w:t>
      </w:r>
      <w:r>
        <w:rPr>
          <w:sz w:val="24"/>
        </w:rPr>
        <w:t>lower</w:t>
      </w:r>
      <w:r>
        <w:rPr>
          <w:spacing w:val="-3"/>
          <w:sz w:val="24"/>
        </w:rPr>
        <w:t> </w:t>
      </w:r>
      <w:r>
        <w:rPr>
          <w:sz w:val="24"/>
        </w:rPr>
        <w:t>respiratory</w:t>
      </w:r>
      <w:r>
        <w:rPr>
          <w:spacing w:val="-9"/>
          <w:sz w:val="24"/>
        </w:rPr>
        <w:t> </w:t>
      </w:r>
      <w:r>
        <w:rPr>
          <w:sz w:val="24"/>
        </w:rPr>
        <w:t>illnesses</w:t>
      </w:r>
      <w:r>
        <w:rPr>
          <w:spacing w:val="-4"/>
          <w:sz w:val="24"/>
        </w:rPr>
        <w:t> </w:t>
      </w:r>
      <w:r>
        <w:rPr>
          <w:sz w:val="24"/>
        </w:rPr>
        <w:t>in</w:t>
      </w:r>
      <w:r>
        <w:rPr>
          <w:spacing w:val="-4"/>
          <w:sz w:val="24"/>
        </w:rPr>
        <w:t> </w:t>
      </w:r>
      <w:r>
        <w:rPr>
          <w:sz w:val="24"/>
        </w:rPr>
        <w:t>Navajo children. </w:t>
      </w:r>
      <w:r>
        <w:rPr>
          <w:i/>
          <w:sz w:val="24"/>
        </w:rPr>
        <w:t>Pediatric Infectious Diseases Journal, 15</w:t>
      </w:r>
      <w:r>
        <w:rPr>
          <w:sz w:val="24"/>
        </w:rPr>
        <w:t>, 859–865.</w:t>
      </w:r>
    </w:p>
    <w:p>
      <w:pPr>
        <w:pStyle w:val="BodyText"/>
        <w:spacing w:line="259" w:lineRule="auto" w:before="160"/>
        <w:ind w:left="1308" w:right="257" w:hanging="720"/>
      </w:pPr>
      <w:r>
        <w:rPr/>
        <w:t>Smith,</w:t>
      </w:r>
      <w:r>
        <w:rPr>
          <w:spacing w:val="-3"/>
        </w:rPr>
        <w:t> </w:t>
      </w:r>
      <w:r>
        <w:rPr/>
        <w:t>K.</w:t>
      </w:r>
      <w:r>
        <w:rPr>
          <w:spacing w:val="-3"/>
        </w:rPr>
        <w:t> </w:t>
      </w:r>
      <w:r>
        <w:rPr/>
        <w:t>R.,</w:t>
      </w:r>
      <w:r>
        <w:rPr>
          <w:spacing w:val="-3"/>
        </w:rPr>
        <w:t> </w:t>
      </w:r>
      <w:r>
        <w:rPr/>
        <w:t>Samet,</w:t>
      </w:r>
      <w:r>
        <w:rPr>
          <w:spacing w:val="-6"/>
        </w:rPr>
        <w:t> </w:t>
      </w:r>
      <w:r>
        <w:rPr/>
        <w:t>J.</w:t>
      </w:r>
      <w:r>
        <w:rPr>
          <w:spacing w:val="-6"/>
        </w:rPr>
        <w:t> </w:t>
      </w:r>
      <w:r>
        <w:rPr/>
        <w:t>M.,</w:t>
      </w:r>
      <w:r>
        <w:rPr>
          <w:spacing w:val="-3"/>
        </w:rPr>
        <w:t> </w:t>
      </w:r>
      <w:r>
        <w:rPr/>
        <w:t>Romieu,</w:t>
      </w:r>
      <w:r>
        <w:rPr>
          <w:spacing w:val="-1"/>
        </w:rPr>
        <w:t> </w:t>
      </w:r>
      <w:r>
        <w:rPr/>
        <w:t>I.,</w:t>
      </w:r>
      <w:r>
        <w:rPr>
          <w:spacing w:val="-1"/>
        </w:rPr>
        <w:t> </w:t>
      </w:r>
      <w:r>
        <w:rPr/>
        <w:t>&amp;</w:t>
      </w:r>
      <w:r>
        <w:rPr>
          <w:spacing w:val="-5"/>
        </w:rPr>
        <w:t> </w:t>
      </w:r>
      <w:r>
        <w:rPr/>
        <w:t>Bruce,</w:t>
      </w:r>
      <w:r>
        <w:rPr>
          <w:spacing w:val="-1"/>
        </w:rPr>
        <w:t> </w:t>
      </w:r>
      <w:r>
        <w:rPr/>
        <w:t>N.</w:t>
      </w:r>
      <w:r>
        <w:rPr>
          <w:spacing w:val="-3"/>
        </w:rPr>
        <w:t> </w:t>
      </w:r>
      <w:r>
        <w:rPr/>
        <w:t>(2000).</w:t>
      </w:r>
      <w:r>
        <w:rPr>
          <w:spacing w:val="-1"/>
        </w:rPr>
        <w:t> </w:t>
      </w:r>
      <w:r>
        <w:rPr/>
        <w:t>Indoor</w:t>
      </w:r>
      <w:r>
        <w:rPr>
          <w:spacing w:val="-2"/>
        </w:rPr>
        <w:t> </w:t>
      </w:r>
      <w:r>
        <w:rPr/>
        <w:t>air</w:t>
      </w:r>
      <w:r>
        <w:rPr>
          <w:spacing w:val="-3"/>
        </w:rPr>
        <w:t> </w:t>
      </w:r>
      <w:r>
        <w:rPr/>
        <w:t>pollution</w:t>
      </w:r>
      <w:r>
        <w:rPr>
          <w:spacing w:val="-3"/>
        </w:rPr>
        <w:t> </w:t>
      </w:r>
      <w:r>
        <w:rPr/>
        <w:t>in developing countries and acute lower respiratory infections in children.</w:t>
      </w:r>
    </w:p>
    <w:p>
      <w:pPr>
        <w:spacing w:line="275" w:lineRule="exact" w:before="0"/>
        <w:ind w:left="1308" w:right="0" w:firstLine="0"/>
        <w:jc w:val="left"/>
        <w:rPr>
          <w:sz w:val="24"/>
        </w:rPr>
      </w:pPr>
      <w:r>
        <w:rPr>
          <w:i/>
          <w:sz w:val="24"/>
        </w:rPr>
        <w:t>Thorax,</w:t>
      </w:r>
      <w:r>
        <w:rPr>
          <w:i/>
          <w:spacing w:val="-3"/>
          <w:sz w:val="24"/>
        </w:rPr>
        <w:t> </w:t>
      </w:r>
      <w:r>
        <w:rPr>
          <w:i/>
          <w:sz w:val="24"/>
        </w:rPr>
        <w:t>55</w:t>
      </w:r>
      <w:r>
        <w:rPr>
          <w:sz w:val="24"/>
        </w:rPr>
        <w:t>, </w:t>
      </w:r>
      <w:r>
        <w:rPr>
          <w:spacing w:val="-2"/>
          <w:sz w:val="24"/>
        </w:rPr>
        <w:t>518–532.</w:t>
      </w:r>
    </w:p>
    <w:p>
      <w:pPr>
        <w:pStyle w:val="BodyText"/>
        <w:spacing w:line="259" w:lineRule="auto" w:before="183"/>
        <w:ind w:left="1308" w:right="772" w:hanging="720"/>
        <w:jc w:val="both"/>
      </w:pPr>
      <w:r>
        <w:rPr/>
        <w:t>Smith,</w:t>
      </w:r>
      <w:r>
        <w:rPr>
          <w:spacing w:val="-3"/>
        </w:rPr>
        <w:t> </w:t>
      </w:r>
      <w:r>
        <w:rPr/>
        <w:t>M.,</w:t>
      </w:r>
      <w:r>
        <w:rPr>
          <w:spacing w:val="-3"/>
        </w:rPr>
        <w:t> </w:t>
      </w:r>
      <w:r>
        <w:rPr/>
        <w:t>Mehta,</w:t>
      </w:r>
      <w:r>
        <w:rPr>
          <w:spacing w:val="-3"/>
        </w:rPr>
        <w:t> </w:t>
      </w:r>
      <w:r>
        <w:rPr/>
        <w:t>K.,</w:t>
      </w:r>
      <w:r>
        <w:rPr>
          <w:spacing w:val="-3"/>
        </w:rPr>
        <w:t> </w:t>
      </w:r>
      <w:r>
        <w:rPr/>
        <w:t>&amp;</w:t>
      </w:r>
      <w:r>
        <w:rPr>
          <w:spacing w:val="-5"/>
        </w:rPr>
        <w:t> </w:t>
      </w:r>
      <w:r>
        <w:rPr/>
        <w:t>Maeusezahl-Feuz,</w:t>
      </w:r>
      <w:r>
        <w:rPr>
          <w:spacing w:val="-3"/>
        </w:rPr>
        <w:t> </w:t>
      </w:r>
      <w:r>
        <w:rPr/>
        <w:t>S.</w:t>
      </w:r>
      <w:r>
        <w:rPr>
          <w:spacing w:val="-3"/>
        </w:rPr>
        <w:t> </w:t>
      </w:r>
      <w:r>
        <w:rPr/>
        <w:t>(2004).</w:t>
      </w:r>
      <w:r>
        <w:rPr>
          <w:spacing w:val="-3"/>
        </w:rPr>
        <w:t> </w:t>
      </w:r>
      <w:r>
        <w:rPr/>
        <w:t>Indoor</w:t>
      </w:r>
      <w:r>
        <w:rPr>
          <w:spacing w:val="-4"/>
        </w:rPr>
        <w:t> </w:t>
      </w:r>
      <w:r>
        <w:rPr/>
        <w:t>smoke</w:t>
      </w:r>
      <w:r>
        <w:rPr>
          <w:spacing w:val="-4"/>
        </w:rPr>
        <w:t> </w:t>
      </w:r>
      <w:r>
        <w:rPr/>
        <w:t>from</w:t>
      </w:r>
      <w:r>
        <w:rPr>
          <w:spacing w:val="-3"/>
        </w:rPr>
        <w:t> </w:t>
      </w:r>
      <w:r>
        <w:rPr/>
        <w:t>solid household fuels. In: Comparative Quantification of Health Risks.</w:t>
      </w:r>
    </w:p>
    <w:p>
      <w:pPr>
        <w:spacing w:line="275" w:lineRule="exact" w:before="0"/>
        <w:ind w:left="1308" w:right="0" w:firstLine="0"/>
        <w:jc w:val="left"/>
        <w:rPr>
          <w:sz w:val="24"/>
        </w:rPr>
      </w:pPr>
      <w:r>
        <w:rPr>
          <w:i/>
          <w:sz w:val="24"/>
        </w:rPr>
        <w:t>Geneva:World</w:t>
      </w:r>
      <w:r>
        <w:rPr>
          <w:i/>
          <w:spacing w:val="-1"/>
          <w:sz w:val="24"/>
        </w:rPr>
        <w:t> </w:t>
      </w:r>
      <w:r>
        <w:rPr>
          <w:i/>
          <w:sz w:val="24"/>
        </w:rPr>
        <w:t>Health</w:t>
      </w:r>
      <w:r>
        <w:rPr>
          <w:i/>
          <w:spacing w:val="-1"/>
          <w:sz w:val="24"/>
        </w:rPr>
        <w:t> </w:t>
      </w:r>
      <w:r>
        <w:rPr>
          <w:i/>
          <w:sz w:val="24"/>
        </w:rPr>
        <w:t>Organization,</w:t>
      </w:r>
      <w:r>
        <w:rPr>
          <w:i/>
          <w:spacing w:val="-1"/>
          <w:sz w:val="24"/>
        </w:rPr>
        <w:t> </w:t>
      </w:r>
      <w:r>
        <w:rPr>
          <w:i/>
          <w:sz w:val="24"/>
        </w:rPr>
        <w:t>64</w:t>
      </w:r>
      <w:r>
        <w:rPr>
          <w:sz w:val="24"/>
        </w:rPr>
        <w:t>, </w:t>
      </w:r>
      <w:r>
        <w:rPr>
          <w:spacing w:val="-2"/>
          <w:sz w:val="24"/>
        </w:rPr>
        <w:t>1435–1493.</w:t>
      </w:r>
    </w:p>
    <w:p>
      <w:pPr>
        <w:spacing w:line="259" w:lineRule="auto" w:before="183"/>
        <w:ind w:left="1308" w:right="0" w:hanging="720"/>
        <w:jc w:val="left"/>
        <w:rPr>
          <w:sz w:val="24"/>
        </w:rPr>
      </w:pPr>
      <w:r>
        <w:rPr>
          <w:sz w:val="24"/>
        </w:rPr>
        <w:t>WHO.</w:t>
      </w:r>
      <w:r>
        <w:rPr>
          <w:spacing w:val="-4"/>
          <w:sz w:val="24"/>
        </w:rPr>
        <w:t> </w:t>
      </w:r>
      <w:r>
        <w:rPr>
          <w:sz w:val="24"/>
        </w:rPr>
        <w:t>(2000).</w:t>
      </w:r>
      <w:r>
        <w:rPr>
          <w:spacing w:val="-5"/>
          <w:sz w:val="24"/>
        </w:rPr>
        <w:t> </w:t>
      </w:r>
      <w:r>
        <w:rPr>
          <w:i/>
          <w:sz w:val="24"/>
        </w:rPr>
        <w:t>Chapter</w:t>
      </w:r>
      <w:r>
        <w:rPr>
          <w:i/>
          <w:spacing w:val="-4"/>
          <w:sz w:val="24"/>
        </w:rPr>
        <w:t> </w:t>
      </w:r>
      <w:r>
        <w:rPr>
          <w:i/>
          <w:sz w:val="24"/>
        </w:rPr>
        <w:t>5.5:</w:t>
      </w:r>
      <w:r>
        <w:rPr>
          <w:i/>
          <w:spacing w:val="-5"/>
          <w:sz w:val="24"/>
        </w:rPr>
        <w:t> </w:t>
      </w:r>
      <w:r>
        <w:rPr>
          <w:i/>
          <w:sz w:val="24"/>
        </w:rPr>
        <w:t>carbon</w:t>
      </w:r>
      <w:r>
        <w:rPr>
          <w:i/>
          <w:spacing w:val="-4"/>
          <w:sz w:val="24"/>
        </w:rPr>
        <w:t> </w:t>
      </w:r>
      <w:r>
        <w:rPr>
          <w:i/>
          <w:sz w:val="24"/>
        </w:rPr>
        <w:t>monoxide.</w:t>
      </w:r>
      <w:r>
        <w:rPr>
          <w:i/>
          <w:spacing w:val="-1"/>
          <w:sz w:val="24"/>
        </w:rPr>
        <w:t> </w:t>
      </w:r>
      <w:r>
        <w:rPr>
          <w:sz w:val="24"/>
        </w:rPr>
        <w:t>Denmark:</w:t>
      </w:r>
      <w:r>
        <w:rPr>
          <w:spacing w:val="-4"/>
          <w:sz w:val="24"/>
        </w:rPr>
        <w:t> </w:t>
      </w:r>
      <w:r>
        <w:rPr>
          <w:sz w:val="24"/>
        </w:rPr>
        <w:t>Regional</w:t>
      </w:r>
      <w:r>
        <w:rPr>
          <w:spacing w:val="-4"/>
          <w:sz w:val="24"/>
        </w:rPr>
        <w:t> </w:t>
      </w:r>
      <w:r>
        <w:rPr>
          <w:sz w:val="24"/>
        </w:rPr>
        <w:t>office</w:t>
      </w:r>
      <w:r>
        <w:rPr>
          <w:spacing w:val="-5"/>
          <w:sz w:val="24"/>
        </w:rPr>
        <w:t> </w:t>
      </w:r>
      <w:r>
        <w:rPr>
          <w:sz w:val="24"/>
        </w:rPr>
        <w:t>for</w:t>
      </w:r>
      <w:r>
        <w:rPr>
          <w:spacing w:val="-4"/>
          <w:sz w:val="24"/>
        </w:rPr>
        <w:t> </w:t>
      </w:r>
      <w:r>
        <w:rPr>
          <w:sz w:val="24"/>
        </w:rPr>
        <w:t>Europe, </w:t>
      </w:r>
      <w:r>
        <w:rPr>
          <w:spacing w:val="-2"/>
          <w:sz w:val="24"/>
        </w:rPr>
        <w:t>Copenhagen.</w:t>
      </w:r>
    </w:p>
    <w:p>
      <w:pPr>
        <w:spacing w:line="259" w:lineRule="auto" w:before="160"/>
        <w:ind w:left="1308" w:right="870" w:hanging="720"/>
        <w:jc w:val="both"/>
        <w:rPr>
          <w:sz w:val="24"/>
        </w:rPr>
      </w:pPr>
      <w:r>
        <w:rPr>
          <w:sz w:val="24"/>
        </w:rPr>
        <w:t>WHO.</w:t>
      </w:r>
      <w:r>
        <w:rPr>
          <w:spacing w:val="-4"/>
          <w:sz w:val="24"/>
        </w:rPr>
        <w:t> </w:t>
      </w:r>
      <w:r>
        <w:rPr>
          <w:sz w:val="24"/>
        </w:rPr>
        <w:t>(2012).</w:t>
      </w:r>
      <w:r>
        <w:rPr>
          <w:spacing w:val="-4"/>
          <w:sz w:val="24"/>
        </w:rPr>
        <w:t> </w:t>
      </w:r>
      <w:r>
        <w:rPr>
          <w:i/>
          <w:sz w:val="24"/>
        </w:rPr>
        <w:t>Indoor</w:t>
      </w:r>
      <w:r>
        <w:rPr>
          <w:i/>
          <w:spacing w:val="-4"/>
          <w:sz w:val="24"/>
        </w:rPr>
        <w:t> </w:t>
      </w:r>
      <w:r>
        <w:rPr>
          <w:i/>
          <w:sz w:val="24"/>
        </w:rPr>
        <w:t>Air</w:t>
      </w:r>
      <w:r>
        <w:rPr>
          <w:i/>
          <w:spacing w:val="-4"/>
          <w:sz w:val="24"/>
        </w:rPr>
        <w:t> </w:t>
      </w:r>
      <w:r>
        <w:rPr>
          <w:i/>
          <w:sz w:val="24"/>
        </w:rPr>
        <w:t>Pollution</w:t>
      </w:r>
      <w:r>
        <w:rPr>
          <w:i/>
          <w:spacing w:val="-4"/>
          <w:sz w:val="24"/>
        </w:rPr>
        <w:t> </w:t>
      </w:r>
      <w:r>
        <w:rPr>
          <w:i/>
          <w:sz w:val="24"/>
        </w:rPr>
        <w:t>and</w:t>
      </w:r>
      <w:r>
        <w:rPr>
          <w:i/>
          <w:spacing w:val="-4"/>
          <w:sz w:val="24"/>
        </w:rPr>
        <w:t> </w:t>
      </w:r>
      <w:r>
        <w:rPr>
          <w:i/>
          <w:sz w:val="24"/>
        </w:rPr>
        <w:t>Health.</w:t>
      </w:r>
      <w:r>
        <w:rPr>
          <w:i/>
          <w:spacing w:val="-4"/>
          <w:sz w:val="24"/>
        </w:rPr>
        <w:t> </w:t>
      </w:r>
      <w:r>
        <w:rPr>
          <w:sz w:val="24"/>
        </w:rPr>
        <w:t>Denmark:</w:t>
      </w:r>
      <w:r>
        <w:rPr>
          <w:spacing w:val="-4"/>
          <w:sz w:val="24"/>
        </w:rPr>
        <w:t> </w:t>
      </w:r>
      <w:r>
        <w:rPr>
          <w:sz w:val="24"/>
        </w:rPr>
        <w:t>Regional</w:t>
      </w:r>
      <w:r>
        <w:rPr>
          <w:spacing w:val="-4"/>
          <w:sz w:val="24"/>
        </w:rPr>
        <w:t> </w:t>
      </w:r>
      <w:r>
        <w:rPr>
          <w:sz w:val="24"/>
        </w:rPr>
        <w:t>office</w:t>
      </w:r>
      <w:r>
        <w:rPr>
          <w:spacing w:val="-4"/>
          <w:sz w:val="24"/>
        </w:rPr>
        <w:t> </w:t>
      </w:r>
      <w:r>
        <w:rPr>
          <w:sz w:val="24"/>
        </w:rPr>
        <w:t>for Europe, Copenhagen.</w:t>
      </w:r>
    </w:p>
    <w:p>
      <w:pPr>
        <w:spacing w:line="259" w:lineRule="auto" w:before="160"/>
        <w:ind w:left="1308" w:right="396" w:hanging="720"/>
        <w:jc w:val="left"/>
        <w:rPr>
          <w:sz w:val="24"/>
        </w:rPr>
      </w:pPr>
      <w:r>
        <w:rPr>
          <w:sz w:val="24"/>
        </w:rPr>
        <w:t>WHO.</w:t>
      </w:r>
      <w:r>
        <w:rPr>
          <w:spacing w:val="-4"/>
          <w:sz w:val="24"/>
        </w:rPr>
        <w:t> </w:t>
      </w:r>
      <w:r>
        <w:rPr>
          <w:sz w:val="24"/>
        </w:rPr>
        <w:t>(2016).</w:t>
      </w:r>
      <w:r>
        <w:rPr>
          <w:spacing w:val="-5"/>
          <w:sz w:val="24"/>
        </w:rPr>
        <w:t> </w:t>
      </w:r>
      <w:r>
        <w:rPr>
          <w:i/>
          <w:sz w:val="24"/>
        </w:rPr>
        <w:t>Household</w:t>
      </w:r>
      <w:r>
        <w:rPr>
          <w:i/>
          <w:spacing w:val="-4"/>
          <w:sz w:val="24"/>
        </w:rPr>
        <w:t> </w:t>
      </w:r>
      <w:r>
        <w:rPr>
          <w:i/>
          <w:sz w:val="24"/>
        </w:rPr>
        <w:t>air</w:t>
      </w:r>
      <w:r>
        <w:rPr>
          <w:i/>
          <w:spacing w:val="-4"/>
          <w:sz w:val="24"/>
        </w:rPr>
        <w:t> </w:t>
      </w:r>
      <w:r>
        <w:rPr>
          <w:i/>
          <w:sz w:val="24"/>
        </w:rPr>
        <w:t>pollution</w:t>
      </w:r>
      <w:r>
        <w:rPr>
          <w:i/>
          <w:spacing w:val="-4"/>
          <w:sz w:val="24"/>
        </w:rPr>
        <w:t> </w:t>
      </w:r>
      <w:r>
        <w:rPr>
          <w:i/>
          <w:sz w:val="24"/>
        </w:rPr>
        <w:t>and</w:t>
      </w:r>
      <w:r>
        <w:rPr>
          <w:i/>
          <w:spacing w:val="-4"/>
          <w:sz w:val="24"/>
        </w:rPr>
        <w:t> </w:t>
      </w:r>
      <w:r>
        <w:rPr>
          <w:i/>
          <w:sz w:val="24"/>
        </w:rPr>
        <w:t>health.</w:t>
      </w:r>
      <w:r>
        <w:rPr>
          <w:i/>
          <w:spacing w:val="-2"/>
          <w:sz w:val="24"/>
        </w:rPr>
        <w:t> </w:t>
      </w:r>
      <w:r>
        <w:rPr>
          <w:sz w:val="24"/>
        </w:rPr>
        <w:t>Retrieved</w:t>
      </w:r>
      <w:r>
        <w:rPr>
          <w:spacing w:val="-4"/>
          <w:sz w:val="24"/>
        </w:rPr>
        <w:t> </w:t>
      </w:r>
      <w:r>
        <w:rPr>
          <w:sz w:val="24"/>
        </w:rPr>
        <w:t>from</w:t>
      </w:r>
      <w:r>
        <w:rPr>
          <w:spacing w:val="-4"/>
          <w:sz w:val="24"/>
        </w:rPr>
        <w:t> </w:t>
      </w:r>
      <w:r>
        <w:rPr>
          <w:sz w:val="24"/>
        </w:rPr>
        <w:t>World</w:t>
      </w:r>
      <w:r>
        <w:rPr>
          <w:spacing w:val="-3"/>
          <w:sz w:val="24"/>
        </w:rPr>
        <w:t> </w:t>
      </w:r>
      <w:r>
        <w:rPr>
          <w:sz w:val="24"/>
        </w:rPr>
        <w:t>Health Organization Fact Sheets, Fact Sheet No 292.: </w:t>
      </w:r>
      <w:hyperlink r:id="rId33">
        <w:r>
          <w:rPr>
            <w:spacing w:val="-2"/>
            <w:sz w:val="24"/>
          </w:rPr>
          <w:t>http://www.who.int/mediacentre/factsheets/fs292/en/</w:t>
        </w:r>
      </w:hyperlink>
    </w:p>
    <w:p>
      <w:pPr>
        <w:spacing w:after="0" w:line="259" w:lineRule="auto"/>
        <w:jc w:val="left"/>
        <w:rPr>
          <w:sz w:val="24"/>
        </w:rPr>
        <w:sectPr>
          <w:pgSz w:w="11910" w:h="16840"/>
          <w:pgMar w:header="0" w:footer="1012" w:top="1620" w:bottom="1200" w:left="1680" w:right="1240"/>
        </w:sectPr>
      </w:pPr>
    </w:p>
    <w:p>
      <w:pPr>
        <w:spacing w:line="259" w:lineRule="auto" w:before="62"/>
        <w:ind w:left="1308" w:right="396" w:hanging="720"/>
        <w:jc w:val="left"/>
        <w:rPr>
          <w:sz w:val="24"/>
        </w:rPr>
      </w:pPr>
      <w:r>
        <w:rPr>
          <w:sz w:val="24"/>
        </w:rPr>
        <w:t>World</w:t>
      </w:r>
      <w:r>
        <w:rPr>
          <w:spacing w:val="-4"/>
          <w:sz w:val="24"/>
        </w:rPr>
        <w:t> </w:t>
      </w:r>
      <w:r>
        <w:rPr>
          <w:sz w:val="24"/>
        </w:rPr>
        <w:t>Energy</w:t>
      </w:r>
      <w:r>
        <w:rPr>
          <w:spacing w:val="-7"/>
          <w:sz w:val="24"/>
        </w:rPr>
        <w:t> </w:t>
      </w:r>
      <w:r>
        <w:rPr>
          <w:sz w:val="24"/>
        </w:rPr>
        <w:t>Outlook.</w:t>
      </w:r>
      <w:r>
        <w:rPr>
          <w:spacing w:val="-4"/>
          <w:sz w:val="24"/>
        </w:rPr>
        <w:t> </w:t>
      </w:r>
      <w:r>
        <w:rPr>
          <w:sz w:val="24"/>
        </w:rPr>
        <w:t>(2006).</w:t>
      </w:r>
      <w:r>
        <w:rPr>
          <w:spacing w:val="-3"/>
          <w:sz w:val="24"/>
        </w:rPr>
        <w:t> </w:t>
      </w:r>
      <w:r>
        <w:rPr>
          <w:i/>
          <w:sz w:val="24"/>
        </w:rPr>
        <w:t>Energy</w:t>
      </w:r>
      <w:r>
        <w:rPr>
          <w:i/>
          <w:spacing w:val="-5"/>
          <w:sz w:val="24"/>
        </w:rPr>
        <w:t> </w:t>
      </w:r>
      <w:r>
        <w:rPr>
          <w:i/>
          <w:sz w:val="24"/>
        </w:rPr>
        <w:t>for</w:t>
      </w:r>
      <w:r>
        <w:rPr>
          <w:i/>
          <w:spacing w:val="-4"/>
          <w:sz w:val="24"/>
        </w:rPr>
        <w:t> </w:t>
      </w:r>
      <w:r>
        <w:rPr>
          <w:i/>
          <w:sz w:val="24"/>
        </w:rPr>
        <w:t>Cooking</w:t>
      </w:r>
      <w:r>
        <w:rPr>
          <w:i/>
          <w:spacing w:val="-4"/>
          <w:sz w:val="24"/>
        </w:rPr>
        <w:t> </w:t>
      </w:r>
      <w:r>
        <w:rPr>
          <w:i/>
          <w:sz w:val="24"/>
        </w:rPr>
        <w:t>in</w:t>
      </w:r>
      <w:r>
        <w:rPr>
          <w:i/>
          <w:spacing w:val="-4"/>
          <w:sz w:val="24"/>
        </w:rPr>
        <w:t> </w:t>
      </w:r>
      <w:r>
        <w:rPr>
          <w:i/>
          <w:sz w:val="24"/>
        </w:rPr>
        <w:t>Developing.</w:t>
      </w:r>
      <w:r>
        <w:rPr>
          <w:i/>
          <w:spacing w:val="-3"/>
          <w:sz w:val="24"/>
        </w:rPr>
        <w:t> </w:t>
      </w:r>
      <w:r>
        <w:rPr>
          <w:sz w:val="24"/>
        </w:rPr>
        <w:t>France: Organisation for Economic Co-operation and Development.</w:t>
      </w:r>
    </w:p>
    <w:p>
      <w:pPr>
        <w:pStyle w:val="BodyText"/>
        <w:spacing w:before="160"/>
        <w:ind w:left="588"/>
      </w:pPr>
      <w:r>
        <w:rPr/>
        <w:t>Zhang,</w:t>
      </w:r>
      <w:r>
        <w:rPr>
          <w:spacing w:val="-1"/>
        </w:rPr>
        <w:t> </w:t>
      </w:r>
      <w:r>
        <w:rPr/>
        <w:t>J.</w:t>
      </w:r>
      <w:r>
        <w:rPr>
          <w:spacing w:val="-1"/>
        </w:rPr>
        <w:t> </w:t>
      </w:r>
      <w:r>
        <w:rPr/>
        <w:t>(., &amp;</w:t>
      </w:r>
      <w:r>
        <w:rPr>
          <w:spacing w:val="-3"/>
        </w:rPr>
        <w:t> </w:t>
      </w:r>
      <w:r>
        <w:rPr/>
        <w:t>Smith,</w:t>
      </w:r>
      <w:r>
        <w:rPr>
          <w:spacing w:val="-1"/>
        </w:rPr>
        <w:t> </w:t>
      </w:r>
      <w:r>
        <w:rPr/>
        <w:t>R.</w:t>
      </w:r>
      <w:r>
        <w:rPr>
          <w:spacing w:val="-4"/>
        </w:rPr>
        <w:t> </w:t>
      </w:r>
      <w:r>
        <w:rPr/>
        <w:t>K. (2003).</w:t>
      </w:r>
      <w:r>
        <w:rPr>
          <w:spacing w:val="1"/>
        </w:rPr>
        <w:t> </w:t>
      </w:r>
      <w:r>
        <w:rPr/>
        <w:t>Indoor air</w:t>
      </w:r>
      <w:r>
        <w:rPr>
          <w:spacing w:val="-1"/>
        </w:rPr>
        <w:t> </w:t>
      </w:r>
      <w:r>
        <w:rPr/>
        <w:t>pollution:</w:t>
      </w:r>
      <w:r>
        <w:rPr>
          <w:spacing w:val="-1"/>
        </w:rPr>
        <w:t> </w:t>
      </w:r>
      <w:r>
        <w:rPr/>
        <w:t>a</w:t>
      </w:r>
      <w:r>
        <w:rPr>
          <w:spacing w:val="-1"/>
        </w:rPr>
        <w:t> </w:t>
      </w:r>
      <w:r>
        <w:rPr/>
        <w:t>global</w:t>
      </w:r>
      <w:r>
        <w:rPr>
          <w:spacing w:val="-1"/>
        </w:rPr>
        <w:t> </w:t>
      </w:r>
      <w:r>
        <w:rPr/>
        <w:t>health </w:t>
      </w:r>
      <w:r>
        <w:rPr>
          <w:spacing w:val="-2"/>
        </w:rPr>
        <w:t>concern.</w:t>
      </w:r>
    </w:p>
    <w:p>
      <w:pPr>
        <w:spacing w:before="22"/>
        <w:ind w:left="1308" w:right="0" w:firstLine="0"/>
        <w:jc w:val="left"/>
        <w:rPr>
          <w:sz w:val="24"/>
        </w:rPr>
      </w:pPr>
      <w:r>
        <w:rPr>
          <w:i/>
          <w:sz w:val="24"/>
        </w:rPr>
        <w:t>British</w:t>
      </w:r>
      <w:r>
        <w:rPr>
          <w:i/>
          <w:spacing w:val="-1"/>
          <w:sz w:val="24"/>
        </w:rPr>
        <w:t> </w:t>
      </w:r>
      <w:r>
        <w:rPr>
          <w:i/>
          <w:sz w:val="24"/>
        </w:rPr>
        <w:t>Medical Bulletin, 68</w:t>
      </w:r>
      <w:r>
        <w:rPr>
          <w:sz w:val="24"/>
        </w:rPr>
        <w:t>, </w:t>
      </w:r>
      <w:r>
        <w:rPr>
          <w:spacing w:val="-2"/>
          <w:sz w:val="24"/>
        </w:rPr>
        <w:t>209–225.</w:t>
      </w:r>
    </w:p>
    <w:p>
      <w:pPr>
        <w:pStyle w:val="BodyText"/>
        <w:spacing w:before="180"/>
        <w:ind w:left="588"/>
      </w:pPr>
      <w:r>
        <w:rPr/>
        <w:t>Zhou,</w:t>
      </w:r>
      <w:r>
        <w:rPr>
          <w:spacing w:val="1"/>
        </w:rPr>
        <w:t> </w:t>
      </w:r>
      <w:r>
        <w:rPr/>
        <w:t>Z.,</w:t>
      </w:r>
      <w:r>
        <w:rPr>
          <w:spacing w:val="-1"/>
        </w:rPr>
        <w:t> </w:t>
      </w:r>
      <w:r>
        <w:rPr/>
        <w:t>Dionisioa,</w:t>
      </w:r>
      <w:r>
        <w:rPr>
          <w:spacing w:val="-1"/>
        </w:rPr>
        <w:t> </w:t>
      </w:r>
      <w:r>
        <w:rPr/>
        <w:t>K.</w:t>
      </w:r>
      <w:r>
        <w:rPr>
          <w:spacing w:val="1"/>
        </w:rPr>
        <w:t> </w:t>
      </w:r>
      <w:r>
        <w:rPr/>
        <w:t>L.,</w:t>
      </w:r>
      <w:r>
        <w:rPr>
          <w:spacing w:val="-1"/>
        </w:rPr>
        <w:t> </w:t>
      </w:r>
      <w:r>
        <w:rPr/>
        <w:t>Arkub,</w:t>
      </w:r>
      <w:r>
        <w:rPr>
          <w:spacing w:val="-2"/>
        </w:rPr>
        <w:t> </w:t>
      </w:r>
      <w:r>
        <w:rPr/>
        <w:t>R.</w:t>
      </w:r>
      <w:r>
        <w:rPr>
          <w:spacing w:val="-1"/>
        </w:rPr>
        <w:t> </w:t>
      </w:r>
      <w:r>
        <w:rPr/>
        <w:t>E.,</w:t>
      </w:r>
      <w:r>
        <w:rPr>
          <w:spacing w:val="-1"/>
        </w:rPr>
        <w:t> </w:t>
      </w:r>
      <w:r>
        <w:rPr/>
        <w:t>Quaye,</w:t>
      </w:r>
      <w:r>
        <w:rPr>
          <w:spacing w:val="1"/>
        </w:rPr>
        <w:t> </w:t>
      </w:r>
      <w:r>
        <w:rPr/>
        <w:t>A.,</w:t>
      </w:r>
      <w:r>
        <w:rPr>
          <w:spacing w:val="-1"/>
        </w:rPr>
        <w:t> </w:t>
      </w:r>
      <w:r>
        <w:rPr/>
        <w:t>Hughesd,</w:t>
      </w:r>
      <w:r>
        <w:rPr>
          <w:spacing w:val="-1"/>
        </w:rPr>
        <w:t> </w:t>
      </w:r>
      <w:r>
        <w:rPr/>
        <w:t>A.</w:t>
      </w:r>
      <w:r>
        <w:rPr>
          <w:spacing w:val="-1"/>
        </w:rPr>
        <w:t> </w:t>
      </w:r>
      <w:r>
        <w:rPr/>
        <w:t>F.,</w:t>
      </w:r>
      <w:r>
        <w:rPr>
          <w:spacing w:val="1"/>
        </w:rPr>
        <w:t> </w:t>
      </w:r>
      <w:r>
        <w:rPr/>
        <w:t>Vallarino,</w:t>
      </w:r>
      <w:r>
        <w:rPr>
          <w:spacing w:val="-1"/>
        </w:rPr>
        <w:t> </w:t>
      </w:r>
      <w:r>
        <w:rPr/>
        <w:t>J.,</w:t>
      </w:r>
      <w:r>
        <w:rPr>
          <w:spacing w:val="-1"/>
        </w:rPr>
        <w:t> </w:t>
      </w:r>
      <w:r>
        <w:rPr/>
        <w:t>. </w:t>
      </w:r>
      <w:r>
        <w:rPr>
          <w:spacing w:val="-10"/>
        </w:rPr>
        <w:t>.</w:t>
      </w:r>
    </w:p>
    <w:p>
      <w:pPr>
        <w:spacing w:line="259" w:lineRule="auto" w:before="24"/>
        <w:ind w:left="1308" w:right="215" w:firstLine="0"/>
        <w:jc w:val="left"/>
        <w:rPr>
          <w:sz w:val="24"/>
        </w:rPr>
      </w:pPr>
      <w:r>
        <w:rPr>
          <w:sz w:val="24"/>
        </w:rPr>
        <w:t>.</w:t>
      </w:r>
      <w:r>
        <w:rPr>
          <w:spacing w:val="-2"/>
          <w:sz w:val="24"/>
        </w:rPr>
        <w:t> </w:t>
      </w:r>
      <w:r>
        <w:rPr>
          <w:sz w:val="24"/>
        </w:rPr>
        <w:t>Ezzati,</w:t>
      </w:r>
      <w:r>
        <w:rPr>
          <w:spacing w:val="-2"/>
          <w:sz w:val="24"/>
        </w:rPr>
        <w:t> </w:t>
      </w:r>
      <w:r>
        <w:rPr>
          <w:sz w:val="24"/>
        </w:rPr>
        <w:t>M.</w:t>
      </w:r>
      <w:r>
        <w:rPr>
          <w:spacing w:val="-2"/>
          <w:sz w:val="24"/>
        </w:rPr>
        <w:t> </w:t>
      </w:r>
      <w:r>
        <w:rPr>
          <w:sz w:val="24"/>
        </w:rPr>
        <w:t>(2011,</w:t>
      </w:r>
      <w:r>
        <w:rPr>
          <w:spacing w:val="-5"/>
          <w:sz w:val="24"/>
        </w:rPr>
        <w:t> </w:t>
      </w:r>
      <w:r>
        <w:rPr>
          <w:sz w:val="24"/>
        </w:rPr>
        <w:t>July</w:t>
      </w:r>
      <w:r>
        <w:rPr>
          <w:spacing w:val="-10"/>
          <w:sz w:val="24"/>
        </w:rPr>
        <w:t> </w:t>
      </w:r>
      <w:r>
        <w:rPr>
          <w:sz w:val="24"/>
        </w:rPr>
        <w:t>5).</w:t>
      </w:r>
      <w:r>
        <w:rPr>
          <w:spacing w:val="-2"/>
          <w:sz w:val="24"/>
        </w:rPr>
        <w:t> </w:t>
      </w:r>
      <w:r>
        <w:rPr>
          <w:sz w:val="24"/>
        </w:rPr>
        <w:t>Household</w:t>
      </w:r>
      <w:r>
        <w:rPr>
          <w:spacing w:val="-2"/>
          <w:sz w:val="24"/>
        </w:rPr>
        <w:t> </w:t>
      </w:r>
      <w:r>
        <w:rPr>
          <w:sz w:val="24"/>
        </w:rPr>
        <w:t>and</w:t>
      </w:r>
      <w:r>
        <w:rPr>
          <w:spacing w:val="-2"/>
          <w:sz w:val="24"/>
        </w:rPr>
        <w:t> </w:t>
      </w:r>
      <w:r>
        <w:rPr>
          <w:sz w:val="24"/>
        </w:rPr>
        <w:t>community</w:t>
      </w:r>
      <w:r>
        <w:rPr>
          <w:spacing w:val="-7"/>
          <w:sz w:val="24"/>
        </w:rPr>
        <w:t> </w:t>
      </w:r>
      <w:r>
        <w:rPr>
          <w:sz w:val="24"/>
        </w:rPr>
        <w:t>poverty,</w:t>
      </w:r>
      <w:r>
        <w:rPr>
          <w:spacing w:val="-2"/>
          <w:sz w:val="24"/>
        </w:rPr>
        <w:t> </w:t>
      </w:r>
      <w:r>
        <w:rPr>
          <w:sz w:val="24"/>
        </w:rPr>
        <w:t>biomass</w:t>
      </w:r>
      <w:r>
        <w:rPr>
          <w:spacing w:val="-2"/>
          <w:sz w:val="24"/>
        </w:rPr>
        <w:t> </w:t>
      </w:r>
      <w:r>
        <w:rPr>
          <w:sz w:val="24"/>
        </w:rPr>
        <w:t>use, and air pollution in Accra, Ghana. </w:t>
      </w:r>
      <w:r>
        <w:rPr>
          <w:i/>
          <w:sz w:val="24"/>
        </w:rPr>
        <w:t>Proceedings of the National Academy of Sciences of the United States of America, 108</w:t>
      </w:r>
      <w:r>
        <w:rPr>
          <w:sz w:val="24"/>
        </w:rPr>
        <w:t>(27), 11028–11033.</w:t>
      </w:r>
    </w:p>
    <w:sectPr>
      <w:pgSz w:w="11910" w:h="16840"/>
      <w:pgMar w:header="0" w:footer="1012" w:top="1620" w:bottom="1200" w:left="1680" w:right="12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Calibri">
    <w:altName w:val="Calibri"/>
    <w:charset w:val="1"/>
    <w:family w:val="roman"/>
    <w:pitch w:val="variable"/>
  </w:font>
  <w:font w:name="Symbol">
    <w:altName w:val="Symbol"/>
    <w:charset w:val="2"/>
    <w:family w:val="decorative"/>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984704">
              <wp:simplePos x="0" y="0"/>
              <wp:positionH relativeFrom="page">
                <wp:posOffset>3932554</wp:posOffset>
              </wp:positionH>
              <wp:positionV relativeFrom="page">
                <wp:posOffset>9910064</wp:posOffset>
              </wp:positionV>
              <wp:extent cx="249554" cy="165735"/>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249554" cy="165735"/>
                      </a:xfrm>
                      <a:prstGeom prst="rect">
                        <a:avLst/>
                      </a:prstGeom>
                    </wps:spPr>
                    <wps:txbx>
                      <w:txbxContent>
                        <w:p>
                          <w:pPr>
                            <w:spacing w:line="245" w:lineRule="exact" w:before="0"/>
                            <w:ind w:left="60" w:right="0" w:firstLine="0"/>
                            <w:jc w:val="left"/>
                            <w:rPr>
                              <w:rFonts w:ascii="Calibri"/>
                              <w:sz w:val="22"/>
                            </w:rPr>
                          </w:pPr>
                          <w:r>
                            <w:rPr>
                              <w:rFonts w:ascii="Calibri"/>
                              <w:spacing w:val="-4"/>
                              <w:sz w:val="22"/>
                            </w:rPr>
                            <w:fldChar w:fldCharType="begin"/>
                          </w:r>
                          <w:r>
                            <w:rPr>
                              <w:rFonts w:ascii="Calibri"/>
                              <w:spacing w:val="-4"/>
                              <w:sz w:val="22"/>
                            </w:rPr>
                            <w:instrText> PAGE  \* roman </w:instrText>
                          </w:r>
                          <w:r>
                            <w:rPr>
                              <w:rFonts w:ascii="Calibri"/>
                              <w:spacing w:val="-4"/>
                              <w:sz w:val="22"/>
                            </w:rPr>
                            <w:fldChar w:fldCharType="separate"/>
                          </w:r>
                          <w:r>
                            <w:rPr>
                              <w:rFonts w:ascii="Calibri"/>
                              <w:spacing w:val="-4"/>
                              <w:sz w:val="22"/>
                            </w:rPr>
                            <w:t>viii</w:t>
                          </w:r>
                          <w:r>
                            <w:rPr>
                              <w:rFonts w:ascii="Calibri"/>
                              <w:spacing w:val="-4"/>
                              <w:sz w:val="22"/>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309.649994pt;margin-top:780.320007pt;width:19.650pt;height:13.05pt;mso-position-horizontal-relative:page;mso-position-vertical-relative:page;z-index:-16331776" type="#_x0000_t202" id="docshape1" filled="false" stroked="false">
              <v:textbox inset="0,0,0,0">
                <w:txbxContent>
                  <w:p>
                    <w:pPr>
                      <w:spacing w:line="245" w:lineRule="exact" w:before="0"/>
                      <w:ind w:left="60" w:right="0" w:firstLine="0"/>
                      <w:jc w:val="left"/>
                      <w:rPr>
                        <w:rFonts w:ascii="Calibri"/>
                        <w:sz w:val="22"/>
                      </w:rPr>
                    </w:pPr>
                    <w:r>
                      <w:rPr>
                        <w:rFonts w:ascii="Calibri"/>
                        <w:spacing w:val="-4"/>
                        <w:sz w:val="22"/>
                      </w:rPr>
                      <w:fldChar w:fldCharType="begin"/>
                    </w:r>
                    <w:r>
                      <w:rPr>
                        <w:rFonts w:ascii="Calibri"/>
                        <w:spacing w:val="-4"/>
                        <w:sz w:val="22"/>
                      </w:rPr>
                      <w:instrText> PAGE  \* roman </w:instrText>
                    </w:r>
                    <w:r>
                      <w:rPr>
                        <w:rFonts w:ascii="Calibri"/>
                        <w:spacing w:val="-4"/>
                        <w:sz w:val="22"/>
                      </w:rPr>
                      <w:fldChar w:fldCharType="separate"/>
                    </w:r>
                    <w:r>
                      <w:rPr>
                        <w:rFonts w:ascii="Calibri"/>
                        <w:spacing w:val="-4"/>
                        <w:sz w:val="22"/>
                      </w:rPr>
                      <w:t>viii</w:t>
                    </w:r>
                    <w:r>
                      <w:rPr>
                        <w:rFonts w:ascii="Calibri"/>
                        <w:spacing w:val="-4"/>
                        <w:sz w:val="22"/>
                      </w:rPr>
                      <w:fldChar w:fldCharType="end"/>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985216">
              <wp:simplePos x="0" y="0"/>
              <wp:positionH relativeFrom="page">
                <wp:posOffset>3941698</wp:posOffset>
              </wp:positionH>
              <wp:positionV relativeFrom="page">
                <wp:posOffset>9910064</wp:posOffset>
              </wp:positionV>
              <wp:extent cx="232410" cy="165735"/>
              <wp:effectExtent l="0" t="0" r="0" b="0"/>
              <wp:wrapNone/>
              <wp:docPr id="10" name="Textbox 10"/>
              <wp:cNvGraphicFramePr>
                <a:graphicFrameLocks/>
              </wp:cNvGraphicFramePr>
              <a:graphic>
                <a:graphicData uri="http://schemas.microsoft.com/office/word/2010/wordprocessingShape">
                  <wps:wsp>
                    <wps:cNvPr id="10" name="Textbox 10"/>
                    <wps:cNvSpPr txBox="1"/>
                    <wps:spPr>
                      <a:xfrm>
                        <a:off x="0" y="0"/>
                        <a:ext cx="232410" cy="165735"/>
                      </a:xfrm>
                      <a:prstGeom prst="rect">
                        <a:avLst/>
                      </a:prstGeom>
                    </wps:spPr>
                    <wps:txbx>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10</w:t>
                          </w:r>
                          <w:r>
                            <w:rPr>
                              <w:rFonts w:ascii="Calibri"/>
                              <w:spacing w:val="-5"/>
                              <w:sz w:val="22"/>
                            </w:rPr>
                            <w:fldChar w:fldCharType="end"/>
                          </w:r>
                        </w:p>
                      </w:txbxContent>
                    </wps:txbx>
                    <wps:bodyPr wrap="square" lIns="0" tIns="0" rIns="0" bIns="0" rtlCol="0">
                      <a:noAutofit/>
                    </wps:bodyPr>
                  </wps:wsp>
                </a:graphicData>
              </a:graphic>
            </wp:anchor>
          </w:drawing>
        </mc:Choice>
        <mc:Fallback>
          <w:pict>
            <v:shape style="position:absolute;margin-left:310.369995pt;margin-top:780.320007pt;width:18.3pt;height:13.05pt;mso-position-horizontal-relative:page;mso-position-vertical-relative:page;z-index:-16331264" type="#_x0000_t202" id="docshape10" filled="false" stroked="false">
              <v:textbox inset="0,0,0,0">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10</w:t>
                    </w:r>
                    <w:r>
                      <w:rPr>
                        <w:rFonts w:ascii="Calibri"/>
                        <w:spacing w:val="-5"/>
                        <w:sz w:val="22"/>
                      </w:rPr>
                      <w:fldChar w:fldCharType="end"/>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1308" w:hanging="360"/>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2068" w:hanging="360"/>
      </w:pPr>
      <w:rPr>
        <w:rFonts w:hint="default"/>
        <w:lang w:val="en-US" w:eastAsia="en-US" w:bidi="ar-SA"/>
      </w:rPr>
    </w:lvl>
    <w:lvl w:ilvl="2">
      <w:start w:val="0"/>
      <w:numFmt w:val="bullet"/>
      <w:lvlText w:val="•"/>
      <w:lvlJc w:val="left"/>
      <w:pPr>
        <w:ind w:left="2837" w:hanging="360"/>
      </w:pPr>
      <w:rPr>
        <w:rFonts w:hint="default"/>
        <w:lang w:val="en-US" w:eastAsia="en-US" w:bidi="ar-SA"/>
      </w:rPr>
    </w:lvl>
    <w:lvl w:ilvl="3">
      <w:start w:val="0"/>
      <w:numFmt w:val="bullet"/>
      <w:lvlText w:val="•"/>
      <w:lvlJc w:val="left"/>
      <w:pPr>
        <w:ind w:left="3605" w:hanging="360"/>
      </w:pPr>
      <w:rPr>
        <w:rFonts w:hint="default"/>
        <w:lang w:val="en-US" w:eastAsia="en-US" w:bidi="ar-SA"/>
      </w:rPr>
    </w:lvl>
    <w:lvl w:ilvl="4">
      <w:start w:val="0"/>
      <w:numFmt w:val="bullet"/>
      <w:lvlText w:val="•"/>
      <w:lvlJc w:val="left"/>
      <w:pPr>
        <w:ind w:left="4374" w:hanging="360"/>
      </w:pPr>
      <w:rPr>
        <w:rFonts w:hint="default"/>
        <w:lang w:val="en-US" w:eastAsia="en-US" w:bidi="ar-SA"/>
      </w:rPr>
    </w:lvl>
    <w:lvl w:ilvl="5">
      <w:start w:val="0"/>
      <w:numFmt w:val="bullet"/>
      <w:lvlText w:val="•"/>
      <w:lvlJc w:val="left"/>
      <w:pPr>
        <w:ind w:left="5143" w:hanging="360"/>
      </w:pPr>
      <w:rPr>
        <w:rFonts w:hint="default"/>
        <w:lang w:val="en-US" w:eastAsia="en-US" w:bidi="ar-SA"/>
      </w:rPr>
    </w:lvl>
    <w:lvl w:ilvl="6">
      <w:start w:val="0"/>
      <w:numFmt w:val="bullet"/>
      <w:lvlText w:val="•"/>
      <w:lvlJc w:val="left"/>
      <w:pPr>
        <w:ind w:left="5911" w:hanging="360"/>
      </w:pPr>
      <w:rPr>
        <w:rFonts w:hint="default"/>
        <w:lang w:val="en-US" w:eastAsia="en-US" w:bidi="ar-SA"/>
      </w:rPr>
    </w:lvl>
    <w:lvl w:ilvl="7">
      <w:start w:val="0"/>
      <w:numFmt w:val="bullet"/>
      <w:lvlText w:val="•"/>
      <w:lvlJc w:val="left"/>
      <w:pPr>
        <w:ind w:left="6680" w:hanging="360"/>
      </w:pPr>
      <w:rPr>
        <w:rFonts w:hint="default"/>
        <w:lang w:val="en-US" w:eastAsia="en-US" w:bidi="ar-SA"/>
      </w:rPr>
    </w:lvl>
    <w:lvl w:ilvl="8">
      <w:start w:val="0"/>
      <w:numFmt w:val="bullet"/>
      <w:lvlText w:val="•"/>
      <w:lvlJc w:val="left"/>
      <w:pPr>
        <w:ind w:left="7449" w:hanging="360"/>
      </w:pPr>
      <w:rPr>
        <w:rFonts w:hint="default"/>
        <w:lang w:val="en-US"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ar-SA"/>
    </w:rPr>
  </w:style>
  <w:style w:styleId="TOC1" w:type="paragraph">
    <w:name w:val="TOC 1"/>
    <w:basedOn w:val="Normal"/>
    <w:uiPriority w:val="1"/>
    <w:qFormat/>
    <w:pPr>
      <w:spacing w:before="204"/>
      <w:ind w:left="588"/>
    </w:pPr>
    <w:rPr>
      <w:rFonts w:ascii="Times New Roman" w:hAnsi="Times New Roman" w:eastAsia="Times New Roman" w:cs="Times New Roman"/>
      <w:sz w:val="24"/>
      <w:szCs w:val="24"/>
      <w:lang w:val="en-US" w:eastAsia="en-US" w:bidi="ar-SA"/>
    </w:rPr>
  </w:style>
  <w:style w:styleId="TOC2" w:type="paragraph">
    <w:name w:val="TOC 2"/>
    <w:basedOn w:val="Normal"/>
    <w:uiPriority w:val="1"/>
    <w:qFormat/>
    <w:pPr>
      <w:spacing w:before="204"/>
      <w:ind w:left="588"/>
    </w:pPr>
    <w:rPr>
      <w:rFonts w:ascii="Times New Roman" w:hAnsi="Times New Roman" w:eastAsia="Times New Roman" w:cs="Times New Roman"/>
      <w:sz w:val="24"/>
      <w:szCs w:val="24"/>
      <w:lang w:val="en-US" w:eastAsia="en-US" w:bidi="ar-SA"/>
    </w:rPr>
  </w:style>
  <w:style w:styleId="TOC3" w:type="paragraph">
    <w:name w:val="TOC 3"/>
    <w:basedOn w:val="Normal"/>
    <w:uiPriority w:val="1"/>
    <w:qFormat/>
    <w:pPr>
      <w:spacing w:before="204"/>
      <w:ind w:left="588"/>
    </w:pPr>
    <w:rPr>
      <w:rFonts w:ascii="Times New Roman" w:hAnsi="Times New Roman" w:eastAsia="Times New Roman" w:cs="Times New Roman"/>
      <w:i/>
      <w:iCs/>
      <w:sz w:val="24"/>
      <w:szCs w:val="24"/>
      <w:lang w:val="en-US" w:eastAsia="en-US" w:bidi="ar-SA"/>
    </w:rPr>
  </w:style>
  <w:style w:styleId="BodyText" w:type="paragraph">
    <w:name w:val="Body Text"/>
    <w:basedOn w:val="Normal"/>
    <w:uiPriority w:val="1"/>
    <w:qFormat/>
    <w:pPr/>
    <w:rPr>
      <w:rFonts w:ascii="Times New Roman" w:hAnsi="Times New Roman" w:eastAsia="Times New Roman" w:cs="Times New Roman"/>
      <w:sz w:val="24"/>
      <w:szCs w:val="24"/>
      <w:lang w:val="en-US" w:eastAsia="en-US" w:bidi="ar-SA"/>
    </w:rPr>
  </w:style>
  <w:style w:styleId="Heading1" w:type="paragraph">
    <w:name w:val="Heading 1"/>
    <w:basedOn w:val="Normal"/>
    <w:uiPriority w:val="1"/>
    <w:qFormat/>
    <w:pPr>
      <w:spacing w:before="62"/>
      <w:ind w:left="588"/>
      <w:outlineLvl w:val="1"/>
    </w:pPr>
    <w:rPr>
      <w:rFonts w:ascii="Times New Roman" w:hAnsi="Times New Roman" w:eastAsia="Times New Roman" w:cs="Times New Roman"/>
      <w:b/>
      <w:bCs/>
      <w:sz w:val="24"/>
      <w:szCs w:val="24"/>
      <w:lang w:val="en-US" w:eastAsia="en-US" w:bidi="ar-SA"/>
    </w:rPr>
  </w:style>
  <w:style w:styleId="Heading2" w:type="paragraph">
    <w:name w:val="Heading 2"/>
    <w:basedOn w:val="Normal"/>
    <w:uiPriority w:val="1"/>
    <w:qFormat/>
    <w:pPr>
      <w:ind w:left="588"/>
      <w:outlineLvl w:val="2"/>
    </w:pPr>
    <w:rPr>
      <w:rFonts w:ascii="Times New Roman" w:hAnsi="Times New Roman" w:eastAsia="Times New Roman" w:cs="Times New Roman"/>
      <w:b/>
      <w:bCs/>
      <w:sz w:val="24"/>
      <w:szCs w:val="24"/>
      <w:lang w:val="en-US" w:eastAsia="en-US" w:bidi="ar-SA"/>
    </w:rPr>
  </w:style>
  <w:style w:styleId="ListParagraph" w:type="paragraph">
    <w:name w:val="List Paragraph"/>
    <w:basedOn w:val="Normal"/>
    <w:uiPriority w:val="1"/>
    <w:qFormat/>
    <w:pPr>
      <w:ind w:left="1308" w:hanging="360"/>
    </w:pPr>
    <w:rPr>
      <w:rFonts w:ascii="Times New Roman" w:hAnsi="Times New Roman" w:eastAsia="Times New Roman" w:cs="Times New Roman"/>
      <w:lang w:val="en-US" w:eastAsia="en-US" w:bidi="ar-SA"/>
    </w:rPr>
  </w:style>
  <w:style w:styleId="TableParagraph" w:type="paragraph">
    <w:name w:val="Table Paragraph"/>
    <w:basedOn w:val="Normal"/>
    <w:uiPriority w:val="1"/>
    <w:qFormat/>
    <w:pPr>
      <w:spacing w:line="268" w:lineRule="exact"/>
    </w:pPr>
    <w:rPr>
      <w:rFonts w:ascii="Calibri" w:hAnsi="Calibri" w:eastAsia="Calibri" w:cs="Calibri"/>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image" Target="media/image1.png"/><Relationship Id="rId8" Type="http://schemas.openxmlformats.org/officeDocument/2006/relationships/image" Target="media/image2.jpeg"/><Relationship Id="rId9" Type="http://schemas.openxmlformats.org/officeDocument/2006/relationships/image" Target="media/image3.png"/><Relationship Id="rId10" Type="http://schemas.openxmlformats.org/officeDocument/2006/relationships/image" Target="media/image4.png"/><Relationship Id="rId11" Type="http://schemas.openxmlformats.org/officeDocument/2006/relationships/image" Target="media/image5.jpeg"/><Relationship Id="rId12" Type="http://schemas.openxmlformats.org/officeDocument/2006/relationships/image" Target="media/image6.jpeg"/><Relationship Id="rId13" Type="http://schemas.openxmlformats.org/officeDocument/2006/relationships/image" Target="media/image7.jpeg"/><Relationship Id="rId14" Type="http://schemas.openxmlformats.org/officeDocument/2006/relationships/image" Target="media/image8.jpeg"/><Relationship Id="rId15" Type="http://schemas.openxmlformats.org/officeDocument/2006/relationships/image" Target="media/image9.jpeg"/><Relationship Id="rId16" Type="http://schemas.openxmlformats.org/officeDocument/2006/relationships/image" Target="media/image10.png"/><Relationship Id="rId17" Type="http://schemas.openxmlformats.org/officeDocument/2006/relationships/image" Target="media/image11.jpeg"/><Relationship Id="rId18" Type="http://schemas.openxmlformats.org/officeDocument/2006/relationships/image" Target="media/image12.jpeg"/><Relationship Id="rId19" Type="http://schemas.openxmlformats.org/officeDocument/2006/relationships/image" Target="media/image13.jpeg"/><Relationship Id="rId20" Type="http://schemas.openxmlformats.org/officeDocument/2006/relationships/image" Target="media/image14.jpeg"/><Relationship Id="rId21" Type="http://schemas.openxmlformats.org/officeDocument/2006/relationships/image" Target="media/image15.jpeg"/><Relationship Id="rId22" Type="http://schemas.openxmlformats.org/officeDocument/2006/relationships/image" Target="media/image16.jpeg"/><Relationship Id="rId23" Type="http://schemas.openxmlformats.org/officeDocument/2006/relationships/image" Target="media/image17.jpeg"/><Relationship Id="rId24" Type="http://schemas.openxmlformats.org/officeDocument/2006/relationships/image" Target="media/image18.jpeg"/><Relationship Id="rId25" Type="http://schemas.openxmlformats.org/officeDocument/2006/relationships/image" Target="media/image19.jpeg"/><Relationship Id="rId26" Type="http://schemas.openxmlformats.org/officeDocument/2006/relationships/image" Target="media/image20.jpeg"/><Relationship Id="rId27" Type="http://schemas.openxmlformats.org/officeDocument/2006/relationships/image" Target="media/image21.jpeg"/><Relationship Id="rId28" Type="http://schemas.openxmlformats.org/officeDocument/2006/relationships/image" Target="media/image22.jpeg"/><Relationship Id="rId29" Type="http://schemas.openxmlformats.org/officeDocument/2006/relationships/image" Target="media/image23.jpeg"/><Relationship Id="rId30" Type="http://schemas.openxmlformats.org/officeDocument/2006/relationships/image" Target="media/image24.jpeg"/><Relationship Id="rId31" Type="http://schemas.openxmlformats.org/officeDocument/2006/relationships/image" Target="media/image25.jpeg"/><Relationship Id="rId32" Type="http://schemas.openxmlformats.org/officeDocument/2006/relationships/hyperlink" Target="http://dx.doi.org/10.3402/gha.v4i0.5638" TargetMode="External"/><Relationship Id="rId33" Type="http://schemas.openxmlformats.org/officeDocument/2006/relationships/hyperlink" Target="http://www.who.int/mediacentre/factsheets/fs292/en/" TargetMode="External"/><Relationship Id="rId34"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Ummi Mukhtar</dc:creator>
  <dcterms:created xsi:type="dcterms:W3CDTF">2023-11-03T07:45:58Z</dcterms:created>
  <dcterms:modified xsi:type="dcterms:W3CDTF">2023-11-03T07:45:58Z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2017-11-23T00:00:00Z</vt:filetime>
  </property>
  <property fmtid="{D5CDD505-2E9C-101B-9397-08002B2CF9AE}" pid="3" name="Creator">
    <vt:lpwstr>Microsoft® Word 2016</vt:lpwstr>
  </property>
  <property fmtid="{D5CDD505-2E9C-101B-9397-08002B2CF9AE}" pid="4" name="LastSaved">
    <vt:filetime>2023-11-03T00:00:00Z</vt:filetime>
  </property>
  <property fmtid="{D5CDD505-2E9C-101B-9397-08002B2CF9AE}" pid="5" name="Producer">
    <vt:lpwstr>Microsoft® Word 2016</vt:lpwstr>
  </property>
</Properties>
</file>